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9E5BD5">
      <w:pPr>
        <w:spacing w:before="156" w:beforeLines="50" w:after="156" w:afterLines="50" w:line="400" w:lineRule="exact"/>
        <w:rPr>
          <w:rFonts w:hint="eastAsia"/>
          <w:bCs/>
          <w:iCs/>
          <w:color w:val="000000"/>
          <w:sz w:val="24"/>
        </w:rPr>
      </w:pPr>
      <w:r>
        <w:rPr>
          <w:rFonts w:hAnsi="宋体"/>
          <w:bCs/>
          <w:iCs/>
          <w:color w:val="000000"/>
          <w:sz w:val="24"/>
        </w:rPr>
        <w:t>证券代码：</w:t>
      </w:r>
      <w:r>
        <w:rPr>
          <w:bCs/>
          <w:iCs/>
          <w:color w:val="000000"/>
          <w:sz w:val="24"/>
        </w:rPr>
        <w:t xml:space="preserve"> </w:t>
      </w:r>
      <w:r>
        <w:rPr>
          <w:color w:val="000000"/>
          <w:sz w:val="24"/>
        </w:rPr>
        <w:t xml:space="preserve">600640                             </w:t>
      </w:r>
      <w:r>
        <w:rPr>
          <w:rFonts w:hAnsi="宋体"/>
          <w:bCs/>
          <w:iCs/>
          <w:color w:val="000000"/>
          <w:sz w:val="24"/>
        </w:rPr>
        <w:t>证券简称：</w:t>
      </w:r>
      <w:r>
        <w:rPr>
          <w:color w:val="000000"/>
          <w:sz w:val="24"/>
        </w:rPr>
        <w:t>国脉文化</w:t>
      </w:r>
    </w:p>
    <w:p w14:paraId="49C157EB">
      <w:pPr>
        <w:spacing w:before="156" w:beforeLines="50" w:after="156" w:afterLines="50" w:line="400" w:lineRule="exact"/>
        <w:jc w:val="center"/>
        <w:rPr>
          <w:rFonts w:hint="default" w:ascii="宋体" w:hAnsi="宋体"/>
          <w:b/>
          <w:bCs/>
          <w:iCs/>
          <w:color w:val="000000"/>
          <w:sz w:val="32"/>
          <w:szCs w:val="32"/>
        </w:rPr>
      </w:pPr>
      <w:r>
        <w:rPr>
          <w:rFonts w:hint="default" w:ascii="宋体" w:hAnsi="宋体"/>
          <w:b/>
          <w:bCs/>
          <w:iCs/>
          <w:color w:val="000000"/>
          <w:sz w:val="32"/>
          <w:szCs w:val="32"/>
        </w:rPr>
        <w:t>新国脉数字文化股份有限公司</w:t>
      </w:r>
    </w:p>
    <w:p w14:paraId="5891D60F">
      <w:pPr>
        <w:spacing w:before="156" w:beforeLines="50" w:after="156" w:afterLines="50" w:line="400" w:lineRule="exact"/>
        <w:jc w:val="center"/>
        <w:rPr>
          <w:rFonts w:hint="eastAsia" w:ascii="宋体" w:hAnsi="宋体"/>
          <w:b/>
          <w:bCs/>
          <w:iCs/>
          <w:color w:val="000000"/>
          <w:sz w:val="32"/>
          <w:szCs w:val="32"/>
        </w:rPr>
      </w:pPr>
      <w:r>
        <w:rPr>
          <w:rFonts w:hint="eastAsia" w:ascii="宋体" w:hAnsi="宋体"/>
          <w:b/>
          <w:bCs/>
          <w:iCs/>
          <w:color w:val="000000"/>
          <w:sz w:val="32"/>
          <w:szCs w:val="32"/>
        </w:rPr>
        <w:t>投资者关系活动记录表</w:t>
      </w:r>
    </w:p>
    <w:p w14:paraId="1923B128">
      <w:pPr>
        <w:spacing w:line="400" w:lineRule="exact"/>
        <w:rPr>
          <w:bCs/>
          <w:iCs/>
          <w:color w:val="000000"/>
          <w:sz w:val="24"/>
        </w:rPr>
      </w:pPr>
      <w:r>
        <w:rPr>
          <w:rFonts w:hint="eastAsia" w:ascii="宋体" w:hAnsi="宋体"/>
          <w:bCs/>
          <w:iCs/>
          <w:color w:val="000000"/>
          <w:sz w:val="24"/>
        </w:rPr>
        <w:t xml:space="preserve">                                                     </w:t>
      </w:r>
    </w:p>
    <w:tbl>
      <w:tblPr>
        <w:tblStyle w:val="5"/>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8"/>
        <w:gridCol w:w="6847"/>
      </w:tblGrid>
      <w:tr w14:paraId="132F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0B7004B3">
            <w:pPr>
              <w:spacing w:line="420" w:lineRule="exact"/>
              <w:rPr>
                <w:bCs/>
                <w:iCs/>
                <w:color w:val="000000"/>
                <w:kern w:val="0"/>
                <w:sz w:val="24"/>
              </w:rPr>
            </w:pPr>
            <w:r>
              <w:rPr>
                <w:rFonts w:hAnsi="宋体"/>
                <w:bCs/>
                <w:iCs/>
                <w:color w:val="000000"/>
                <w:kern w:val="0"/>
                <w:sz w:val="24"/>
              </w:rPr>
              <w:t>投资者关系活动类别</w:t>
            </w:r>
          </w:p>
          <w:p w14:paraId="4364409D">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14:paraId="52CC60E6">
            <w:pPr>
              <w:spacing w:line="420" w:lineRule="exact"/>
              <w:rPr>
                <w:bCs/>
                <w:iCs/>
                <w:color w:val="000000"/>
                <w:sz w:val="24"/>
              </w:rPr>
            </w:pPr>
            <w:r>
              <w:rPr>
                <w:bCs/>
                <w:iCs/>
                <w:color w:val="000000"/>
                <w:kern w:val="0"/>
                <w:sz w:val="24"/>
              </w:rPr>
              <w:t>□</w:t>
            </w:r>
            <w:r>
              <w:rPr>
                <w:rFonts w:hAnsi="宋体"/>
                <w:kern w:val="0"/>
                <w:sz w:val="24"/>
              </w:rPr>
              <w:t>特定对象调研</w:t>
            </w:r>
            <w:r>
              <w:rPr>
                <w:kern w:val="0"/>
                <w:sz w:val="24"/>
              </w:rPr>
              <w:t xml:space="preserve">       </w:t>
            </w:r>
            <w:r>
              <w:rPr>
                <w:rFonts w:hint="eastAsia"/>
                <w:kern w:val="0"/>
                <w:sz w:val="24"/>
              </w:rPr>
              <w:t xml:space="preserve"> </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分析师会议</w:t>
            </w:r>
          </w:p>
          <w:p w14:paraId="4993736B">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媒体采访</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业绩说明会</w:t>
            </w:r>
          </w:p>
          <w:p w14:paraId="50B53C1F">
            <w:pPr>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新闻发布会</w:t>
            </w:r>
            <w:r>
              <w:rPr>
                <w:kern w:val="0"/>
                <w:sz w:val="24"/>
              </w:rPr>
              <w:t xml:space="preserve">          </w:t>
            </w:r>
            <w:r>
              <w:rPr>
                <w:bCs/>
                <w:iCs/>
                <w:color w:val="000000"/>
                <w:kern w:val="0"/>
                <w:sz w:val="24"/>
              </w:rPr>
              <w:t>□</w:t>
            </w:r>
            <w:r>
              <w:rPr>
                <w:rFonts w:hint="eastAsia"/>
                <w:bCs/>
                <w:iCs/>
                <w:color w:val="000000"/>
                <w:kern w:val="0"/>
                <w:sz w:val="24"/>
              </w:rPr>
              <w:t xml:space="preserve"> </w:t>
            </w:r>
            <w:r>
              <w:rPr>
                <w:rFonts w:hAnsi="宋体"/>
                <w:kern w:val="0"/>
                <w:sz w:val="24"/>
              </w:rPr>
              <w:t>路演活动</w:t>
            </w:r>
          </w:p>
          <w:p w14:paraId="32426684">
            <w:pPr>
              <w:tabs>
                <w:tab w:val="left" w:pos="3045"/>
                <w:tab w:val="center" w:pos="3199"/>
              </w:tabs>
              <w:spacing w:line="420" w:lineRule="exact"/>
              <w:rPr>
                <w:bCs/>
                <w:iCs/>
                <w:color w:val="000000"/>
                <w:kern w:val="0"/>
                <w:sz w:val="24"/>
              </w:rPr>
            </w:pPr>
            <w:r>
              <w:rPr>
                <w:bCs/>
                <w:iCs/>
                <w:color w:val="000000"/>
                <w:kern w:val="0"/>
                <w:sz w:val="24"/>
              </w:rPr>
              <w:t>□</w:t>
            </w:r>
            <w:r>
              <w:rPr>
                <w:rFonts w:hint="eastAsia"/>
                <w:bCs/>
                <w:iCs/>
                <w:color w:val="000000"/>
                <w:kern w:val="0"/>
                <w:sz w:val="24"/>
              </w:rPr>
              <w:t xml:space="preserve"> </w:t>
            </w:r>
            <w:r>
              <w:rPr>
                <w:rFonts w:hAnsi="宋体"/>
                <w:kern w:val="0"/>
                <w:sz w:val="24"/>
              </w:rPr>
              <w:t>现场参观</w:t>
            </w:r>
            <w:r>
              <w:rPr>
                <w:bCs/>
                <w:iCs/>
                <w:color w:val="000000"/>
                <w:kern w:val="0"/>
                <w:sz w:val="24"/>
              </w:rPr>
              <w:tab/>
            </w:r>
          </w:p>
          <w:p w14:paraId="73F7AD7A">
            <w:pPr>
              <w:tabs>
                <w:tab w:val="center" w:pos="3199"/>
              </w:tabs>
              <w:spacing w:line="420" w:lineRule="exact"/>
              <w:rPr>
                <w:bCs/>
                <w:iCs/>
                <w:color w:val="000000"/>
                <w:sz w:val="24"/>
              </w:rPr>
            </w:pPr>
            <w:r>
              <w:rPr>
                <w:bCs/>
                <w:iCs/>
                <w:color w:val="000000"/>
                <w:kern w:val="0"/>
                <w:sz w:val="24"/>
              </w:rPr>
              <w:t>□</w:t>
            </w:r>
            <w:r>
              <w:rPr>
                <w:rFonts w:hint="eastAsia"/>
                <w:bCs/>
                <w:iCs/>
                <w:color w:val="000000"/>
                <w:kern w:val="0"/>
                <w:sz w:val="24"/>
              </w:rPr>
              <w:t xml:space="preserve"> </w:t>
            </w:r>
            <w:r>
              <w:rPr>
                <w:rFonts w:hAnsi="宋体"/>
                <w:kern w:val="0"/>
                <w:sz w:val="24"/>
              </w:rPr>
              <w:t>其他</w:t>
            </w:r>
            <w:r>
              <w:rPr>
                <w:kern w:val="0"/>
                <w:sz w:val="24"/>
              </w:rPr>
              <w:t xml:space="preserve"> </w:t>
            </w:r>
            <w:r>
              <w:rPr>
                <w:rFonts w:hAnsi="宋体"/>
                <w:kern w:val="0"/>
                <w:sz w:val="24"/>
              </w:rPr>
              <w:t>（</w:t>
            </w:r>
            <w:r>
              <w:rPr>
                <w:rFonts w:hAnsi="宋体"/>
                <w:kern w:val="0"/>
                <w:sz w:val="24"/>
                <w:u w:val="single"/>
              </w:rPr>
              <w:t>请文字说明其他活动内容）</w:t>
            </w:r>
          </w:p>
        </w:tc>
      </w:tr>
      <w:tr w14:paraId="1089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19914627">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55381625">
            <w:pPr>
              <w:spacing w:line="420" w:lineRule="exact"/>
              <w:rPr>
                <w:rFonts w:hint="eastAsia"/>
                <w:bCs/>
                <w:iCs/>
                <w:color w:val="000000"/>
                <w:sz w:val="24"/>
                <w:lang w:val="en-GB"/>
              </w:rPr>
            </w:pPr>
            <w:r>
              <w:rPr>
                <w:rFonts w:hint="eastAsia"/>
                <w:bCs/>
                <w:iCs/>
                <w:color w:val="000000"/>
                <w:sz w:val="24"/>
                <w:lang w:val="en-GB"/>
              </w:rPr>
              <w:t>投资者网上提问</w:t>
            </w:r>
          </w:p>
        </w:tc>
      </w:tr>
      <w:tr w14:paraId="7141A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4D420391">
            <w:pPr>
              <w:spacing w:line="420" w:lineRule="exact"/>
              <w:rPr>
                <w:bCs/>
                <w:iCs/>
                <w:color w:val="000000"/>
                <w:kern w:val="0"/>
                <w:sz w:val="24"/>
              </w:rPr>
            </w:pPr>
            <w:r>
              <w:rPr>
                <w:rFonts w:hAnsi="宋体"/>
                <w:bCs/>
                <w:iCs/>
                <w:color w:val="000000"/>
                <w:kern w:val="0"/>
                <w:sz w:val="24"/>
              </w:rPr>
              <w:t>时间</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33285085">
            <w:pPr>
              <w:spacing w:line="420" w:lineRule="exact"/>
              <w:rPr>
                <w:bCs/>
                <w:iCs/>
                <w:color w:val="000000"/>
                <w:sz w:val="24"/>
              </w:rPr>
            </w:pPr>
            <w:r>
              <w:rPr>
                <w:bCs/>
                <w:iCs/>
                <w:color w:val="000000"/>
                <w:sz w:val="24"/>
              </w:rPr>
              <w:t>2026年9月16日 (周三) 下午 15:00~17:00</w:t>
            </w:r>
          </w:p>
        </w:tc>
      </w:tr>
      <w:tr w14:paraId="3705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194A929E">
            <w:pPr>
              <w:spacing w:line="420" w:lineRule="exact"/>
              <w:rPr>
                <w:bCs/>
                <w:iCs/>
                <w:color w:val="000000"/>
                <w:kern w:val="0"/>
                <w:sz w:val="24"/>
              </w:rPr>
            </w:pPr>
            <w:r>
              <w:rPr>
                <w:rFonts w:hAnsi="宋体"/>
                <w:bCs/>
                <w:iCs/>
                <w:color w:val="000000"/>
                <w:kern w:val="0"/>
                <w:sz w:val="24"/>
              </w:rPr>
              <w:t>地点</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6C59529F">
            <w:pPr>
              <w:spacing w:line="420" w:lineRule="exact"/>
              <w:rPr>
                <w:bCs/>
                <w:iCs/>
                <w:color w:val="000000"/>
                <w:sz w:val="24"/>
              </w:rPr>
            </w:pPr>
            <w:r>
              <w:rPr>
                <w:rFonts w:ascii="宋体" w:hAnsi="宋体"/>
                <w:sz w:val="24"/>
              </w:rPr>
              <w:t>公司通过</w:t>
            </w:r>
            <w:r>
              <w:rPr>
                <w:rFonts w:hint="eastAsia" w:ascii="宋体" w:hAnsi="宋体"/>
                <w:bCs/>
                <w:sz w:val="24"/>
              </w:rPr>
              <w:t>全景网“</w:t>
            </w:r>
            <w:r>
              <w:rPr>
                <w:rFonts w:ascii="宋体" w:hAnsi="宋体" w:eastAsia="宋体" w:cs="宋体"/>
                <w:sz w:val="24"/>
                <w:szCs w:val="24"/>
              </w:rPr>
              <w:t>投资者关系互动平台</w:t>
            </w:r>
            <w:r>
              <w:rPr>
                <w:rFonts w:hint="eastAsia" w:ascii="宋体" w:hAnsi="宋体"/>
                <w:bCs/>
                <w:sz w:val="24"/>
              </w:rPr>
              <w:t>”（http</w:t>
            </w:r>
            <w:r>
              <w:rPr>
                <w:rFonts w:hint="default" w:ascii="宋体" w:hAnsi="宋体"/>
                <w:bCs/>
                <w:sz w:val="24"/>
              </w:rPr>
              <w:t>s</w:t>
            </w:r>
            <w:r>
              <w:rPr>
                <w:rFonts w:hint="eastAsia" w:ascii="宋体" w:hAnsi="宋体"/>
                <w:bCs/>
                <w:sz w:val="24"/>
              </w:rPr>
              <w:t>://</w:t>
            </w:r>
            <w:r>
              <w:rPr>
                <w:rFonts w:hint="eastAsia" w:ascii="宋体" w:hAnsi="宋体"/>
                <w:bCs/>
                <w:sz w:val="24"/>
                <w:lang w:val="en-US" w:eastAsia="zh-CN"/>
              </w:rPr>
              <w:t>ir</w:t>
            </w:r>
            <w:r>
              <w:rPr>
                <w:rFonts w:hint="eastAsia" w:ascii="宋体" w:hAnsi="宋体"/>
                <w:bCs/>
                <w:sz w:val="24"/>
              </w:rPr>
              <w:t>.p5w.net）采用网络远程的方式</w:t>
            </w:r>
            <w:r>
              <w:rPr>
                <w:rFonts w:ascii="宋体" w:hAnsi="宋体"/>
                <w:sz w:val="24"/>
              </w:rPr>
              <w:t>召开</w:t>
            </w:r>
            <w:r>
              <w:rPr>
                <w:rFonts w:hint="eastAsia" w:ascii="宋体" w:hAnsi="宋体"/>
                <w:sz w:val="24"/>
              </w:rPr>
              <w:t>业绩</w:t>
            </w:r>
            <w:r>
              <w:rPr>
                <w:rFonts w:ascii="宋体" w:hAnsi="宋体"/>
                <w:sz w:val="24"/>
              </w:rPr>
              <w:t>说明会</w:t>
            </w:r>
          </w:p>
        </w:tc>
      </w:tr>
      <w:tr w14:paraId="0197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top"/>
          </w:tcPr>
          <w:p w14:paraId="626E1C73">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color="auto" w:sz="4" w:space="0"/>
              <w:left w:val="single" w:color="auto" w:sz="4" w:space="0"/>
              <w:bottom w:val="single" w:color="auto" w:sz="4" w:space="0"/>
              <w:right w:val="single" w:color="auto" w:sz="4" w:space="0"/>
            </w:tcBorders>
            <w:noWrap w:val="0"/>
            <w:vAlign w:val="center"/>
          </w:tcPr>
          <w:p w14:paraId="6B5B9C40">
            <w:pPr>
              <w:spacing w:line="420" w:lineRule="exact"/>
              <w:rPr>
                <w:rFonts w:hint="default" w:ascii="宋体" w:hAnsi="宋体"/>
                <w:bCs/>
                <w:sz w:val="24"/>
              </w:rPr>
            </w:pPr>
            <w:r>
              <w:rPr>
                <w:rFonts w:hint="default" w:ascii="宋体" w:hAnsi="宋体"/>
                <w:bCs/>
                <w:sz w:val="24"/>
              </w:rPr>
              <w:t>1、董事长张伟</w:t>
            </w:r>
          </w:p>
          <w:p w14:paraId="70F64C12">
            <w:pPr>
              <w:spacing w:line="420" w:lineRule="exact"/>
              <w:rPr>
                <w:rFonts w:hint="default" w:ascii="宋体" w:hAnsi="宋体"/>
                <w:bCs/>
                <w:sz w:val="24"/>
              </w:rPr>
            </w:pPr>
            <w:r>
              <w:rPr>
                <w:rFonts w:hint="default" w:ascii="宋体" w:hAnsi="宋体"/>
                <w:bCs/>
                <w:sz w:val="24"/>
              </w:rPr>
              <w:t>2、总经理陈之超</w:t>
            </w:r>
          </w:p>
          <w:p w14:paraId="1B05D816">
            <w:pPr>
              <w:spacing w:line="420" w:lineRule="exact"/>
              <w:rPr>
                <w:rFonts w:hint="default" w:ascii="宋体" w:hAnsi="宋体"/>
                <w:bCs/>
                <w:sz w:val="24"/>
              </w:rPr>
            </w:pPr>
            <w:r>
              <w:rPr>
                <w:rFonts w:hint="default" w:ascii="宋体" w:hAnsi="宋体"/>
                <w:bCs/>
                <w:sz w:val="24"/>
              </w:rPr>
              <w:t>3、独立董事金小刚</w:t>
            </w:r>
          </w:p>
          <w:p w14:paraId="31F52665">
            <w:pPr>
              <w:spacing w:line="420" w:lineRule="exact"/>
              <w:rPr>
                <w:rFonts w:hint="default" w:ascii="宋体" w:hAnsi="宋体"/>
                <w:bCs/>
                <w:sz w:val="24"/>
              </w:rPr>
            </w:pPr>
            <w:r>
              <w:rPr>
                <w:rFonts w:hint="default" w:ascii="宋体" w:hAnsi="宋体"/>
                <w:bCs/>
                <w:sz w:val="24"/>
              </w:rPr>
              <w:t>4、董事会秘书魏朝晖</w:t>
            </w:r>
          </w:p>
        </w:tc>
      </w:tr>
      <w:tr w14:paraId="1EA6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4F60DDDB">
            <w:pPr>
              <w:spacing w:line="420" w:lineRule="exact"/>
              <w:rPr>
                <w:bCs/>
                <w:iCs/>
                <w:color w:val="000000"/>
                <w:kern w:val="0"/>
                <w:sz w:val="24"/>
              </w:rPr>
            </w:pPr>
            <w:r>
              <w:rPr>
                <w:rFonts w:hAnsi="宋体"/>
                <w:bCs/>
                <w:iCs/>
                <w:color w:val="000000"/>
                <w:kern w:val="0"/>
                <w:sz w:val="24"/>
              </w:rPr>
              <w:t>投资者关系活动主要内容介绍</w:t>
            </w:r>
          </w:p>
          <w:p w14:paraId="1BE07757">
            <w:pPr>
              <w:spacing w:line="420" w:lineRule="exact"/>
              <w:rPr>
                <w:bCs/>
                <w:iCs/>
                <w:color w:val="000000"/>
                <w:sz w:val="24"/>
              </w:rPr>
            </w:pPr>
          </w:p>
        </w:tc>
        <w:tc>
          <w:tcPr>
            <w:tcW w:w="6847" w:type="dxa"/>
            <w:tcBorders>
              <w:top w:val="single" w:color="auto" w:sz="4" w:space="0"/>
              <w:left w:val="single" w:color="auto" w:sz="4" w:space="0"/>
              <w:bottom w:val="single" w:color="auto" w:sz="4" w:space="0"/>
              <w:right w:val="single" w:color="auto" w:sz="4" w:space="0"/>
            </w:tcBorders>
            <w:noWrap w:val="0"/>
            <w:vAlign w:val="top"/>
          </w:tcPr>
          <w:p w14:paraId="49B83CBE">
            <w:pPr>
              <w:spacing w:before="156" w:beforeLines="50" w:line="460" w:lineRule="exact"/>
              <w:rPr>
                <w:rFonts w:ascii="宋体" w:hAnsi="宋体"/>
                <w:b/>
                <w:sz w:val="24"/>
              </w:rPr>
            </w:pPr>
            <w:r>
              <w:rPr>
                <w:rFonts w:ascii="宋体" w:hAnsi="宋体"/>
                <w:b/>
                <w:sz w:val="24"/>
              </w:rPr>
              <w:t>投资者提出的问题及公司回复情况</w:t>
            </w:r>
          </w:p>
          <w:p w14:paraId="2C574276">
            <w:pPr>
              <w:spacing w:line="460" w:lineRule="exact"/>
              <w:ind w:firstLine="480" w:firstLineChars="200"/>
              <w:rPr>
                <w:rFonts w:ascii="宋体" w:hAnsi="宋体"/>
                <w:sz w:val="24"/>
              </w:rPr>
            </w:pPr>
            <w:r>
              <w:rPr>
                <w:rFonts w:ascii="宋体" w:hAnsi="宋体" w:eastAsia="宋体" w:cs="宋体"/>
                <w:sz w:val="24"/>
              </w:rPr>
              <w:t>公司就投资者在本次说明会中提出的问题进行了回复：</w:t>
            </w:r>
          </w:p>
          <w:p w14:paraId="346EB031">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1、公司未来分红、回购计划如何规划？如何保障中小股东长期利益？</w:t>
            </w:r>
          </w:p>
          <w:p w14:paraId="7CE49CE2">
            <w:pPr>
              <w:pStyle w:val="7"/>
              <w:spacing w:line="460" w:lineRule="exact"/>
              <w:ind w:left="-2" w:leftChars="-1" w:firstLine="480"/>
              <w:rPr>
                <w:rFonts w:hint="default" w:ascii="宋体" w:hAnsi="宋体"/>
                <w:sz w:val="24"/>
                <w:szCs w:val="24"/>
              </w:rPr>
            </w:pPr>
            <w:r>
              <w:rPr>
                <w:rFonts w:hint="default" w:ascii="宋体" w:hAnsi="宋体"/>
                <w:sz w:val="24"/>
                <w:szCs w:val="24"/>
              </w:rPr>
              <w:t>公司高度重视保障中小股东利益，2025年度现金分红比例达66.61%，处于行业领先水平，并按股份回购计划实施回购，自2025年6月27日至2026年6月26日期间累计回购公司股份414.46万股并注销。未来，公司将继续结合经营发展情况、现金流状况及长远战略规划，进一步提高现金分红比例，同时，积极实施包括股份回购在内的多种措施，提升公司的投资价值，回馈广大投资者。感谢您的关注。</w:t>
            </w:r>
          </w:p>
          <w:p w14:paraId="169B0CB2">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2、请问在拓展外部市场、降低对控股股东业务依赖方面，公司有哪些布局？</w:t>
            </w:r>
          </w:p>
          <w:p w14:paraId="3E0662D7">
            <w:pPr>
              <w:pStyle w:val="7"/>
              <w:spacing w:line="460" w:lineRule="exact"/>
              <w:ind w:left="-2" w:leftChars="-1" w:firstLine="480"/>
              <w:rPr>
                <w:rFonts w:hint="default" w:ascii="宋体" w:hAnsi="宋体"/>
                <w:sz w:val="24"/>
                <w:szCs w:val="24"/>
              </w:rPr>
            </w:pPr>
            <w:r>
              <w:rPr>
                <w:rFonts w:hint="default" w:ascii="宋体" w:hAnsi="宋体"/>
                <w:sz w:val="24"/>
                <w:szCs w:val="24"/>
              </w:rPr>
              <w:t>公司与控股股东发生的关联交易系公司日常经营活动所需，并严格遵循了市场交易原则，交易定价合理，有利于提高公司运营效率，也不会影响公司独立性。后续，公司将持续提升产品竞争力和市场拓展能力，积极扩大生态合作，不断丰富客户结构。感谢您的关注。</w:t>
            </w:r>
          </w:p>
          <w:p w14:paraId="6FF8A7D9">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3、请问公司如何划分传统业务与战新业务，战新业务当前营收占比情况如何？</w:t>
            </w:r>
          </w:p>
          <w:p w14:paraId="503CA7E8">
            <w:pPr>
              <w:pStyle w:val="7"/>
              <w:spacing w:line="460" w:lineRule="exact"/>
              <w:ind w:left="-2" w:leftChars="-1" w:firstLine="480"/>
              <w:rPr>
                <w:rFonts w:hint="default" w:ascii="宋体" w:hAnsi="宋体"/>
                <w:sz w:val="24"/>
                <w:szCs w:val="24"/>
              </w:rPr>
            </w:pPr>
            <w:r>
              <w:rPr>
                <w:rFonts w:hint="default" w:ascii="宋体" w:hAnsi="宋体"/>
                <w:sz w:val="24"/>
                <w:szCs w:val="24"/>
              </w:rPr>
              <w:t>国脉文化公司紧扣“一体两翼三云四脉五要”及电信集团“云改数转智惠”战略，聚焦数字内容、数智应用、实体场景、数字权益、数字创意及其他业务板块，持续推进存量传统业务的数智化改造，迭代平台能力，深化数智化转型。截至目前，数智化相关收入占比已超40%。感谢您的关注。</w:t>
            </w:r>
          </w:p>
          <w:p w14:paraId="5F9C4432">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4、云智手机的目标客户群体和定价策略是什么？</w:t>
            </w:r>
          </w:p>
          <w:p w14:paraId="5D7DD1B8">
            <w:pPr>
              <w:pStyle w:val="7"/>
              <w:spacing w:line="460" w:lineRule="exact"/>
              <w:ind w:left="-2" w:leftChars="-1" w:firstLine="480"/>
              <w:rPr>
                <w:rFonts w:hint="default" w:ascii="宋体" w:hAnsi="宋体"/>
                <w:sz w:val="24"/>
                <w:szCs w:val="24"/>
              </w:rPr>
            </w:pPr>
            <w:r>
              <w:rPr>
                <w:rFonts w:hint="default" w:ascii="宋体" w:hAnsi="宋体"/>
                <w:sz w:val="24"/>
                <w:szCs w:val="24"/>
              </w:rPr>
              <w:t>云智手机的目标客群体覆盖职场白领、中老年用户、云游戏玩家和 AI 尝鲜人群。定价上采用基础免费+高端套餐附赠+增值订购模式，核心是把AI算力打包成通信套餐增值权益，提升存量用户粘性，带动套餐升级。感谢您的关注。</w:t>
            </w:r>
          </w:p>
          <w:p w14:paraId="3AA7C2A1">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5、云智手机目前是否已有付费客户或意向订单？</w:t>
            </w:r>
          </w:p>
          <w:p w14:paraId="6B779F7B">
            <w:pPr>
              <w:pStyle w:val="7"/>
              <w:spacing w:line="460" w:lineRule="exact"/>
              <w:ind w:left="-2" w:leftChars="-1" w:firstLine="480"/>
              <w:rPr>
                <w:rFonts w:hint="default" w:ascii="宋体" w:hAnsi="宋体"/>
                <w:sz w:val="24"/>
                <w:szCs w:val="24"/>
              </w:rPr>
            </w:pPr>
            <w:r>
              <w:rPr>
                <w:rFonts w:hint="default" w:ascii="宋体" w:hAnsi="宋体"/>
                <w:sz w:val="24"/>
                <w:szCs w:val="24"/>
              </w:rPr>
              <w:t>云智手机已经在中国电信全国 31 省公众渠道正式上架销售，并且已经发展了一批付费客户。业务以面向 C 端个人用户订阅为主，现阶段主要依托校园秋促、积分兑换、套餐叠加实现个人用户付费转化；后续将持续丰富技能供给，深化与各省电信业务场景融合，推动付费用户规模提升。感谢您的关注。</w:t>
            </w:r>
          </w:p>
          <w:p w14:paraId="7A365698">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6、公司在数字文创、新媒体运营方面的布局进展如何，如何提升内容变现能力？</w:t>
            </w:r>
          </w:p>
          <w:p w14:paraId="3DE1B373">
            <w:pPr>
              <w:pStyle w:val="7"/>
              <w:spacing w:line="460" w:lineRule="exact"/>
              <w:ind w:left="-2" w:leftChars="-1" w:firstLine="480"/>
              <w:rPr>
                <w:rFonts w:hint="default" w:ascii="宋体" w:hAnsi="宋体"/>
                <w:sz w:val="24"/>
                <w:szCs w:val="24"/>
              </w:rPr>
            </w:pPr>
            <w:r>
              <w:rPr>
                <w:rFonts w:hint="default" w:ascii="宋体" w:hAnsi="宋体"/>
                <w:sz w:val="24"/>
                <w:szCs w:val="24"/>
              </w:rPr>
              <w:t>公司在数字文创领域持续深化布局。数字创意板块方面，自研“云生 3D 视觉大模型” 实现云端实时2D转3D 技术突破，同步推进 3D 创意社区、“数字人 + 智能终端” 沉浸式空间相关能力建设。2026 年上半年，公司完成 B 端一站式 AIGC 创作管理平台主体开发与内部试用，具备多模态内容生产、企业媒资沉淀、全链路合规管控等核心能力。内容变现方面，公司依托 AIGC 技术夯实内容生产技术能力，推进自有 IP 商业化探索，拓展多元变现路径，持续提升内容价值转化效率。感谢您的关注。</w:t>
            </w:r>
          </w:p>
          <w:p w14:paraId="68DCB2E2">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7、上半年归母净利润同比增长13.30，但扣非净利润同比下降31.17，扣非净利润下降的具体原因是什么？</w:t>
            </w:r>
          </w:p>
          <w:p w14:paraId="6BDC5808">
            <w:pPr>
              <w:pStyle w:val="7"/>
              <w:spacing w:line="460" w:lineRule="exact"/>
              <w:ind w:left="-2" w:leftChars="-1" w:firstLine="480"/>
              <w:rPr>
                <w:rFonts w:hint="default" w:ascii="宋体" w:hAnsi="宋体"/>
                <w:sz w:val="24"/>
                <w:szCs w:val="24"/>
              </w:rPr>
            </w:pPr>
            <w:r>
              <w:rPr>
                <w:rFonts w:hint="default" w:ascii="宋体" w:hAnsi="宋体"/>
                <w:sz w:val="24"/>
                <w:szCs w:val="24"/>
              </w:rPr>
              <w:t>公司2026年上半年扣非净利润的变化主要原因是公司大额存单到期后购买结构性存款，对应收益转入非经常性损益，剔除该因素后扣非净利润同比增幅为正。感谢您的关注。</w:t>
            </w:r>
          </w:p>
          <w:p w14:paraId="202D240B">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8、董秘一而再再而三的强调公司没有跟头部一些企业进行深度合作，我想问的是公司是出于什么样的一种战略考虑拒绝与这些头部企业进行深度合作，公司享受着最好的社会资源，理应回馈广大投资者更好的回报</w:t>
            </w:r>
          </w:p>
          <w:p w14:paraId="0282683E">
            <w:pPr>
              <w:pStyle w:val="7"/>
              <w:spacing w:line="460" w:lineRule="exact"/>
              <w:ind w:left="-2" w:leftChars="-1" w:firstLine="480"/>
              <w:rPr>
                <w:rFonts w:hint="default" w:ascii="宋体" w:hAnsi="宋体"/>
                <w:sz w:val="24"/>
                <w:szCs w:val="24"/>
              </w:rPr>
            </w:pPr>
            <w:r>
              <w:rPr>
                <w:rFonts w:hint="default" w:ascii="宋体" w:hAnsi="宋体"/>
                <w:sz w:val="24"/>
                <w:szCs w:val="24"/>
              </w:rPr>
              <w:t>公司始终秉持开放合作的态度，积极与包括行业头部企业在内的各类优秀合作伙伴开展多层次的业务交流与生态协作，共同推动数字文化产业繁荣发展。在合作方式上，公司基于自身战略定位和业务发展需要，审慎把握合作模式与合作深度，旨在实现可持续的价值共创，努力以经营成效回馈广大投资者。感谢您的关注。</w:t>
            </w:r>
          </w:p>
          <w:p w14:paraId="12F6DA9B">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9、公司如何把握数字内容消费与信息通信服务融合发展的机遇，培育新的增长点？</w:t>
            </w:r>
          </w:p>
          <w:p w14:paraId="5E3A95AC">
            <w:pPr>
              <w:pStyle w:val="7"/>
              <w:spacing w:line="460" w:lineRule="exact"/>
              <w:ind w:left="-2" w:leftChars="-1" w:firstLine="480"/>
              <w:rPr>
                <w:rFonts w:hint="default" w:ascii="宋体" w:hAnsi="宋体"/>
                <w:sz w:val="24"/>
                <w:szCs w:val="24"/>
              </w:rPr>
            </w:pPr>
            <w:r>
              <w:rPr>
                <w:rFonts w:hint="default" w:ascii="宋体" w:hAnsi="宋体"/>
                <w:sz w:val="24"/>
                <w:szCs w:val="24"/>
              </w:rPr>
              <w:t>公司积极把握数字内容消费与信息通信服务融合发展的机遇，以云智手机为核心载体，探索“AI+通信”深度融合新模式。云智手机作为中国电信AI升级核心产品已在WAIC大会正式发布，产品融合AI影音、游戏、出行、生活服务四大模块，并持续探索与5G新消息、新通话等通信能力的深度结合，实现服务直达用户，降低使用门槛。公司将依托中国电信云网融合优势，推动数字内容与通信服务场景化融合，培育新增长点。感谢您的关注。</w:t>
            </w:r>
          </w:p>
          <w:p w14:paraId="678E3274">
            <w:pPr>
              <w:pStyle w:val="7"/>
              <w:numPr>
                <w:ilvl w:val="0"/>
                <w:numId w:val="0"/>
              </w:numPr>
              <w:spacing w:line="460" w:lineRule="exact"/>
              <w:ind w:left="413" w:leftChars="0"/>
              <w:rPr>
                <w:rFonts w:ascii="宋体" w:hAnsi="宋体"/>
                <w:b/>
                <w:sz w:val="24"/>
                <w:szCs w:val="24"/>
              </w:rPr>
            </w:pPr>
            <w:r>
              <w:rPr>
                <w:rFonts w:hint="default" w:ascii="宋体" w:hAnsi="宋体"/>
                <w:b/>
                <w:sz w:val="24"/>
                <w:szCs w:val="24"/>
              </w:rPr>
              <w:t>10、贵公司的先进技术有哪些？现金流是否充足，有没有重组的可能？</w:t>
            </w:r>
          </w:p>
          <w:p w14:paraId="42272FE2">
            <w:pPr>
              <w:pStyle w:val="7"/>
              <w:spacing w:line="460" w:lineRule="exact"/>
              <w:ind w:left="-2" w:leftChars="-1" w:firstLine="480"/>
              <w:rPr>
                <w:rFonts w:hint="default" w:ascii="宋体" w:hAnsi="宋体"/>
                <w:sz w:val="24"/>
                <w:szCs w:val="24"/>
              </w:rPr>
            </w:pPr>
            <w:r>
              <w:rPr>
                <w:rFonts w:hint="default" w:ascii="宋体" w:hAnsi="宋体"/>
                <w:sz w:val="24"/>
                <w:szCs w:val="24"/>
              </w:rPr>
              <w:t>公司聚焦数字内容主责主业，加大重点产品的研发投入，着力提升核心能力，组建"云生、云治、云擎"三大AI特色工作室，分别聚焦AIGC内容生产、AIDC企业治理智能化及智能体平台建设，自主研发了云生3D视觉大模型、天翼出行智能体、AIGC内容生产平台等应用及能力底座，同时云智手机作为中国电信AI升级核心产品正式发布。公司现金流稳健，未来将加大重点产品的研发投入，并积极通过资本工具引导资源向人工智能、AIGC等前瞻性产业集中，旨在通过整合优质资产，增强公司核心竞争力，同时提升资金使用效率。感谢您的关注。</w:t>
            </w:r>
          </w:p>
          <w:p w14:paraId="0CF57947">
            <w:pPr>
              <w:pStyle w:val="7"/>
              <w:spacing w:line="460" w:lineRule="exact"/>
              <w:ind w:left="-2" w:leftChars="-1" w:firstLine="480"/>
              <w:rPr>
                <w:rFonts w:hint="default" w:ascii="宋体" w:hAnsi="宋体"/>
                <w:sz w:val="24"/>
                <w:szCs w:val="24"/>
              </w:rPr>
            </w:pPr>
          </w:p>
          <w:p w14:paraId="6324662A">
            <w:pPr>
              <w:pStyle w:val="7"/>
              <w:spacing w:line="460" w:lineRule="exact"/>
              <w:ind w:firstLine="120" w:firstLineChars="50"/>
              <w:rPr>
                <w:rFonts w:ascii="宋体" w:hAnsi="宋体"/>
                <w:sz w:val="24"/>
                <w:szCs w:val="24"/>
              </w:rPr>
            </w:pPr>
          </w:p>
          <w:p w14:paraId="540398AF">
            <w:pPr>
              <w:adjustRightInd w:val="0"/>
              <w:snapToGrid w:val="0"/>
              <w:spacing w:line="500" w:lineRule="exact"/>
              <w:rPr>
                <w:rFonts w:ascii="宋体" w:hAnsi="宋体"/>
                <w:bCs/>
                <w:iCs/>
                <w:color w:val="000000"/>
                <w:sz w:val="24"/>
              </w:rPr>
            </w:pPr>
          </w:p>
        </w:tc>
      </w:tr>
      <w:tr w14:paraId="76ED2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2D69044A">
            <w:pPr>
              <w:spacing w:line="420" w:lineRule="exact"/>
              <w:rPr>
                <w:bCs/>
                <w:iCs/>
                <w:color w:val="000000"/>
                <w:kern w:val="0"/>
                <w:sz w:val="24"/>
              </w:rPr>
            </w:pPr>
            <w:r>
              <w:rPr>
                <w:rFonts w:hAnsi="宋体"/>
                <w:bCs/>
                <w:iCs/>
                <w:color w:val="000000"/>
                <w:kern w:val="0"/>
                <w:sz w:val="24"/>
              </w:rPr>
              <w:t>附件清单（如有）</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7673FF5B">
            <w:pPr>
              <w:spacing w:line="420" w:lineRule="exact"/>
              <w:rPr>
                <w:bCs/>
                <w:iCs/>
                <w:color w:val="000000"/>
                <w:sz w:val="24"/>
              </w:rPr>
            </w:pPr>
          </w:p>
        </w:tc>
      </w:tr>
      <w:tr w14:paraId="536E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08" w:type="dxa"/>
            <w:tcBorders>
              <w:top w:val="single" w:color="auto" w:sz="4" w:space="0"/>
              <w:left w:val="single" w:color="auto" w:sz="4" w:space="0"/>
              <w:bottom w:val="single" w:color="auto" w:sz="4" w:space="0"/>
              <w:right w:val="single" w:color="auto" w:sz="4" w:space="0"/>
            </w:tcBorders>
            <w:noWrap w:val="0"/>
            <w:vAlign w:val="center"/>
          </w:tcPr>
          <w:p w14:paraId="34B08E14">
            <w:pPr>
              <w:spacing w:line="420" w:lineRule="exact"/>
              <w:rPr>
                <w:bCs/>
                <w:iCs/>
                <w:color w:val="000000"/>
                <w:kern w:val="0"/>
                <w:sz w:val="24"/>
              </w:rPr>
            </w:pPr>
            <w:r>
              <w:rPr>
                <w:rFonts w:hAnsi="宋体"/>
                <w:bCs/>
                <w:iCs/>
                <w:color w:val="000000"/>
                <w:kern w:val="0"/>
                <w:sz w:val="24"/>
              </w:rPr>
              <w:t>日期</w:t>
            </w:r>
          </w:p>
        </w:tc>
        <w:tc>
          <w:tcPr>
            <w:tcW w:w="6847" w:type="dxa"/>
            <w:tcBorders>
              <w:top w:val="single" w:color="auto" w:sz="4" w:space="0"/>
              <w:left w:val="single" w:color="auto" w:sz="4" w:space="0"/>
              <w:bottom w:val="single" w:color="auto" w:sz="4" w:space="0"/>
              <w:right w:val="single" w:color="auto" w:sz="4" w:space="0"/>
            </w:tcBorders>
            <w:noWrap w:val="0"/>
            <w:vAlign w:val="top"/>
          </w:tcPr>
          <w:p w14:paraId="0ED77AC1">
            <w:pPr>
              <w:spacing w:line="420" w:lineRule="exact"/>
              <w:rPr>
                <w:rFonts w:hint="eastAsia" w:eastAsia="宋体"/>
                <w:bCs/>
                <w:iCs/>
                <w:color w:val="000000"/>
                <w:sz w:val="24"/>
                <w:lang w:eastAsia="zh-CN"/>
              </w:rPr>
            </w:pPr>
            <w:r>
              <w:rPr>
                <w:bCs/>
                <w:iCs/>
                <w:color w:val="000000"/>
                <w:sz w:val="24"/>
              </w:rPr>
              <w:t>2026-09-1</w:t>
            </w:r>
            <w:r>
              <w:rPr>
                <w:rFonts w:hint="eastAsia"/>
                <w:bCs/>
                <w:iCs/>
                <w:color w:val="000000"/>
                <w:sz w:val="24"/>
                <w:lang w:val="en-US" w:eastAsia="zh-CN"/>
              </w:rPr>
              <w:t>6</w:t>
            </w:r>
            <w:bookmarkStart w:id="0" w:name="_GoBack"/>
            <w:bookmarkEnd w:id="0"/>
          </w:p>
        </w:tc>
      </w:tr>
    </w:tbl>
    <w:p w14:paraId="6CD78322"/>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ED4F1">
    <w:pPr>
      <w:pStyle w:val="2"/>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EC162">
    <w:pPr>
      <w:pStyle w:val="3"/>
      <w:pBdr>
        <w:bottom w:val="none" w:color="auto" w:sz="0" w:space="0"/>
      </w:pBdr>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1C7"/>
    <w:rsid w:val="000268C0"/>
    <w:rsid w:val="000363B5"/>
    <w:rsid w:val="000375D7"/>
    <w:rsid w:val="00043015"/>
    <w:rsid w:val="00046DDE"/>
    <w:rsid w:val="00047EB9"/>
    <w:rsid w:val="00060A74"/>
    <w:rsid w:val="00067110"/>
    <w:rsid w:val="0009298A"/>
    <w:rsid w:val="000A2808"/>
    <w:rsid w:val="000A3BAC"/>
    <w:rsid w:val="000C26FD"/>
    <w:rsid w:val="000C2D85"/>
    <w:rsid w:val="000E5700"/>
    <w:rsid w:val="000F0C4B"/>
    <w:rsid w:val="000F0E22"/>
    <w:rsid w:val="00105A04"/>
    <w:rsid w:val="001169A9"/>
    <w:rsid w:val="00125EB2"/>
    <w:rsid w:val="00142A4C"/>
    <w:rsid w:val="00144279"/>
    <w:rsid w:val="001452FF"/>
    <w:rsid w:val="0016617A"/>
    <w:rsid w:val="00167E99"/>
    <w:rsid w:val="001975AB"/>
    <w:rsid w:val="001A00F5"/>
    <w:rsid w:val="001A1F65"/>
    <w:rsid w:val="001A5CE9"/>
    <w:rsid w:val="001C50AD"/>
    <w:rsid w:val="001D22EE"/>
    <w:rsid w:val="001D4C89"/>
    <w:rsid w:val="001E1838"/>
    <w:rsid w:val="001E3145"/>
    <w:rsid w:val="001E6509"/>
    <w:rsid w:val="001E7968"/>
    <w:rsid w:val="0022180A"/>
    <w:rsid w:val="00223ABC"/>
    <w:rsid w:val="002241B9"/>
    <w:rsid w:val="002274D9"/>
    <w:rsid w:val="0023455A"/>
    <w:rsid w:val="00237994"/>
    <w:rsid w:val="00251D58"/>
    <w:rsid w:val="002530EE"/>
    <w:rsid w:val="002549E6"/>
    <w:rsid w:val="00256602"/>
    <w:rsid w:val="00271C8D"/>
    <w:rsid w:val="00273B53"/>
    <w:rsid w:val="0028080C"/>
    <w:rsid w:val="00295257"/>
    <w:rsid w:val="00297703"/>
    <w:rsid w:val="002A0826"/>
    <w:rsid w:val="002A0984"/>
    <w:rsid w:val="002A589B"/>
    <w:rsid w:val="002B1184"/>
    <w:rsid w:val="002B71B8"/>
    <w:rsid w:val="002B7469"/>
    <w:rsid w:val="002C22C6"/>
    <w:rsid w:val="002C6568"/>
    <w:rsid w:val="002C723B"/>
    <w:rsid w:val="002D39BC"/>
    <w:rsid w:val="002E1B15"/>
    <w:rsid w:val="002E1D3A"/>
    <w:rsid w:val="003005F0"/>
    <w:rsid w:val="003030BF"/>
    <w:rsid w:val="00304F89"/>
    <w:rsid w:val="00306023"/>
    <w:rsid w:val="00327D5D"/>
    <w:rsid w:val="00344914"/>
    <w:rsid w:val="00346917"/>
    <w:rsid w:val="00354A7B"/>
    <w:rsid w:val="00360FDA"/>
    <w:rsid w:val="00363075"/>
    <w:rsid w:val="00367D18"/>
    <w:rsid w:val="00372A1C"/>
    <w:rsid w:val="0037435A"/>
    <w:rsid w:val="00377D8F"/>
    <w:rsid w:val="00383679"/>
    <w:rsid w:val="003A1E68"/>
    <w:rsid w:val="003B0122"/>
    <w:rsid w:val="003B0BE5"/>
    <w:rsid w:val="003D18F1"/>
    <w:rsid w:val="003E001E"/>
    <w:rsid w:val="003F7C4D"/>
    <w:rsid w:val="0040075F"/>
    <w:rsid w:val="00403300"/>
    <w:rsid w:val="004118C0"/>
    <w:rsid w:val="00417A31"/>
    <w:rsid w:val="0042004B"/>
    <w:rsid w:val="00433384"/>
    <w:rsid w:val="0043777D"/>
    <w:rsid w:val="0045767F"/>
    <w:rsid w:val="00463E9B"/>
    <w:rsid w:val="00467414"/>
    <w:rsid w:val="00473F30"/>
    <w:rsid w:val="0048591A"/>
    <w:rsid w:val="00486D86"/>
    <w:rsid w:val="0048721A"/>
    <w:rsid w:val="004A0BD5"/>
    <w:rsid w:val="004A1BBF"/>
    <w:rsid w:val="004A73E5"/>
    <w:rsid w:val="004C19BF"/>
    <w:rsid w:val="004D7640"/>
    <w:rsid w:val="004E1A9B"/>
    <w:rsid w:val="00500AB6"/>
    <w:rsid w:val="005155FB"/>
    <w:rsid w:val="00523907"/>
    <w:rsid w:val="00537C53"/>
    <w:rsid w:val="005438F5"/>
    <w:rsid w:val="00544901"/>
    <w:rsid w:val="005474D3"/>
    <w:rsid w:val="00550737"/>
    <w:rsid w:val="00555DD2"/>
    <w:rsid w:val="00565ED9"/>
    <w:rsid w:val="005760C6"/>
    <w:rsid w:val="00585A1B"/>
    <w:rsid w:val="00591260"/>
    <w:rsid w:val="00591314"/>
    <w:rsid w:val="00593D40"/>
    <w:rsid w:val="00595F1B"/>
    <w:rsid w:val="005A3BE0"/>
    <w:rsid w:val="005B1026"/>
    <w:rsid w:val="005B642F"/>
    <w:rsid w:val="005C04C1"/>
    <w:rsid w:val="005C1785"/>
    <w:rsid w:val="005D2D87"/>
    <w:rsid w:val="005D6A09"/>
    <w:rsid w:val="005E2B4B"/>
    <w:rsid w:val="005E5F63"/>
    <w:rsid w:val="005E6BA1"/>
    <w:rsid w:val="0060779A"/>
    <w:rsid w:val="00622F13"/>
    <w:rsid w:val="00625503"/>
    <w:rsid w:val="0062662D"/>
    <w:rsid w:val="00632E78"/>
    <w:rsid w:val="006344F1"/>
    <w:rsid w:val="00637186"/>
    <w:rsid w:val="00646DF4"/>
    <w:rsid w:val="00651DE6"/>
    <w:rsid w:val="006523BB"/>
    <w:rsid w:val="0065347E"/>
    <w:rsid w:val="00654B49"/>
    <w:rsid w:val="00662505"/>
    <w:rsid w:val="0066674C"/>
    <w:rsid w:val="006760F7"/>
    <w:rsid w:val="006861C7"/>
    <w:rsid w:val="00686DDF"/>
    <w:rsid w:val="00697B12"/>
    <w:rsid w:val="006A55BB"/>
    <w:rsid w:val="006A7613"/>
    <w:rsid w:val="006B661A"/>
    <w:rsid w:val="006B7D00"/>
    <w:rsid w:val="006C6BC5"/>
    <w:rsid w:val="006D61A2"/>
    <w:rsid w:val="006E1DB4"/>
    <w:rsid w:val="00753DB6"/>
    <w:rsid w:val="00763847"/>
    <w:rsid w:val="00771FE3"/>
    <w:rsid w:val="00776BDE"/>
    <w:rsid w:val="00786870"/>
    <w:rsid w:val="00792237"/>
    <w:rsid w:val="0079272A"/>
    <w:rsid w:val="007A1DA9"/>
    <w:rsid w:val="007B2252"/>
    <w:rsid w:val="007B79D9"/>
    <w:rsid w:val="007C67B1"/>
    <w:rsid w:val="007E354A"/>
    <w:rsid w:val="007E69C8"/>
    <w:rsid w:val="0080525B"/>
    <w:rsid w:val="008062C5"/>
    <w:rsid w:val="0080741A"/>
    <w:rsid w:val="00814B5B"/>
    <w:rsid w:val="00836F34"/>
    <w:rsid w:val="00843E73"/>
    <w:rsid w:val="00844EBF"/>
    <w:rsid w:val="00854F61"/>
    <w:rsid w:val="00864202"/>
    <w:rsid w:val="00873B59"/>
    <w:rsid w:val="0087701F"/>
    <w:rsid w:val="0089283D"/>
    <w:rsid w:val="008A0ADC"/>
    <w:rsid w:val="008A1BAB"/>
    <w:rsid w:val="008B38B7"/>
    <w:rsid w:val="008B458E"/>
    <w:rsid w:val="008C4D4A"/>
    <w:rsid w:val="008E11AE"/>
    <w:rsid w:val="008E1708"/>
    <w:rsid w:val="008E4844"/>
    <w:rsid w:val="00904492"/>
    <w:rsid w:val="00904DFB"/>
    <w:rsid w:val="0091457B"/>
    <w:rsid w:val="00923763"/>
    <w:rsid w:val="00930ED6"/>
    <w:rsid w:val="0093293F"/>
    <w:rsid w:val="00933105"/>
    <w:rsid w:val="009474EF"/>
    <w:rsid w:val="00962626"/>
    <w:rsid w:val="009767DD"/>
    <w:rsid w:val="00977AF2"/>
    <w:rsid w:val="00985FC5"/>
    <w:rsid w:val="00993BDD"/>
    <w:rsid w:val="009A6DFB"/>
    <w:rsid w:val="009B6EC0"/>
    <w:rsid w:val="009C7FAF"/>
    <w:rsid w:val="009D4199"/>
    <w:rsid w:val="009E5E6A"/>
    <w:rsid w:val="009F0DD5"/>
    <w:rsid w:val="009F1B95"/>
    <w:rsid w:val="009F6C05"/>
    <w:rsid w:val="00A13CB6"/>
    <w:rsid w:val="00A14A1A"/>
    <w:rsid w:val="00A22CDD"/>
    <w:rsid w:val="00A25AEE"/>
    <w:rsid w:val="00A31EB1"/>
    <w:rsid w:val="00A33AEA"/>
    <w:rsid w:val="00A461CD"/>
    <w:rsid w:val="00A469C5"/>
    <w:rsid w:val="00A5317D"/>
    <w:rsid w:val="00A6284E"/>
    <w:rsid w:val="00A63E81"/>
    <w:rsid w:val="00A8775A"/>
    <w:rsid w:val="00AA5998"/>
    <w:rsid w:val="00AB07E7"/>
    <w:rsid w:val="00AD1BA8"/>
    <w:rsid w:val="00B02A29"/>
    <w:rsid w:val="00B03522"/>
    <w:rsid w:val="00B04AD6"/>
    <w:rsid w:val="00B14CAA"/>
    <w:rsid w:val="00B257CE"/>
    <w:rsid w:val="00B4746C"/>
    <w:rsid w:val="00B65354"/>
    <w:rsid w:val="00B71A0E"/>
    <w:rsid w:val="00B81765"/>
    <w:rsid w:val="00B832F5"/>
    <w:rsid w:val="00BA2FAB"/>
    <w:rsid w:val="00BB5E28"/>
    <w:rsid w:val="00BD15F3"/>
    <w:rsid w:val="00BD7986"/>
    <w:rsid w:val="00BD79D3"/>
    <w:rsid w:val="00C04F82"/>
    <w:rsid w:val="00C15AC0"/>
    <w:rsid w:val="00C26030"/>
    <w:rsid w:val="00C41091"/>
    <w:rsid w:val="00C63056"/>
    <w:rsid w:val="00C661D1"/>
    <w:rsid w:val="00C775BA"/>
    <w:rsid w:val="00C85331"/>
    <w:rsid w:val="00C85A50"/>
    <w:rsid w:val="00C94D46"/>
    <w:rsid w:val="00CA443A"/>
    <w:rsid w:val="00CB2461"/>
    <w:rsid w:val="00CB37FD"/>
    <w:rsid w:val="00CC4D65"/>
    <w:rsid w:val="00CC61E7"/>
    <w:rsid w:val="00CD25AD"/>
    <w:rsid w:val="00CD3FFC"/>
    <w:rsid w:val="00CF565C"/>
    <w:rsid w:val="00D016A3"/>
    <w:rsid w:val="00D512E3"/>
    <w:rsid w:val="00D602C9"/>
    <w:rsid w:val="00DA26A9"/>
    <w:rsid w:val="00DB01FF"/>
    <w:rsid w:val="00DC7778"/>
    <w:rsid w:val="00DE7391"/>
    <w:rsid w:val="00DF2DB5"/>
    <w:rsid w:val="00DF6560"/>
    <w:rsid w:val="00E04CC0"/>
    <w:rsid w:val="00E136FF"/>
    <w:rsid w:val="00E32528"/>
    <w:rsid w:val="00E35F26"/>
    <w:rsid w:val="00E53165"/>
    <w:rsid w:val="00E61EF7"/>
    <w:rsid w:val="00E663B4"/>
    <w:rsid w:val="00E80CEB"/>
    <w:rsid w:val="00EA5103"/>
    <w:rsid w:val="00EA6FB9"/>
    <w:rsid w:val="00EB5E6A"/>
    <w:rsid w:val="00EC2AD7"/>
    <w:rsid w:val="00ED7DE0"/>
    <w:rsid w:val="00EE7891"/>
    <w:rsid w:val="00EF49FE"/>
    <w:rsid w:val="00EF5341"/>
    <w:rsid w:val="00F04908"/>
    <w:rsid w:val="00F07C21"/>
    <w:rsid w:val="00F12EF6"/>
    <w:rsid w:val="00F21065"/>
    <w:rsid w:val="00F24CB4"/>
    <w:rsid w:val="00F43465"/>
    <w:rsid w:val="00F45475"/>
    <w:rsid w:val="00F64E72"/>
    <w:rsid w:val="00F70C7D"/>
    <w:rsid w:val="00F9272E"/>
    <w:rsid w:val="00F97743"/>
    <w:rsid w:val="00FA6DAF"/>
    <w:rsid w:val="00FC6884"/>
    <w:rsid w:val="00FE62F3"/>
    <w:rsid w:val="00FF71D2"/>
    <w:rsid w:val="1B2418A5"/>
    <w:rsid w:val="1CA645CA"/>
    <w:rsid w:val="1FBFC074"/>
    <w:rsid w:val="36FB9E1F"/>
    <w:rsid w:val="3BFA3B96"/>
    <w:rsid w:val="3CEF3472"/>
    <w:rsid w:val="3EFF16E9"/>
    <w:rsid w:val="77CF73AC"/>
    <w:rsid w:val="78FF0116"/>
    <w:rsid w:val="B7DDD54D"/>
    <w:rsid w:val="E3FFE6ED"/>
    <w:rsid w:val="F5DB8A63"/>
    <w:rsid w:val="F797912E"/>
    <w:rsid w:val="FE7B489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7">
    <w:name w:val="_Style 6"/>
    <w:basedOn w:val="1"/>
    <w:qFormat/>
    <w:uiPriority w:val="34"/>
    <w:pPr>
      <w:ind w:firstLine="420" w:firstLineChars="200"/>
    </w:pPr>
    <w:rPr>
      <w:rFonts w:ascii="Calibri" w:hAnsi="Calibri" w:eastAsia="宋体" w:cs="Times New Roman"/>
      <w:szCs w:val="22"/>
    </w:rPr>
  </w:style>
  <w:style w:type="paragraph" w:customStyle="1" w:styleId="8">
    <w:name w:val="Char Char Char"/>
    <w:basedOn w:val="1"/>
    <w:qFormat/>
    <w:uiPriority w:val="0"/>
    <w:rPr>
      <w:szCs w:val="21"/>
    </w:rPr>
  </w:style>
  <w:style w:type="paragraph" w:customStyle="1" w:styleId="9">
    <w:name w:val="Char Char Char Char Char Char Char Char Char Char Char Char Char Char Char Char"/>
    <w:basedOn w:val="1"/>
    <w:qFormat/>
    <w:uiPriority w:val="0"/>
  </w:style>
  <w:style w:type="paragraph" w:customStyle="1" w:styleId="10">
    <w:name w:val=" Char Char Char"/>
    <w:basedOn w:val="1"/>
    <w:qFormat/>
    <w:uiPriority w:val="0"/>
  </w:style>
  <w:style w:type="character" w:customStyle="1" w:styleId="11">
    <w:name w:val="页脚 Char"/>
    <w:basedOn w:val="6"/>
    <w:link w:val="2"/>
    <w:qFormat/>
    <w:uiPriority w:val="0"/>
    <w:rPr>
      <w:kern w:val="2"/>
      <w:sz w:val="18"/>
      <w:szCs w:val="18"/>
    </w:rPr>
  </w:style>
  <w:style w:type="character" w:customStyle="1" w:styleId="12">
    <w:name w:val="页眉 Char"/>
    <w:basedOn w:val="6"/>
    <w:link w:val="3"/>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4</Pages>
  <Words>2166</Words>
  <Characters>2293</Characters>
  <Lines>60</Lines>
  <Paragraphs>17</Paragraphs>
  <TotalTime>2</TotalTime>
  <ScaleCrop>false</ScaleCrop>
  <LinksUpToDate>false</LinksUpToDate>
  <CharactersWithSpaces>2446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2012-09-09T08:59:00Z</dcterms:created>
  <dc:creator>微软用户</dc:creator>
  <cp:lastModifiedBy>董旭宁</cp:lastModifiedBy>
  <cp:lastPrinted>2014-02-21T05:34:00Z</cp:lastPrinted>
  <dcterms:modified xsi:type="dcterms:W3CDTF">2026-09-17T02:42:58Z</dcterms:modified>
  <cp:revision>262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96E2ECCDCBDA40628928FD2315ED2367_13</vt:lpwstr>
  </property>
  <property fmtid="{D5CDD505-2E9C-101B-9397-08002B2CF9AE}" pid="4" name="KSOTemplateDocerSaveRecord">
    <vt:lpwstr>eyJoZGlkIjoiMWJmYmVhMGQ2YWQwOTc0ZDFkYmVkZTE0NzFkNThlYzIiLCJ1c2VySWQiOiIzODE1Mjg5MjkifQ==</vt:lpwstr>
  </property>
</Properties>
</file>