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BD9B1D">
      <w:pPr>
        <w:jc w:val="left"/>
        <w:rPr>
          <w:rFonts w:hint="default" w:ascii="宋体" w:hAnsi="宋体"/>
          <w:sz w:val="24"/>
          <w:szCs w:val="24"/>
          <w:lang w:val="en-US"/>
        </w:rPr>
      </w:pPr>
      <w:r>
        <w:rPr>
          <w:rFonts w:hint="eastAsia" w:ascii="宋体" w:hAnsi="宋体"/>
          <w:sz w:val="24"/>
          <w:szCs w:val="24"/>
        </w:rPr>
        <w:t>证券代码：</w:t>
      </w:r>
      <w:r>
        <w:rPr>
          <w:rFonts w:hint="default" w:ascii="宋体" w:hAnsi="宋体"/>
          <w:sz w:val="24"/>
          <w:szCs w:val="24"/>
          <w:lang w:val="en-US"/>
        </w:rPr>
        <w:t>601026</w:t>
      </w:r>
      <w:r>
        <w:rPr>
          <w:rFonts w:hint="eastAsia" w:ascii="宋体" w:hAnsi="宋体"/>
          <w:sz w:val="24"/>
          <w:szCs w:val="24"/>
        </w:rPr>
        <w:t xml:space="preserve">                      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>公司简称：</w:t>
      </w:r>
      <w:r>
        <w:rPr>
          <w:rFonts w:hint="default" w:ascii="宋体" w:hAnsi="宋体"/>
          <w:sz w:val="24"/>
          <w:szCs w:val="24"/>
          <w:lang w:val="en-US"/>
        </w:rPr>
        <w:t>道生天合</w:t>
      </w:r>
    </w:p>
    <w:p w14:paraId="4B4F5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jc w:val="center"/>
        <w:textAlignment w:val="auto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道生天合材料科技(上海)股份有限公司</w:t>
      </w:r>
    </w:p>
    <w:p w14:paraId="3F391058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投资者关系活动记录表</w:t>
      </w:r>
    </w:p>
    <w:p w14:paraId="5E024C2C">
      <w:pPr>
        <w:jc w:val="center"/>
        <w:rPr>
          <w:rFonts w:ascii="黑体" w:hAnsi="黑体" w:eastAsia="黑体"/>
          <w:sz w:val="24"/>
          <w:szCs w:val="24"/>
        </w:rPr>
      </w:pPr>
    </w:p>
    <w:p w14:paraId="1BA2D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/>
        <w:jc w:val="right"/>
        <w:textAlignment w:val="auto"/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 xml:space="preserve">      </w:t>
      </w:r>
      <w:r>
        <w:rPr>
          <w:rFonts w:hint="default" w:ascii="Times New Roman" w:hAnsi="Times New Roman" w:eastAsia="黑体" w:cs="Times New Roman"/>
          <w:sz w:val="24"/>
          <w:szCs w:val="24"/>
        </w:rPr>
        <w:t>编号：</w:t>
      </w:r>
      <w:r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  <w:t>2026-007</w:t>
      </w:r>
    </w:p>
    <w:tbl>
      <w:tblPr>
        <w:tblStyle w:val="5"/>
        <w:tblW w:w="871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7191"/>
      </w:tblGrid>
      <w:tr w14:paraId="7213B2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526" w:type="dxa"/>
            <w:noWrap w:val="0"/>
            <w:vAlign w:val="center"/>
          </w:tcPr>
          <w:p w14:paraId="56F1C01D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活动类别</w:t>
            </w:r>
          </w:p>
        </w:tc>
        <w:tc>
          <w:tcPr>
            <w:tcW w:w="7191" w:type="dxa"/>
            <w:noWrap w:val="0"/>
            <w:vAlign w:val="center"/>
          </w:tcPr>
          <w:p w14:paraId="4FAEC60C">
            <w:pPr>
              <w:adjustRightInd w:val="0"/>
              <w:snapToGrid w:val="0"/>
              <w:spacing w:before="156" w:beforeLines="50" w:line="360" w:lineRule="auto"/>
              <w:rPr>
                <w:rFonts w:hint="default" w:ascii="Times New Roman" w:hAnsi="Times New Roman" w:cs="Times New Roman"/>
                <w:bCs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 xml:space="preserve">特定对象调研        </w:t>
            </w:r>
            <w:r>
              <w:rPr>
                <w:rFonts w:hint="eastAsia" w:ascii="Times New Roman" w:hAnsi="Times New Roman" w:cs="Times New Roman"/>
                <w:bCs/>
                <w:iCs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 xml:space="preserve">分析师会议        </w:t>
            </w:r>
            <w:r>
              <w:rPr>
                <w:rFonts w:hint="eastAsia" w:ascii="Times New Roman" w:hAnsi="Times New Roman" w:cs="Times New Roman"/>
                <w:bCs/>
                <w:iCs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媒体采访</w:t>
            </w:r>
          </w:p>
          <w:p w14:paraId="7EF08B5A">
            <w:pPr>
              <w:adjustRightInd w:val="0"/>
              <w:snapToGrid w:val="0"/>
              <w:spacing w:line="360" w:lineRule="auto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█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 xml:space="preserve">业绩说明会          </w:t>
            </w:r>
            <w:r>
              <w:rPr>
                <w:rFonts w:hint="eastAsia" w:ascii="Times New Roman" w:hAnsi="Times New Roman" w:cs="Times New Roman"/>
                <w:bCs/>
                <w:iCs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 xml:space="preserve">新闻发布会        </w:t>
            </w:r>
            <w:r>
              <w:rPr>
                <w:rFonts w:hint="eastAsia" w:ascii="Times New Roman" w:hAnsi="Times New Roman" w:cs="Times New Roman"/>
                <w:bCs/>
                <w:iCs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路演活动</w:t>
            </w:r>
          </w:p>
          <w:p w14:paraId="08D7E4DA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Cs/>
                <w:iCs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现场参观</w:t>
            </w:r>
            <w:r>
              <w:rPr>
                <w:rFonts w:hint="default" w:ascii="Times New Roman" w:hAnsi="Times New Roman" w:cs="Times New Roman"/>
                <w:bCs/>
                <w:iCs/>
                <w:color w:val="000000"/>
                <w:kern w:val="0"/>
                <w:sz w:val="24"/>
                <w:szCs w:val="24"/>
              </w:rPr>
              <w:t xml:space="preserve">            </w:t>
            </w:r>
            <w:r>
              <w:rPr>
                <w:rFonts w:hint="eastAsia" w:ascii="Times New Roman" w:hAnsi="Times New Roman" w:cs="Times New Roman"/>
                <w:bCs/>
                <w:iCs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其他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u w:val="single"/>
              </w:rPr>
              <w:t xml:space="preserve">                        </w:t>
            </w:r>
          </w:p>
        </w:tc>
      </w:tr>
      <w:tr w14:paraId="2E4AA1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526" w:type="dxa"/>
            <w:noWrap w:val="0"/>
            <w:vAlign w:val="center"/>
          </w:tcPr>
          <w:p w14:paraId="2C781EAE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活动主题</w:t>
            </w:r>
          </w:p>
        </w:tc>
        <w:tc>
          <w:tcPr>
            <w:tcW w:w="7191" w:type="dxa"/>
            <w:noWrap w:val="0"/>
            <w:vAlign w:val="center"/>
          </w:tcPr>
          <w:p w14:paraId="7F8A7B3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iCs/>
                <w:color w:val="000000"/>
                <w:sz w:val="24"/>
                <w:highlight w:val="none"/>
                <w:lang w:val="en-GB"/>
              </w:rPr>
              <w:t>道生天合2026年半年度业绩说明会</w:t>
            </w:r>
          </w:p>
        </w:tc>
      </w:tr>
      <w:tr w14:paraId="159B76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526" w:type="dxa"/>
            <w:noWrap w:val="0"/>
            <w:vAlign w:val="center"/>
          </w:tcPr>
          <w:p w14:paraId="09B0FBA1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7191" w:type="dxa"/>
            <w:noWrap w:val="0"/>
            <w:vAlign w:val="center"/>
          </w:tcPr>
          <w:p w14:paraId="1224EEE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iCs/>
                <w:color w:val="000000"/>
                <w:sz w:val="24"/>
                <w:highlight w:val="none"/>
              </w:rPr>
              <w:t>2026-09-17 - 09:00-10:00</w:t>
            </w:r>
          </w:p>
        </w:tc>
      </w:tr>
      <w:tr w14:paraId="7A4775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526" w:type="dxa"/>
            <w:noWrap w:val="0"/>
            <w:vAlign w:val="center"/>
          </w:tcPr>
          <w:p w14:paraId="79955785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地点/方式</w:t>
            </w:r>
          </w:p>
        </w:tc>
        <w:tc>
          <w:tcPr>
            <w:tcW w:w="7191" w:type="dxa"/>
            <w:noWrap w:val="0"/>
            <w:vAlign w:val="top"/>
          </w:tcPr>
          <w:p w14:paraId="4BCBC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</w:rPr>
              <w:t xml:space="preserve">上证路演中心 </w:t>
            </w:r>
            <w:r>
              <w:rPr>
                <w:rFonts w:hint="default" w:ascii="Times New Roman" w:hAnsi="Times New Roman" w:cs="Times New Roman"/>
              </w:rPr>
              <w:fldChar w:fldCharType="begin"/>
            </w:r>
            <w:r>
              <w:rPr>
                <w:rFonts w:hint="default" w:ascii="Times New Roman" w:hAnsi="Times New Roman" w:cs="Times New Roman"/>
              </w:rPr>
              <w:instrText xml:space="preserve"> HYPERLINK "https://roadshow.sseinfo.com" </w:instrText>
            </w:r>
            <w:r>
              <w:rPr>
                <w:rFonts w:hint="default" w:ascii="Times New Roman" w:hAnsi="Times New Roman" w:cs="Times New Roman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Cs/>
                <w:sz w:val="24"/>
              </w:rPr>
              <w:t>https://roadshow.sseinfo.com</w:t>
            </w:r>
            <w:r>
              <w:rPr>
                <w:rStyle w:val="7"/>
                <w:rFonts w:hint="default" w:ascii="Times New Roman" w:hAnsi="Times New Roman" w:cs="Times New Roman"/>
                <w:bCs/>
                <w:sz w:val="24"/>
              </w:rPr>
              <w:fldChar w:fldCharType="end"/>
            </w:r>
          </w:p>
          <w:p w14:paraId="3A708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</w:rPr>
              <w:t>网络文字互动</w:t>
            </w:r>
          </w:p>
        </w:tc>
      </w:tr>
      <w:tr w14:paraId="138430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526" w:type="dxa"/>
            <w:noWrap w:val="0"/>
            <w:vAlign w:val="center"/>
          </w:tcPr>
          <w:p w14:paraId="4F05932D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参会人员</w:t>
            </w:r>
          </w:p>
        </w:tc>
        <w:tc>
          <w:tcPr>
            <w:tcW w:w="7191" w:type="dxa"/>
            <w:noWrap w:val="0"/>
            <w:vAlign w:val="center"/>
          </w:tcPr>
          <w:p w14:paraId="3667A6BF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董事长、总经理：季刚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先生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；</w:t>
            </w:r>
          </w:p>
          <w:p w14:paraId="6DE4F8D4">
            <w:pPr>
              <w:spacing w:line="360" w:lineRule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副董事长、副总经理：姜磊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先生；</w:t>
            </w:r>
          </w:p>
          <w:p w14:paraId="54D3C619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董事、财务负责人、副总经理：施永泉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先生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；</w:t>
            </w:r>
          </w:p>
          <w:p w14:paraId="391EC0C2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独立董事：闵诗阳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先生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；</w:t>
            </w:r>
          </w:p>
          <w:p w14:paraId="47A5E9B7">
            <w:pPr>
              <w:spacing w:line="360" w:lineRule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董事会秘书、副总经理：张珈堃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先生</w:t>
            </w:r>
          </w:p>
        </w:tc>
      </w:tr>
      <w:tr w14:paraId="38CDBB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26" w:type="dxa"/>
            <w:noWrap w:val="0"/>
            <w:vAlign w:val="center"/>
          </w:tcPr>
          <w:p w14:paraId="2A669435">
            <w:pPr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bookmarkStart w:id="0" w:name="_GoBack" w:colFirst="0" w:colLast="1"/>
          </w:p>
          <w:p w14:paraId="6C6F7FB6">
            <w:pPr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  <w:p w14:paraId="01B2A55B">
            <w:pPr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  <w:p w14:paraId="738084F5">
            <w:pPr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  <w:p w14:paraId="1B4FBFF4">
            <w:pPr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  <w:p w14:paraId="632673C3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szCs w:val="24"/>
              </w:rPr>
              <w:t>投资者关系活动主要内容介绍</w:t>
            </w:r>
          </w:p>
        </w:tc>
        <w:tc>
          <w:tcPr>
            <w:tcW w:w="7191" w:type="dxa"/>
            <w:noWrap w:val="0"/>
            <w:vAlign w:val="center"/>
          </w:tcPr>
          <w:p w14:paraId="0ECBA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线上投资者提出的问题及公司回复情况：</w:t>
            </w:r>
          </w:p>
          <w:p w14:paraId="73409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textAlignment w:val="auto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lang w:val="en-US"/>
              </w:rPr>
              <w:t>1、请问目前在手订单规模多少，重点项目的交付节奏是否符合上半年经营计划？</w:t>
            </w:r>
          </w:p>
          <w:p w14:paraId="3C0C5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default" w:ascii="Times New Roman" w:hAnsi="Times New Roman" w:cs="Times New Roman"/>
                <w:sz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/>
              </w:rPr>
              <w:t>您好，目前公司整体订单状况良好，特别是海外市场需求强劲，上半年公司风电叶片用材料海外业务（含间接）实现海外销量 22,088.62 吨，较上年同期大幅增长 54.72%。在交付节奏方面，目前公司各项主营业务和重点项目的交付均在结合市场情况，按全年经营计划稳步推进中。感谢您的关注！</w:t>
            </w:r>
          </w:p>
          <w:p w14:paraId="328B0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lang w:val="en-US"/>
              </w:rPr>
              <w:t>2、公司上半年营收、利润同比变动主要受哪些业务板块影响？下半年订单及产能规划有什么预期？</w:t>
            </w:r>
          </w:p>
          <w:p w14:paraId="0E6FF5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default" w:ascii="Times New Roman" w:hAnsi="Times New Roman" w:cs="Times New Roman"/>
                <w:sz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/>
              </w:rPr>
              <w:t>您好，关于上半年业绩的变动，主要得益于两方面：一是海外风电市场需求强劲，公司海外业务（含间接）实现销量 22,088.62 吨，同比增长 54.72%，实现销售额 47,774.92 万元，同比增长 49.95%；二是依托衢州生产基地的产能，原材料自供优势显现，实现了显著的降本增效，带动扣非净利润实现 14.01% 的快速增长。关于下半年的预期，公司将结合目前的市场环境，继续稳步推进各项主营业务的生产与交付。同时，公司正按计划推进摩洛哥海外生产基地，持续完善全球化产能布局以提升公司的长期竞争力。感谢您的关注！</w:t>
            </w:r>
          </w:p>
          <w:p w14:paraId="1698D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textAlignment w:val="auto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lang w:val="en-US"/>
              </w:rPr>
              <w:t>3、原材料价格波动对公司产品毛利影响情况如何，后续有哪些降本或者价格传导措施？</w:t>
            </w:r>
          </w:p>
          <w:p w14:paraId="19781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default" w:ascii="Times New Roman" w:hAnsi="Times New Roman" w:cs="Times New Roman"/>
                <w:sz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/>
              </w:rPr>
              <w:t>您好，公司原材料成本占营业成本的比例较高，原材料的价格波动可能对产品的利润空间和营收规模产生一定影响。为了有效应对价格波动并实现降本增效，公司主要采取了以下措施：一是持续发挥产业链垂直整合优势，依托衢州生产基地的基础环氧树脂产能，夯实主要原材料的自供比例；二是持续优化生产工艺，并实行精细化的供应链、生产和运营管理来有效控制成本；三是依托公司的产品定价机制，结合市场供需情况，适时且有效地向终端进行价格传导。感谢您的关注！</w:t>
            </w:r>
          </w:p>
          <w:p w14:paraId="654CAA92">
            <w:pPr>
              <w:pStyle w:val="8"/>
              <w:spacing w:line="460" w:lineRule="exact"/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09D6B7D6">
      <w:pPr>
        <w:rPr>
          <w:rFonts w:hint="eastAsia"/>
        </w:rPr>
      </w:pPr>
    </w:p>
    <w:p w14:paraId="2EE37D8A"/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69920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3NTlhNGJhZTk1YmZkMTc2MTM0MTg2MGI3NTFmMTEifQ=="/>
  </w:docVars>
  <w:rsids>
    <w:rsidRoot w:val="00172A27"/>
    <w:rsid w:val="0DFF5585"/>
    <w:rsid w:val="1CB2496B"/>
    <w:rsid w:val="43782E11"/>
    <w:rsid w:val="476A3140"/>
    <w:rsid w:val="61B42C51"/>
    <w:rsid w:val="670E1BE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563C1"/>
      <w:u w:val="single"/>
    </w:rPr>
  </w:style>
  <w:style w:type="paragraph" w:customStyle="1" w:styleId="8">
    <w:name w:val="_Style 6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965</Words>
  <Characters>1093</Characters>
  <Lines>0</Lines>
  <Paragraphs>0</Paragraphs>
  <TotalTime>5</TotalTime>
  <ScaleCrop>false</ScaleCrop>
  <LinksUpToDate>false</LinksUpToDate>
  <CharactersWithSpaces>1134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2023-06-30T02:03:00Z</dcterms:created>
  <dc:creator>Administrator</dc:creator>
  <cp:lastModifiedBy>Grace Wan</cp:lastModifiedBy>
  <dcterms:modified xsi:type="dcterms:W3CDTF">2026-09-17T02:28:17Z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8F80C787B509498E87955A7D2A6DB020_13</vt:lpwstr>
  </property>
  <property fmtid="{D5CDD505-2E9C-101B-9397-08002B2CF9AE}" pid="4" name="KSOTemplateDocerSaveRecord">
    <vt:lpwstr>eyJoZGlkIjoiYjgyOGQyODI3NTAyMDJjYmRjZmFkZWE1NDI5Y2Q4NDIiLCJ1c2VySWQiOiIyNjc2NTU2NjUifQ==</vt:lpwstr>
  </property>
</Properties>
</file>