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60881" w14:textId="77777777" w:rsidR="00A243CC" w:rsidRDefault="00000000">
      <w:pPr>
        <w:spacing w:beforeLines="50" w:before="156" w:afterLines="50" w:after="156" w:line="400" w:lineRule="exact"/>
        <w:rPr>
          <w:rFonts w:ascii="Times New Roman" w:eastAsia="宋体" w:hAnsi="Times New Roman" w:cs="Times New Roman"/>
          <w:bCs/>
          <w:iCs/>
          <w:color w:val="000000"/>
          <w:sz w:val="24"/>
          <w:szCs w:val="24"/>
        </w:rPr>
      </w:pPr>
      <w:r>
        <w:rPr>
          <w:rFonts w:ascii="Times New Roman" w:eastAsia="宋体" w:hAnsi="Times New Roman" w:cs="Times New Roman"/>
          <w:bCs/>
          <w:iCs/>
          <w:color w:val="000000"/>
          <w:sz w:val="24"/>
          <w:szCs w:val="24"/>
        </w:rPr>
        <w:t>证券代码：</w:t>
      </w:r>
      <w:r>
        <w:rPr>
          <w:rFonts w:ascii="Times New Roman" w:eastAsia="宋体" w:hAnsi="Times New Roman" w:cs="Times New Roman"/>
          <w:bCs/>
          <w:iCs/>
          <w:color w:val="000000"/>
          <w:sz w:val="24"/>
          <w:szCs w:val="24"/>
        </w:rPr>
        <w:t xml:space="preserve">688566                                    </w:t>
      </w:r>
      <w:r>
        <w:rPr>
          <w:rFonts w:ascii="Times New Roman" w:eastAsia="宋体" w:hAnsi="Times New Roman" w:cs="Times New Roman"/>
          <w:bCs/>
          <w:iCs/>
          <w:color w:val="000000"/>
          <w:sz w:val="24"/>
          <w:szCs w:val="24"/>
        </w:rPr>
        <w:t>证券简称：吉贝尔</w:t>
      </w:r>
    </w:p>
    <w:p w14:paraId="12E1417D" w14:textId="77777777" w:rsidR="00A243CC" w:rsidRDefault="00000000">
      <w:pPr>
        <w:spacing w:beforeLines="50" w:before="156" w:afterLines="50" w:after="156" w:line="400" w:lineRule="exact"/>
        <w:jc w:val="center"/>
        <w:rPr>
          <w:rFonts w:ascii="黑体" w:eastAsia="黑体" w:hAnsi="黑体" w:cs="Times New Roman" w:hint="eastAsia"/>
          <w:b/>
          <w:bCs/>
          <w:iCs/>
          <w:color w:val="000000"/>
          <w:sz w:val="32"/>
          <w:szCs w:val="32"/>
        </w:rPr>
      </w:pPr>
      <w:bookmarkStart w:id="0" w:name="_Hlk44675598"/>
      <w:r>
        <w:rPr>
          <w:rFonts w:ascii="黑体" w:eastAsia="黑体" w:hAnsi="黑体" w:cs="Times New Roman" w:hint="eastAsia"/>
          <w:b/>
          <w:bCs/>
          <w:iCs/>
          <w:color w:val="000000"/>
          <w:sz w:val="32"/>
          <w:szCs w:val="32"/>
        </w:rPr>
        <w:t>江苏吉贝尔药业股份有限公司</w:t>
      </w:r>
    </w:p>
    <w:p w14:paraId="3520FBE1" w14:textId="77777777" w:rsidR="00A243CC" w:rsidRDefault="00000000">
      <w:pPr>
        <w:spacing w:beforeLines="50" w:before="156" w:afterLines="50" w:after="156" w:line="400" w:lineRule="exact"/>
        <w:jc w:val="center"/>
        <w:rPr>
          <w:rFonts w:ascii="黑体" w:eastAsia="黑体" w:hAnsi="黑体" w:cs="Times New Roman" w:hint="eastAsia"/>
          <w:b/>
          <w:bCs/>
          <w:iCs/>
          <w:color w:val="000000"/>
          <w:sz w:val="32"/>
          <w:szCs w:val="32"/>
        </w:rPr>
      </w:pPr>
      <w:r>
        <w:rPr>
          <w:rFonts w:ascii="黑体" w:eastAsia="黑体" w:hAnsi="黑体" w:cs="Times New Roman" w:hint="eastAsia"/>
          <w:b/>
          <w:bCs/>
          <w:iCs/>
          <w:color w:val="000000"/>
          <w:sz w:val="32"/>
          <w:szCs w:val="32"/>
        </w:rPr>
        <w:t>投资者关系活动记录表</w:t>
      </w:r>
    </w:p>
    <w:bookmarkEnd w:id="0"/>
    <w:p w14:paraId="4D6BB75C" w14:textId="77777777" w:rsidR="00A243CC" w:rsidRDefault="00000000">
      <w:pPr>
        <w:spacing w:line="400" w:lineRule="exact"/>
        <w:jc w:val="right"/>
        <w:rPr>
          <w:rFonts w:ascii="Times New Roman" w:eastAsia="宋体" w:hAnsi="Times New Roman" w:cs="Times New Roman"/>
          <w:bCs/>
          <w:iCs/>
          <w:color w:val="000000"/>
          <w:sz w:val="24"/>
          <w:szCs w:val="24"/>
        </w:rPr>
      </w:pPr>
      <w:r>
        <w:rPr>
          <w:rFonts w:ascii="Times New Roman" w:eastAsia="宋体" w:hAnsi="Times New Roman" w:cs="Times New Roman"/>
          <w:bCs/>
          <w:iCs/>
          <w:color w:val="000000"/>
          <w:sz w:val="24"/>
          <w:szCs w:val="24"/>
        </w:rPr>
        <w:t xml:space="preserve">               </w:t>
      </w:r>
      <w:r>
        <w:rPr>
          <w:rFonts w:ascii="Times New Roman" w:eastAsia="宋体" w:hAnsi="Times New Roman" w:cs="Times New Roman"/>
          <w:bCs/>
          <w:iCs/>
          <w:color w:val="000000"/>
          <w:sz w:val="24"/>
          <w:szCs w:val="24"/>
        </w:rPr>
        <w:t>编号：</w:t>
      </w:r>
      <w:r>
        <w:rPr>
          <w:rFonts w:ascii="Times New Roman" w:eastAsia="宋体" w:hAnsi="Times New Roman" w:cs="Times New Roman"/>
          <w:bCs/>
          <w:iCs/>
          <w:color w:val="000000"/>
          <w:sz w:val="24"/>
          <w:szCs w:val="24"/>
        </w:rPr>
        <w:t>202</w:t>
      </w:r>
      <w:r>
        <w:rPr>
          <w:rFonts w:ascii="Times New Roman" w:eastAsia="宋体" w:hAnsi="Times New Roman" w:cs="Times New Roman" w:hint="eastAsia"/>
          <w:bCs/>
          <w:iCs/>
          <w:color w:val="000000"/>
          <w:sz w:val="24"/>
          <w:szCs w:val="24"/>
        </w:rPr>
        <w:t>6</w:t>
      </w:r>
      <w:r>
        <w:rPr>
          <w:rFonts w:ascii="Times New Roman" w:eastAsia="宋体" w:hAnsi="Times New Roman" w:cs="Times New Roman"/>
          <w:bCs/>
          <w:iCs/>
          <w:color w:val="000000"/>
          <w:sz w:val="24"/>
          <w:szCs w:val="24"/>
        </w:rPr>
        <w:t>-00</w:t>
      </w:r>
      <w:r>
        <w:rPr>
          <w:rFonts w:ascii="Times New Roman" w:eastAsia="宋体" w:hAnsi="Times New Roman" w:cs="Times New Roman" w:hint="eastAsia"/>
          <w:bCs/>
          <w:iCs/>
          <w:color w:val="000000"/>
          <w:sz w:val="24"/>
          <w:szCs w:val="24"/>
        </w:rPr>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6458"/>
      </w:tblGrid>
      <w:tr w:rsidR="00A243CC" w14:paraId="341D585F" w14:textId="77777777">
        <w:trPr>
          <w:trHeight w:val="2585"/>
        </w:trPr>
        <w:tc>
          <w:tcPr>
            <w:tcW w:w="1838" w:type="dxa"/>
            <w:tcBorders>
              <w:top w:val="single" w:sz="4" w:space="0" w:color="auto"/>
              <w:left w:val="single" w:sz="4" w:space="0" w:color="auto"/>
              <w:bottom w:val="single" w:sz="4" w:space="0" w:color="auto"/>
              <w:right w:val="single" w:sz="4" w:space="0" w:color="auto"/>
            </w:tcBorders>
            <w:vAlign w:val="center"/>
          </w:tcPr>
          <w:p w14:paraId="43332487" w14:textId="77777777" w:rsidR="00A243CC" w:rsidRDefault="00000000">
            <w:pPr>
              <w:adjustRightInd w:val="0"/>
              <w:snapToGrid w:val="0"/>
              <w:jc w:val="center"/>
              <w:rPr>
                <w:rFonts w:ascii="宋体" w:eastAsia="宋体" w:hAnsi="宋体" w:cs="Times New Roman" w:hint="eastAsia"/>
                <w:bCs/>
                <w:iCs/>
                <w:color w:val="000000"/>
                <w:sz w:val="24"/>
                <w:szCs w:val="24"/>
              </w:rPr>
            </w:pPr>
            <w:r>
              <w:rPr>
                <w:rFonts w:ascii="宋体" w:eastAsia="宋体" w:hAnsi="宋体" w:cs="Times New Roman" w:hint="eastAsia"/>
                <w:bCs/>
                <w:iCs/>
                <w:color w:val="000000"/>
                <w:sz w:val="24"/>
                <w:szCs w:val="24"/>
              </w:rPr>
              <w:t>投资者关系活动类别</w:t>
            </w:r>
          </w:p>
        </w:tc>
        <w:tc>
          <w:tcPr>
            <w:tcW w:w="6458" w:type="dxa"/>
            <w:tcBorders>
              <w:top w:val="single" w:sz="4" w:space="0" w:color="auto"/>
              <w:left w:val="single" w:sz="4" w:space="0" w:color="auto"/>
              <w:bottom w:val="single" w:sz="4" w:space="0" w:color="auto"/>
              <w:right w:val="single" w:sz="4" w:space="0" w:color="auto"/>
            </w:tcBorders>
          </w:tcPr>
          <w:p w14:paraId="1C0D158E" w14:textId="77777777" w:rsidR="00A243CC" w:rsidRDefault="00000000">
            <w:pPr>
              <w:spacing w:line="480" w:lineRule="atLeast"/>
              <w:rPr>
                <w:rFonts w:ascii="宋体" w:eastAsia="宋体" w:hAnsi="宋体" w:cs="Times New Roman" w:hint="eastAsia"/>
                <w:bCs/>
                <w:iCs/>
                <w:color w:val="000000"/>
                <w:sz w:val="24"/>
                <w:szCs w:val="24"/>
              </w:rPr>
            </w:pPr>
            <w:r>
              <w:rPr>
                <w:rFonts w:ascii="宋体" w:eastAsia="宋体" w:hAnsi="宋体" w:cs="Times New Roman" w:hint="eastAsia"/>
                <w:bCs/>
                <w:iCs/>
                <w:color w:val="000000"/>
                <w:sz w:val="24"/>
                <w:szCs w:val="24"/>
              </w:rPr>
              <w:t>□</w:t>
            </w:r>
            <w:r>
              <w:rPr>
                <w:rFonts w:ascii="宋体" w:eastAsia="宋体" w:hAnsi="宋体" w:cs="Times New Roman" w:hint="eastAsia"/>
                <w:sz w:val="24"/>
                <w:szCs w:val="24"/>
              </w:rPr>
              <w:t xml:space="preserve">特定对象调研        </w:t>
            </w:r>
            <w:r>
              <w:rPr>
                <w:rFonts w:ascii="宋体" w:eastAsia="宋体" w:hAnsi="宋体" w:cs="Times New Roman" w:hint="eastAsia"/>
                <w:bCs/>
                <w:iCs/>
                <w:color w:val="000000"/>
                <w:sz w:val="24"/>
                <w:szCs w:val="24"/>
              </w:rPr>
              <w:t>□</w:t>
            </w:r>
            <w:r>
              <w:rPr>
                <w:rFonts w:ascii="宋体" w:eastAsia="宋体" w:hAnsi="宋体" w:cs="Times New Roman" w:hint="eastAsia"/>
                <w:sz w:val="24"/>
                <w:szCs w:val="24"/>
              </w:rPr>
              <w:t>分析师会议</w:t>
            </w:r>
          </w:p>
          <w:p w14:paraId="3D009924" w14:textId="77777777" w:rsidR="00A243CC" w:rsidRDefault="00000000">
            <w:pPr>
              <w:spacing w:line="480" w:lineRule="atLeast"/>
              <w:rPr>
                <w:rFonts w:ascii="宋体" w:eastAsia="宋体" w:hAnsi="宋体" w:cs="Times New Roman" w:hint="eastAsia"/>
                <w:bCs/>
                <w:iCs/>
                <w:color w:val="000000"/>
                <w:sz w:val="24"/>
                <w:szCs w:val="24"/>
              </w:rPr>
            </w:pPr>
            <w:r>
              <w:rPr>
                <w:rFonts w:ascii="宋体" w:eastAsia="宋体" w:hAnsi="宋体" w:cs="Times New Roman" w:hint="eastAsia"/>
                <w:bCs/>
                <w:iCs/>
                <w:color w:val="000000"/>
                <w:sz w:val="24"/>
                <w:szCs w:val="24"/>
              </w:rPr>
              <w:t>□</w:t>
            </w:r>
            <w:r>
              <w:rPr>
                <w:rFonts w:ascii="宋体" w:eastAsia="宋体" w:hAnsi="宋体" w:cs="Times New Roman" w:hint="eastAsia"/>
                <w:sz w:val="24"/>
                <w:szCs w:val="24"/>
              </w:rPr>
              <w:t xml:space="preserve">媒体采访            </w:t>
            </w:r>
            <w:r>
              <w:rPr>
                <w:rFonts w:ascii="宋体" w:eastAsia="宋体" w:hAnsi="宋体" w:cs="Times New Roman"/>
                <w:b/>
                <w:iCs/>
                <w:color w:val="000000"/>
                <w:sz w:val="24"/>
                <w:szCs w:val="24"/>
              </w:rPr>
              <w:fldChar w:fldCharType="begin"/>
            </w:r>
            <w:r>
              <w:rPr>
                <w:rFonts w:ascii="宋体" w:eastAsia="宋体" w:hAnsi="宋体" w:cs="Times New Roman"/>
                <w:b/>
                <w:iCs/>
                <w:color w:val="000000"/>
                <w:sz w:val="24"/>
                <w:szCs w:val="24"/>
              </w:rPr>
              <w:instrText xml:space="preserve"> </w:instrText>
            </w:r>
            <w:r>
              <w:rPr>
                <w:rFonts w:ascii="宋体" w:eastAsia="宋体" w:hAnsi="宋体" w:cs="Times New Roman" w:hint="eastAsia"/>
                <w:b/>
                <w:iCs/>
                <w:color w:val="000000"/>
                <w:sz w:val="24"/>
                <w:szCs w:val="24"/>
              </w:rPr>
              <w:instrText>eq \o\ac(□,√)</w:instrText>
            </w:r>
            <w:r>
              <w:rPr>
                <w:rFonts w:ascii="宋体" w:eastAsia="宋体" w:hAnsi="宋体" w:cs="Times New Roman"/>
                <w:b/>
                <w:iCs/>
                <w:color w:val="000000"/>
                <w:sz w:val="24"/>
                <w:szCs w:val="24"/>
              </w:rPr>
              <w:fldChar w:fldCharType="end"/>
            </w:r>
            <w:r>
              <w:rPr>
                <w:rFonts w:ascii="宋体" w:eastAsia="宋体" w:hAnsi="宋体" w:cs="Times New Roman" w:hint="eastAsia"/>
                <w:sz w:val="24"/>
                <w:szCs w:val="24"/>
              </w:rPr>
              <w:t>业绩说明会</w:t>
            </w:r>
          </w:p>
          <w:p w14:paraId="5AFFC887" w14:textId="77777777" w:rsidR="00A243CC" w:rsidRDefault="00000000">
            <w:pPr>
              <w:spacing w:line="480" w:lineRule="atLeast"/>
              <w:rPr>
                <w:rFonts w:ascii="宋体" w:eastAsia="宋体" w:hAnsi="宋体" w:cs="Times New Roman" w:hint="eastAsia"/>
                <w:bCs/>
                <w:iCs/>
                <w:color w:val="000000"/>
                <w:sz w:val="24"/>
                <w:szCs w:val="24"/>
              </w:rPr>
            </w:pPr>
            <w:r>
              <w:rPr>
                <w:rFonts w:ascii="宋体" w:eastAsia="宋体" w:hAnsi="宋体" w:cs="Times New Roman" w:hint="eastAsia"/>
                <w:bCs/>
                <w:iCs/>
                <w:color w:val="000000"/>
                <w:sz w:val="24"/>
                <w:szCs w:val="24"/>
              </w:rPr>
              <w:t>□</w:t>
            </w:r>
            <w:r>
              <w:rPr>
                <w:rFonts w:ascii="宋体" w:eastAsia="宋体" w:hAnsi="宋体" w:cs="Times New Roman" w:hint="eastAsia"/>
                <w:sz w:val="24"/>
                <w:szCs w:val="24"/>
              </w:rPr>
              <w:t xml:space="preserve">新闻发布会          </w:t>
            </w:r>
            <w:r>
              <w:rPr>
                <w:rFonts w:ascii="宋体" w:eastAsia="宋体" w:hAnsi="宋体" w:cs="Times New Roman" w:hint="eastAsia"/>
                <w:bCs/>
                <w:iCs/>
                <w:color w:val="000000"/>
                <w:sz w:val="24"/>
                <w:szCs w:val="24"/>
              </w:rPr>
              <w:t>□</w:t>
            </w:r>
            <w:r>
              <w:rPr>
                <w:rFonts w:ascii="宋体" w:eastAsia="宋体" w:hAnsi="宋体" w:cs="Times New Roman" w:hint="eastAsia"/>
                <w:sz w:val="24"/>
                <w:szCs w:val="24"/>
              </w:rPr>
              <w:t>路演活动</w:t>
            </w:r>
          </w:p>
          <w:p w14:paraId="21BCC3B4" w14:textId="77777777" w:rsidR="00A243CC" w:rsidRDefault="00000000">
            <w:pPr>
              <w:tabs>
                <w:tab w:val="left" w:pos="3045"/>
                <w:tab w:val="center" w:pos="3199"/>
              </w:tabs>
              <w:spacing w:line="480" w:lineRule="atLeast"/>
              <w:rPr>
                <w:rFonts w:ascii="宋体" w:eastAsia="宋体" w:hAnsi="宋体" w:cs="Times New Roman" w:hint="eastAsia"/>
                <w:bCs/>
                <w:iCs/>
                <w:color w:val="000000"/>
                <w:sz w:val="24"/>
                <w:szCs w:val="24"/>
              </w:rPr>
            </w:pPr>
            <w:r>
              <w:rPr>
                <w:rFonts w:ascii="宋体" w:eastAsia="宋体" w:hAnsi="宋体" w:cs="Times New Roman" w:hint="eastAsia"/>
                <w:bCs/>
                <w:iCs/>
                <w:color w:val="000000"/>
                <w:sz w:val="24"/>
                <w:szCs w:val="24"/>
              </w:rPr>
              <w:t>□</w:t>
            </w:r>
            <w:r>
              <w:rPr>
                <w:rFonts w:ascii="宋体" w:eastAsia="宋体" w:hAnsi="宋体" w:cs="Times New Roman" w:hint="eastAsia"/>
                <w:sz w:val="24"/>
                <w:szCs w:val="24"/>
              </w:rPr>
              <w:t>现场参观</w:t>
            </w:r>
            <w:r>
              <w:rPr>
                <w:rFonts w:ascii="宋体" w:eastAsia="宋体" w:hAnsi="宋体" w:cs="Times New Roman" w:hint="eastAsia"/>
                <w:bCs/>
                <w:iCs/>
                <w:color w:val="000000"/>
                <w:sz w:val="24"/>
                <w:szCs w:val="24"/>
              </w:rPr>
              <w:tab/>
            </w:r>
          </w:p>
          <w:p w14:paraId="61AC9001" w14:textId="77777777" w:rsidR="00A243CC" w:rsidRDefault="00000000">
            <w:pPr>
              <w:tabs>
                <w:tab w:val="center" w:pos="3199"/>
              </w:tabs>
              <w:spacing w:line="480" w:lineRule="atLeast"/>
              <w:rPr>
                <w:rFonts w:ascii="宋体" w:eastAsia="宋体" w:hAnsi="宋体" w:cs="Times New Roman" w:hint="eastAsia"/>
                <w:bCs/>
                <w:iCs/>
                <w:color w:val="000000"/>
                <w:sz w:val="24"/>
                <w:szCs w:val="24"/>
              </w:rPr>
            </w:pPr>
            <w:r>
              <w:rPr>
                <w:rFonts w:ascii="宋体" w:eastAsia="宋体" w:hAnsi="宋体" w:cs="Times New Roman" w:hint="eastAsia"/>
                <w:bCs/>
                <w:iCs/>
                <w:color w:val="000000"/>
                <w:sz w:val="24"/>
                <w:szCs w:val="24"/>
              </w:rPr>
              <w:t>□</w:t>
            </w:r>
            <w:r>
              <w:rPr>
                <w:rFonts w:ascii="宋体" w:eastAsia="宋体" w:hAnsi="宋体" w:cs="Times New Roman" w:hint="eastAsia"/>
                <w:sz w:val="24"/>
                <w:szCs w:val="24"/>
              </w:rPr>
              <w:t xml:space="preserve">其他 </w:t>
            </w:r>
            <w:r>
              <w:rPr>
                <w:rFonts w:ascii="宋体" w:eastAsia="宋体" w:hAnsi="宋体" w:cs="Times New Roman" w:hint="eastAsia"/>
                <w:sz w:val="24"/>
                <w:szCs w:val="24"/>
                <w:u w:val="single"/>
              </w:rPr>
              <w:t>（请文字说明其他活动内容）</w:t>
            </w:r>
          </w:p>
        </w:tc>
      </w:tr>
      <w:tr w:rsidR="00A243CC" w14:paraId="33C292B8" w14:textId="77777777">
        <w:trPr>
          <w:trHeight w:val="696"/>
        </w:trPr>
        <w:tc>
          <w:tcPr>
            <w:tcW w:w="1838" w:type="dxa"/>
            <w:tcBorders>
              <w:top w:val="single" w:sz="4" w:space="0" w:color="auto"/>
              <w:left w:val="single" w:sz="4" w:space="0" w:color="auto"/>
              <w:bottom w:val="single" w:sz="4" w:space="0" w:color="auto"/>
              <w:right w:val="single" w:sz="4" w:space="0" w:color="auto"/>
            </w:tcBorders>
            <w:vAlign w:val="center"/>
          </w:tcPr>
          <w:p w14:paraId="64D3FE77" w14:textId="77777777" w:rsidR="00A243CC" w:rsidRDefault="00000000">
            <w:pPr>
              <w:adjustRightInd w:val="0"/>
              <w:snapToGrid w:val="0"/>
              <w:jc w:val="center"/>
              <w:rPr>
                <w:rFonts w:ascii="Times New Roman" w:eastAsia="宋体" w:hAnsi="Times New Roman" w:cs="Times New Roman"/>
                <w:bCs/>
                <w:iCs/>
                <w:color w:val="000000"/>
                <w:sz w:val="24"/>
                <w:szCs w:val="24"/>
              </w:rPr>
            </w:pPr>
            <w:r>
              <w:rPr>
                <w:rFonts w:ascii="Times New Roman" w:eastAsia="宋体" w:hAnsi="Times New Roman" w:cs="Times New Roman"/>
                <w:bCs/>
                <w:iCs/>
                <w:color w:val="000000"/>
                <w:sz w:val="24"/>
                <w:szCs w:val="24"/>
              </w:rPr>
              <w:t>参与单位名称及人员姓名</w:t>
            </w:r>
          </w:p>
        </w:tc>
        <w:tc>
          <w:tcPr>
            <w:tcW w:w="6458" w:type="dxa"/>
            <w:tcBorders>
              <w:top w:val="single" w:sz="4" w:space="0" w:color="auto"/>
              <w:left w:val="single" w:sz="4" w:space="0" w:color="auto"/>
              <w:bottom w:val="single" w:sz="4" w:space="0" w:color="auto"/>
              <w:right w:val="single" w:sz="4" w:space="0" w:color="auto"/>
            </w:tcBorders>
            <w:vAlign w:val="center"/>
          </w:tcPr>
          <w:p w14:paraId="33D5FFC9" w14:textId="77777777" w:rsidR="00A243CC" w:rsidRDefault="00000000">
            <w:pPr>
              <w:adjustRightInd w:val="0"/>
              <w:snapToGrid w:val="0"/>
              <w:spacing w:line="360" w:lineRule="auto"/>
              <w:rPr>
                <w:rFonts w:ascii="Times New Roman" w:eastAsia="宋体" w:hAnsi="Times New Roman" w:cs="Times New Roman"/>
                <w:sz w:val="24"/>
                <w:szCs w:val="28"/>
              </w:rPr>
            </w:pPr>
            <w:r>
              <w:rPr>
                <w:rFonts w:ascii="Times New Roman" w:eastAsia="宋体" w:hAnsi="Times New Roman" w:cs="Times New Roman"/>
                <w:sz w:val="24"/>
                <w:szCs w:val="28"/>
              </w:rPr>
              <w:t>参与了本次业绩说明会的线上投资者</w:t>
            </w:r>
          </w:p>
        </w:tc>
      </w:tr>
      <w:tr w:rsidR="00A243CC" w14:paraId="16B3EE2A" w14:textId="77777777">
        <w:trPr>
          <w:trHeight w:val="706"/>
        </w:trPr>
        <w:tc>
          <w:tcPr>
            <w:tcW w:w="1838" w:type="dxa"/>
            <w:tcBorders>
              <w:top w:val="single" w:sz="4" w:space="0" w:color="auto"/>
              <w:left w:val="single" w:sz="4" w:space="0" w:color="auto"/>
              <w:bottom w:val="single" w:sz="4" w:space="0" w:color="auto"/>
              <w:right w:val="single" w:sz="4" w:space="0" w:color="auto"/>
            </w:tcBorders>
            <w:vAlign w:val="center"/>
          </w:tcPr>
          <w:p w14:paraId="4A83685F" w14:textId="77777777" w:rsidR="00A243CC" w:rsidRDefault="00000000">
            <w:pPr>
              <w:jc w:val="center"/>
              <w:rPr>
                <w:rFonts w:ascii="Times New Roman" w:eastAsia="宋体" w:hAnsi="Times New Roman" w:cs="Times New Roman"/>
                <w:bCs/>
                <w:iCs/>
                <w:color w:val="000000"/>
                <w:sz w:val="24"/>
                <w:szCs w:val="24"/>
              </w:rPr>
            </w:pPr>
            <w:r>
              <w:rPr>
                <w:rFonts w:ascii="Times New Roman" w:eastAsia="宋体" w:hAnsi="Times New Roman" w:cs="Times New Roman"/>
                <w:bCs/>
                <w:iCs/>
                <w:color w:val="000000"/>
                <w:sz w:val="24"/>
                <w:szCs w:val="24"/>
              </w:rPr>
              <w:t>时</w:t>
            </w:r>
            <w:r>
              <w:rPr>
                <w:rFonts w:ascii="Times New Roman" w:eastAsia="宋体" w:hAnsi="Times New Roman" w:cs="Times New Roman"/>
                <w:bCs/>
                <w:iCs/>
                <w:color w:val="000000"/>
                <w:sz w:val="24"/>
                <w:szCs w:val="24"/>
              </w:rPr>
              <w:t xml:space="preserve"> </w:t>
            </w:r>
            <w:r>
              <w:rPr>
                <w:rFonts w:ascii="Times New Roman" w:eastAsia="宋体" w:hAnsi="Times New Roman" w:cs="Times New Roman"/>
                <w:bCs/>
                <w:iCs/>
                <w:color w:val="000000"/>
                <w:sz w:val="24"/>
                <w:szCs w:val="24"/>
              </w:rPr>
              <w:t>间</w:t>
            </w:r>
          </w:p>
        </w:tc>
        <w:tc>
          <w:tcPr>
            <w:tcW w:w="6458" w:type="dxa"/>
            <w:tcBorders>
              <w:top w:val="single" w:sz="4" w:space="0" w:color="auto"/>
              <w:left w:val="single" w:sz="4" w:space="0" w:color="auto"/>
              <w:bottom w:val="single" w:sz="4" w:space="0" w:color="auto"/>
              <w:right w:val="single" w:sz="4" w:space="0" w:color="auto"/>
            </w:tcBorders>
            <w:vAlign w:val="center"/>
          </w:tcPr>
          <w:p w14:paraId="2E47E1F3" w14:textId="77777777" w:rsidR="00A243CC" w:rsidRDefault="00000000">
            <w:pPr>
              <w:jc w:val="left"/>
              <w:rPr>
                <w:rFonts w:ascii="Times New Roman" w:eastAsia="宋体" w:hAnsi="Times New Roman" w:cs="Times New Roman"/>
                <w:bCs/>
                <w:iCs/>
                <w:color w:val="000000"/>
                <w:sz w:val="24"/>
                <w:szCs w:val="24"/>
              </w:rPr>
            </w:pPr>
            <w:r>
              <w:rPr>
                <w:rFonts w:ascii="Times New Roman" w:eastAsia="宋体" w:hAnsi="Times New Roman" w:cs="Times New Roman"/>
                <w:bCs/>
                <w:iCs/>
                <w:color w:val="000000"/>
                <w:sz w:val="24"/>
                <w:szCs w:val="24"/>
              </w:rPr>
              <w:t>2026</w:t>
            </w:r>
            <w:r>
              <w:rPr>
                <w:rFonts w:ascii="Times New Roman" w:eastAsia="宋体" w:hAnsi="Times New Roman" w:cs="Times New Roman"/>
                <w:bCs/>
                <w:iCs/>
                <w:color w:val="000000"/>
                <w:sz w:val="24"/>
                <w:szCs w:val="24"/>
              </w:rPr>
              <w:t>年</w:t>
            </w:r>
            <w:r>
              <w:rPr>
                <w:rFonts w:ascii="Times New Roman" w:eastAsia="宋体" w:hAnsi="Times New Roman" w:cs="Times New Roman" w:hint="eastAsia"/>
                <w:bCs/>
                <w:iCs/>
                <w:color w:val="000000"/>
                <w:sz w:val="24"/>
                <w:szCs w:val="24"/>
              </w:rPr>
              <w:t>9</w:t>
            </w:r>
            <w:r>
              <w:rPr>
                <w:rFonts w:ascii="Times New Roman" w:eastAsia="宋体" w:hAnsi="Times New Roman" w:cs="Times New Roman"/>
                <w:bCs/>
                <w:iCs/>
                <w:color w:val="000000"/>
                <w:sz w:val="24"/>
                <w:szCs w:val="24"/>
              </w:rPr>
              <w:t>月</w:t>
            </w:r>
            <w:r>
              <w:rPr>
                <w:rFonts w:ascii="Times New Roman" w:eastAsia="宋体" w:hAnsi="Times New Roman" w:cs="Times New Roman"/>
                <w:bCs/>
                <w:iCs/>
                <w:color w:val="000000"/>
                <w:sz w:val="24"/>
                <w:szCs w:val="24"/>
              </w:rPr>
              <w:t>1</w:t>
            </w:r>
            <w:r>
              <w:rPr>
                <w:rFonts w:ascii="Times New Roman" w:eastAsia="宋体" w:hAnsi="Times New Roman" w:cs="Times New Roman" w:hint="eastAsia"/>
                <w:bCs/>
                <w:iCs/>
                <w:color w:val="000000"/>
                <w:sz w:val="24"/>
                <w:szCs w:val="24"/>
              </w:rPr>
              <w:t>7</w:t>
            </w:r>
            <w:r>
              <w:rPr>
                <w:rFonts w:ascii="Times New Roman" w:eastAsia="宋体" w:hAnsi="Times New Roman" w:cs="Times New Roman"/>
                <w:bCs/>
                <w:iCs/>
                <w:color w:val="000000"/>
                <w:sz w:val="24"/>
                <w:szCs w:val="24"/>
              </w:rPr>
              <w:t>日</w:t>
            </w:r>
            <w:r>
              <w:rPr>
                <w:rFonts w:ascii="Times New Roman" w:eastAsia="宋体" w:hAnsi="Times New Roman" w:cs="Times New Roman"/>
                <w:sz w:val="24"/>
                <w:szCs w:val="24"/>
              </w:rPr>
              <w:t>15:00-16:00</w:t>
            </w:r>
          </w:p>
        </w:tc>
      </w:tr>
      <w:tr w:rsidR="00A243CC" w14:paraId="79DF6DE2" w14:textId="77777777">
        <w:trPr>
          <w:trHeight w:val="669"/>
        </w:trPr>
        <w:tc>
          <w:tcPr>
            <w:tcW w:w="1838" w:type="dxa"/>
            <w:tcBorders>
              <w:top w:val="single" w:sz="4" w:space="0" w:color="auto"/>
              <w:left w:val="single" w:sz="4" w:space="0" w:color="auto"/>
              <w:bottom w:val="single" w:sz="4" w:space="0" w:color="auto"/>
              <w:right w:val="single" w:sz="4" w:space="0" w:color="auto"/>
            </w:tcBorders>
            <w:vAlign w:val="center"/>
          </w:tcPr>
          <w:p w14:paraId="0FC46E4B" w14:textId="77777777" w:rsidR="00A243CC" w:rsidRDefault="00000000">
            <w:pPr>
              <w:jc w:val="center"/>
              <w:rPr>
                <w:rFonts w:ascii="Times New Roman" w:eastAsia="宋体" w:hAnsi="Times New Roman" w:cs="Times New Roman"/>
                <w:bCs/>
                <w:iCs/>
                <w:color w:val="000000"/>
                <w:sz w:val="24"/>
                <w:szCs w:val="24"/>
              </w:rPr>
            </w:pPr>
            <w:r>
              <w:rPr>
                <w:rFonts w:ascii="Times New Roman" w:eastAsia="宋体" w:hAnsi="Times New Roman" w:cs="Times New Roman"/>
                <w:bCs/>
                <w:iCs/>
                <w:color w:val="000000"/>
                <w:sz w:val="24"/>
                <w:szCs w:val="24"/>
              </w:rPr>
              <w:t>地</w:t>
            </w:r>
            <w:r>
              <w:rPr>
                <w:rFonts w:ascii="Times New Roman" w:eastAsia="宋体" w:hAnsi="Times New Roman" w:cs="Times New Roman"/>
                <w:bCs/>
                <w:iCs/>
                <w:color w:val="000000"/>
                <w:sz w:val="24"/>
                <w:szCs w:val="24"/>
              </w:rPr>
              <w:t xml:space="preserve"> </w:t>
            </w:r>
            <w:r>
              <w:rPr>
                <w:rFonts w:ascii="Times New Roman" w:eastAsia="宋体" w:hAnsi="Times New Roman" w:cs="Times New Roman"/>
                <w:bCs/>
                <w:iCs/>
                <w:color w:val="000000"/>
                <w:sz w:val="24"/>
                <w:szCs w:val="24"/>
              </w:rPr>
              <w:t>点</w:t>
            </w:r>
          </w:p>
        </w:tc>
        <w:tc>
          <w:tcPr>
            <w:tcW w:w="6458" w:type="dxa"/>
            <w:tcBorders>
              <w:top w:val="single" w:sz="4" w:space="0" w:color="auto"/>
              <w:left w:val="single" w:sz="4" w:space="0" w:color="auto"/>
              <w:bottom w:val="single" w:sz="4" w:space="0" w:color="auto"/>
              <w:right w:val="single" w:sz="4" w:space="0" w:color="auto"/>
            </w:tcBorders>
            <w:vAlign w:val="center"/>
          </w:tcPr>
          <w:p w14:paraId="12AE8441" w14:textId="77777777" w:rsidR="00A243CC" w:rsidRDefault="00000000">
            <w:pPr>
              <w:jc w:val="left"/>
              <w:rPr>
                <w:rFonts w:ascii="Times New Roman" w:eastAsia="宋体" w:hAnsi="Times New Roman" w:cs="Times New Roman"/>
                <w:bCs/>
                <w:iCs/>
                <w:color w:val="000000"/>
                <w:sz w:val="24"/>
                <w:szCs w:val="24"/>
              </w:rPr>
            </w:pPr>
            <w:r>
              <w:rPr>
                <w:rFonts w:ascii="Times New Roman" w:eastAsia="宋体" w:hAnsi="Times New Roman" w:cs="Times New Roman"/>
                <w:bCs/>
                <w:iCs/>
                <w:color w:val="000000"/>
                <w:sz w:val="24"/>
                <w:szCs w:val="24"/>
              </w:rPr>
              <w:t>东</w:t>
            </w:r>
            <w:r>
              <w:rPr>
                <w:rFonts w:ascii="Times New Roman" w:eastAsia="宋体" w:hAnsi="Times New Roman" w:cs="Times New Roman"/>
                <w:bCs/>
                <w:iCs/>
                <w:color w:val="000000"/>
                <w:sz w:val="24"/>
                <w:szCs w:val="24"/>
              </w:rPr>
              <w:t xml:space="preserve"> </w:t>
            </w:r>
            <w:r>
              <w:rPr>
                <w:rFonts w:ascii="Times New Roman" w:eastAsia="宋体" w:hAnsi="Times New Roman" w:cs="Times New Roman"/>
                <w:bCs/>
                <w:iCs/>
                <w:color w:val="000000"/>
                <w:sz w:val="24"/>
                <w:szCs w:val="24"/>
              </w:rPr>
              <w:t>方</w:t>
            </w:r>
            <w:r>
              <w:rPr>
                <w:rFonts w:ascii="Times New Roman" w:eastAsia="宋体" w:hAnsi="Times New Roman" w:cs="Times New Roman"/>
                <w:bCs/>
                <w:iCs/>
                <w:color w:val="000000"/>
                <w:sz w:val="24"/>
                <w:szCs w:val="24"/>
              </w:rPr>
              <w:t xml:space="preserve"> </w:t>
            </w:r>
            <w:r>
              <w:rPr>
                <w:rFonts w:ascii="Times New Roman" w:eastAsia="宋体" w:hAnsi="Times New Roman" w:cs="Times New Roman"/>
                <w:bCs/>
                <w:iCs/>
                <w:color w:val="000000"/>
                <w:sz w:val="24"/>
                <w:szCs w:val="24"/>
              </w:rPr>
              <w:t>财</w:t>
            </w:r>
            <w:r>
              <w:rPr>
                <w:rFonts w:ascii="Times New Roman" w:eastAsia="宋体" w:hAnsi="Times New Roman" w:cs="Times New Roman"/>
                <w:bCs/>
                <w:iCs/>
                <w:color w:val="000000"/>
                <w:sz w:val="24"/>
                <w:szCs w:val="24"/>
              </w:rPr>
              <w:t xml:space="preserve"> </w:t>
            </w:r>
            <w:r>
              <w:rPr>
                <w:rFonts w:ascii="Times New Roman" w:eastAsia="宋体" w:hAnsi="Times New Roman" w:cs="Times New Roman"/>
                <w:bCs/>
                <w:iCs/>
                <w:color w:val="000000"/>
                <w:sz w:val="24"/>
                <w:szCs w:val="24"/>
              </w:rPr>
              <w:t>富</w:t>
            </w:r>
            <w:r>
              <w:rPr>
                <w:rFonts w:ascii="Times New Roman" w:eastAsia="宋体" w:hAnsi="Times New Roman" w:cs="Times New Roman"/>
                <w:bCs/>
                <w:iCs/>
                <w:color w:val="000000"/>
                <w:sz w:val="24"/>
                <w:szCs w:val="24"/>
              </w:rPr>
              <w:t xml:space="preserve"> </w:t>
            </w:r>
            <w:r>
              <w:rPr>
                <w:rFonts w:ascii="Times New Roman" w:eastAsia="宋体" w:hAnsi="Times New Roman" w:cs="Times New Roman"/>
                <w:bCs/>
                <w:iCs/>
                <w:color w:val="000000"/>
                <w:sz w:val="24"/>
                <w:szCs w:val="24"/>
              </w:rPr>
              <w:t>路</w:t>
            </w:r>
            <w:r>
              <w:rPr>
                <w:rFonts w:ascii="Times New Roman" w:eastAsia="宋体" w:hAnsi="Times New Roman" w:cs="Times New Roman"/>
                <w:bCs/>
                <w:iCs/>
                <w:color w:val="000000"/>
                <w:sz w:val="24"/>
                <w:szCs w:val="24"/>
              </w:rPr>
              <w:t xml:space="preserve"> </w:t>
            </w:r>
            <w:r>
              <w:rPr>
                <w:rFonts w:ascii="Times New Roman" w:eastAsia="宋体" w:hAnsi="Times New Roman" w:cs="Times New Roman"/>
                <w:bCs/>
                <w:iCs/>
                <w:color w:val="000000"/>
                <w:sz w:val="24"/>
                <w:szCs w:val="24"/>
              </w:rPr>
              <w:t>演</w:t>
            </w:r>
            <w:r>
              <w:rPr>
                <w:rFonts w:ascii="Times New Roman" w:eastAsia="宋体" w:hAnsi="Times New Roman" w:cs="Times New Roman"/>
                <w:bCs/>
                <w:iCs/>
                <w:color w:val="000000"/>
                <w:sz w:val="24"/>
                <w:szCs w:val="24"/>
              </w:rPr>
              <w:t xml:space="preserve"> </w:t>
            </w:r>
            <w:r>
              <w:rPr>
                <w:rFonts w:ascii="Times New Roman" w:eastAsia="宋体" w:hAnsi="Times New Roman" w:cs="Times New Roman"/>
                <w:bCs/>
                <w:iCs/>
                <w:color w:val="000000"/>
                <w:sz w:val="24"/>
                <w:szCs w:val="24"/>
              </w:rPr>
              <w:t>平</w:t>
            </w:r>
            <w:r>
              <w:rPr>
                <w:rFonts w:ascii="Times New Roman" w:eastAsia="宋体" w:hAnsi="Times New Roman" w:cs="Times New Roman"/>
                <w:bCs/>
                <w:iCs/>
                <w:color w:val="000000"/>
                <w:sz w:val="24"/>
                <w:szCs w:val="24"/>
              </w:rPr>
              <w:t xml:space="preserve"> </w:t>
            </w:r>
            <w:r>
              <w:rPr>
                <w:rFonts w:ascii="Times New Roman" w:eastAsia="宋体" w:hAnsi="Times New Roman" w:cs="Times New Roman"/>
                <w:bCs/>
                <w:iCs/>
                <w:color w:val="000000"/>
                <w:sz w:val="24"/>
                <w:szCs w:val="24"/>
              </w:rPr>
              <w:t>台</w:t>
            </w:r>
            <w:r>
              <w:rPr>
                <w:rFonts w:ascii="Times New Roman" w:eastAsia="宋体" w:hAnsi="Times New Roman" w:cs="Times New Roman"/>
                <w:bCs/>
                <w:iCs/>
                <w:color w:val="000000"/>
                <w:sz w:val="24"/>
                <w:szCs w:val="24"/>
              </w:rPr>
              <w:t xml:space="preserve"> </w:t>
            </w:r>
          </w:p>
          <w:p w14:paraId="7DC7ED16" w14:textId="77777777" w:rsidR="00A243CC" w:rsidRDefault="00000000">
            <w:pPr>
              <w:jc w:val="left"/>
              <w:rPr>
                <w:rFonts w:ascii="Times New Roman" w:eastAsia="宋体" w:hAnsi="Times New Roman" w:cs="Times New Roman"/>
                <w:bCs/>
                <w:iCs/>
                <w:color w:val="000000"/>
                <w:sz w:val="24"/>
                <w:szCs w:val="24"/>
              </w:rPr>
            </w:pPr>
            <w:r>
              <w:rPr>
                <w:rFonts w:ascii="Times New Roman" w:eastAsia="宋体" w:hAnsi="Times New Roman" w:cs="Times New Roman"/>
                <w:bCs/>
                <w:iCs/>
                <w:color w:val="000000"/>
                <w:sz w:val="24"/>
                <w:szCs w:val="24"/>
              </w:rPr>
              <w:t>（网</w:t>
            </w:r>
            <w:r>
              <w:rPr>
                <w:rFonts w:ascii="Times New Roman" w:eastAsia="宋体" w:hAnsi="Times New Roman" w:cs="Times New Roman"/>
                <w:bCs/>
                <w:iCs/>
                <w:color w:val="000000"/>
                <w:sz w:val="24"/>
                <w:szCs w:val="24"/>
              </w:rPr>
              <w:t xml:space="preserve"> </w:t>
            </w:r>
            <w:r>
              <w:rPr>
                <w:rFonts w:ascii="Times New Roman" w:eastAsia="宋体" w:hAnsi="Times New Roman" w:cs="Times New Roman"/>
                <w:bCs/>
                <w:iCs/>
                <w:color w:val="000000"/>
                <w:sz w:val="24"/>
                <w:szCs w:val="24"/>
              </w:rPr>
              <w:t>址：</w:t>
            </w:r>
            <w:r>
              <w:rPr>
                <w:rFonts w:ascii="Times New Roman" w:eastAsia="宋体" w:hAnsi="Times New Roman" w:cs="Times New Roman"/>
                <w:bCs/>
                <w:iCs/>
                <w:color w:val="000000"/>
                <w:sz w:val="24"/>
                <w:szCs w:val="24"/>
              </w:rPr>
              <w:t>http://roadshow.eastmoney.com/luyan/5486311</w:t>
            </w:r>
            <w:r>
              <w:rPr>
                <w:rFonts w:ascii="Times New Roman" w:eastAsia="宋体" w:hAnsi="Times New Roman" w:cs="Times New Roman"/>
                <w:bCs/>
                <w:iCs/>
                <w:color w:val="000000"/>
                <w:sz w:val="24"/>
                <w:szCs w:val="24"/>
              </w:rPr>
              <w:t>）</w:t>
            </w:r>
          </w:p>
        </w:tc>
      </w:tr>
      <w:tr w:rsidR="00A243CC" w14:paraId="6BACE6DB" w14:textId="77777777">
        <w:trPr>
          <w:trHeight w:val="982"/>
        </w:trPr>
        <w:tc>
          <w:tcPr>
            <w:tcW w:w="1838" w:type="dxa"/>
            <w:tcBorders>
              <w:top w:val="single" w:sz="4" w:space="0" w:color="auto"/>
              <w:left w:val="single" w:sz="4" w:space="0" w:color="auto"/>
              <w:bottom w:val="single" w:sz="4" w:space="0" w:color="auto"/>
              <w:right w:val="single" w:sz="4" w:space="0" w:color="auto"/>
            </w:tcBorders>
            <w:vAlign w:val="center"/>
          </w:tcPr>
          <w:p w14:paraId="0B8771EA" w14:textId="77777777" w:rsidR="00A243CC" w:rsidRDefault="00000000">
            <w:pPr>
              <w:jc w:val="center"/>
              <w:rPr>
                <w:rFonts w:ascii="Times New Roman" w:eastAsia="宋体" w:hAnsi="Times New Roman" w:cs="Times New Roman"/>
                <w:bCs/>
                <w:iCs/>
                <w:color w:val="000000"/>
                <w:sz w:val="24"/>
                <w:szCs w:val="24"/>
              </w:rPr>
            </w:pPr>
            <w:r>
              <w:rPr>
                <w:rFonts w:ascii="Times New Roman" w:eastAsia="宋体" w:hAnsi="Times New Roman" w:cs="Times New Roman"/>
                <w:bCs/>
                <w:iCs/>
                <w:color w:val="000000"/>
                <w:sz w:val="24"/>
                <w:szCs w:val="24"/>
              </w:rPr>
              <w:t>上市公司接待人员姓名</w:t>
            </w:r>
          </w:p>
        </w:tc>
        <w:tc>
          <w:tcPr>
            <w:tcW w:w="6458" w:type="dxa"/>
            <w:tcBorders>
              <w:top w:val="single" w:sz="4" w:space="0" w:color="auto"/>
              <w:left w:val="single" w:sz="4" w:space="0" w:color="auto"/>
              <w:bottom w:val="single" w:sz="4" w:space="0" w:color="auto"/>
              <w:right w:val="single" w:sz="4" w:space="0" w:color="auto"/>
            </w:tcBorders>
            <w:vAlign w:val="center"/>
          </w:tcPr>
          <w:p w14:paraId="2C3568A0" w14:textId="77777777" w:rsidR="00A243CC" w:rsidRDefault="00000000">
            <w:pPr>
              <w:adjustRightInd w:val="0"/>
              <w:snapToGrid w:val="0"/>
              <w:spacing w:line="360" w:lineRule="auto"/>
              <w:rPr>
                <w:rFonts w:ascii="Times New Roman" w:eastAsia="宋体" w:hAnsi="Times New Roman" w:cs="Times New Roman"/>
                <w:bCs/>
                <w:iCs/>
                <w:color w:val="000000"/>
                <w:sz w:val="24"/>
                <w:szCs w:val="24"/>
              </w:rPr>
            </w:pPr>
            <w:r>
              <w:rPr>
                <w:rFonts w:ascii="Times New Roman" w:eastAsia="宋体" w:hAnsi="Times New Roman" w:cs="Times New Roman"/>
                <w:bCs/>
                <w:iCs/>
                <w:color w:val="000000"/>
                <w:sz w:val="24"/>
                <w:szCs w:val="24"/>
              </w:rPr>
              <w:t>董事长、总经理</w:t>
            </w:r>
            <w:r>
              <w:rPr>
                <w:rFonts w:ascii="Times New Roman" w:eastAsia="宋体" w:hAnsi="Times New Roman" w:cs="Times New Roman"/>
                <w:bCs/>
                <w:iCs/>
                <w:color w:val="000000"/>
                <w:sz w:val="24"/>
                <w:szCs w:val="24"/>
              </w:rPr>
              <w:t xml:space="preserve"> </w:t>
            </w:r>
            <w:r>
              <w:rPr>
                <w:rFonts w:ascii="Times New Roman" w:eastAsia="宋体" w:hAnsi="Times New Roman" w:cs="Times New Roman"/>
                <w:bCs/>
                <w:iCs/>
                <w:color w:val="000000"/>
                <w:sz w:val="24"/>
                <w:szCs w:val="24"/>
              </w:rPr>
              <w:t>耿仲毅</w:t>
            </w:r>
          </w:p>
          <w:p w14:paraId="71FEE9F4" w14:textId="77777777" w:rsidR="00A243CC" w:rsidRDefault="00000000">
            <w:pPr>
              <w:adjustRightInd w:val="0"/>
              <w:snapToGrid w:val="0"/>
              <w:spacing w:line="360" w:lineRule="auto"/>
              <w:rPr>
                <w:rFonts w:ascii="Times New Roman" w:eastAsia="宋体" w:hAnsi="Times New Roman" w:cs="Times New Roman"/>
                <w:bCs/>
                <w:iCs/>
                <w:color w:val="000000"/>
                <w:sz w:val="24"/>
                <w:szCs w:val="24"/>
              </w:rPr>
            </w:pPr>
            <w:proofErr w:type="gramStart"/>
            <w:r>
              <w:rPr>
                <w:rFonts w:ascii="Times New Roman" w:eastAsia="宋体" w:hAnsi="Times New Roman" w:cs="Times New Roman"/>
                <w:bCs/>
                <w:iCs/>
                <w:color w:val="000000"/>
                <w:sz w:val="24"/>
                <w:szCs w:val="24"/>
              </w:rPr>
              <w:t>财务总监</w:t>
            </w:r>
            <w:r>
              <w:rPr>
                <w:rFonts w:ascii="Times New Roman" w:eastAsia="宋体" w:hAnsi="Times New Roman" w:cs="Times New Roman"/>
                <w:bCs/>
                <w:iCs/>
                <w:color w:val="000000"/>
                <w:sz w:val="24"/>
                <w:szCs w:val="24"/>
              </w:rPr>
              <w:t xml:space="preserve">  </w:t>
            </w:r>
            <w:r>
              <w:rPr>
                <w:rFonts w:ascii="Times New Roman" w:eastAsia="宋体" w:hAnsi="Times New Roman" w:cs="Times New Roman"/>
                <w:bCs/>
                <w:iCs/>
                <w:color w:val="000000"/>
                <w:sz w:val="24"/>
                <w:szCs w:val="24"/>
              </w:rPr>
              <w:t>赵锁富</w:t>
            </w:r>
            <w:proofErr w:type="gramEnd"/>
          </w:p>
          <w:p w14:paraId="335BF098" w14:textId="77777777" w:rsidR="00A243CC" w:rsidRDefault="00000000">
            <w:pPr>
              <w:adjustRightInd w:val="0"/>
              <w:snapToGrid w:val="0"/>
              <w:spacing w:line="360" w:lineRule="auto"/>
              <w:rPr>
                <w:rFonts w:ascii="Times New Roman" w:eastAsia="宋体" w:hAnsi="Times New Roman" w:cs="Times New Roman"/>
                <w:bCs/>
                <w:iCs/>
                <w:color w:val="000000"/>
                <w:sz w:val="24"/>
                <w:szCs w:val="24"/>
              </w:rPr>
            </w:pPr>
            <w:proofErr w:type="gramStart"/>
            <w:r>
              <w:rPr>
                <w:rFonts w:ascii="Times New Roman" w:eastAsia="宋体" w:hAnsi="Times New Roman" w:cs="Times New Roman"/>
                <w:bCs/>
                <w:iCs/>
                <w:color w:val="000000"/>
                <w:sz w:val="24"/>
                <w:szCs w:val="24"/>
              </w:rPr>
              <w:t>董事会秘书</w:t>
            </w:r>
            <w:r>
              <w:rPr>
                <w:rFonts w:ascii="Times New Roman" w:eastAsia="宋体" w:hAnsi="Times New Roman" w:cs="Times New Roman"/>
                <w:bCs/>
                <w:iCs/>
                <w:color w:val="000000"/>
                <w:sz w:val="24"/>
                <w:szCs w:val="24"/>
              </w:rPr>
              <w:t xml:space="preserve">  </w:t>
            </w:r>
            <w:r>
              <w:rPr>
                <w:rFonts w:ascii="Times New Roman" w:eastAsia="宋体" w:hAnsi="Times New Roman" w:cs="Times New Roman"/>
                <w:bCs/>
                <w:iCs/>
                <w:color w:val="000000"/>
                <w:sz w:val="24"/>
                <w:szCs w:val="24"/>
              </w:rPr>
              <w:t>翟建中</w:t>
            </w:r>
            <w:proofErr w:type="gramEnd"/>
          </w:p>
          <w:p w14:paraId="6629C664" w14:textId="77777777" w:rsidR="00A243CC" w:rsidRDefault="00000000">
            <w:pPr>
              <w:adjustRightInd w:val="0"/>
              <w:snapToGrid w:val="0"/>
              <w:spacing w:line="360" w:lineRule="auto"/>
              <w:rPr>
                <w:rFonts w:ascii="Times New Roman" w:eastAsia="宋体" w:hAnsi="Times New Roman" w:cs="Times New Roman"/>
                <w:bCs/>
                <w:iCs/>
                <w:color w:val="000000"/>
                <w:sz w:val="24"/>
                <w:szCs w:val="24"/>
              </w:rPr>
            </w:pPr>
            <w:r>
              <w:rPr>
                <w:rFonts w:ascii="Times New Roman" w:eastAsia="宋体" w:hAnsi="Times New Roman" w:cs="Times New Roman"/>
                <w:bCs/>
                <w:iCs/>
                <w:color w:val="000000"/>
                <w:sz w:val="24"/>
                <w:szCs w:val="24"/>
              </w:rPr>
              <w:t>独立董事</w:t>
            </w:r>
            <w:r>
              <w:rPr>
                <w:rFonts w:ascii="Times New Roman" w:eastAsia="宋体" w:hAnsi="Times New Roman" w:cs="Times New Roman"/>
                <w:bCs/>
                <w:iCs/>
                <w:color w:val="000000"/>
                <w:sz w:val="24"/>
                <w:szCs w:val="24"/>
              </w:rPr>
              <w:t xml:space="preserve"> </w:t>
            </w:r>
            <w:r>
              <w:rPr>
                <w:rFonts w:ascii="Times New Roman" w:eastAsia="宋体" w:hAnsi="Times New Roman" w:cs="Times New Roman"/>
                <w:bCs/>
                <w:iCs/>
                <w:color w:val="000000"/>
                <w:sz w:val="24"/>
                <w:szCs w:val="24"/>
              </w:rPr>
              <w:t>陈留平</w:t>
            </w:r>
          </w:p>
        </w:tc>
      </w:tr>
      <w:tr w:rsidR="00A243CC" w14:paraId="1959B08B" w14:textId="77777777">
        <w:trPr>
          <w:trHeight w:val="983"/>
        </w:trPr>
        <w:tc>
          <w:tcPr>
            <w:tcW w:w="1838" w:type="dxa"/>
            <w:tcBorders>
              <w:top w:val="single" w:sz="4" w:space="0" w:color="auto"/>
              <w:left w:val="single" w:sz="4" w:space="0" w:color="auto"/>
              <w:bottom w:val="single" w:sz="4" w:space="0" w:color="auto"/>
              <w:right w:val="single" w:sz="4" w:space="0" w:color="auto"/>
            </w:tcBorders>
            <w:vAlign w:val="center"/>
          </w:tcPr>
          <w:p w14:paraId="11BCD517" w14:textId="77777777" w:rsidR="00A243CC" w:rsidRDefault="00000000">
            <w:pPr>
              <w:jc w:val="center"/>
              <w:rPr>
                <w:rFonts w:ascii="Times New Roman" w:eastAsia="宋体" w:hAnsi="Times New Roman" w:cs="Times New Roman"/>
                <w:bCs/>
                <w:iCs/>
                <w:color w:val="000000"/>
                <w:sz w:val="24"/>
                <w:szCs w:val="24"/>
              </w:rPr>
            </w:pPr>
            <w:r>
              <w:rPr>
                <w:rFonts w:ascii="Times New Roman" w:eastAsia="宋体" w:hAnsi="Times New Roman" w:cs="Times New Roman"/>
                <w:bCs/>
                <w:iCs/>
                <w:color w:val="000000"/>
                <w:sz w:val="24"/>
                <w:szCs w:val="24"/>
              </w:rPr>
              <w:t>投资者关系活动主要内容介绍</w:t>
            </w:r>
          </w:p>
        </w:tc>
        <w:tc>
          <w:tcPr>
            <w:tcW w:w="6458" w:type="dxa"/>
            <w:tcBorders>
              <w:top w:val="single" w:sz="4" w:space="0" w:color="auto"/>
              <w:left w:val="single" w:sz="4" w:space="0" w:color="auto"/>
              <w:bottom w:val="single" w:sz="4" w:space="0" w:color="auto"/>
              <w:right w:val="single" w:sz="4" w:space="0" w:color="auto"/>
            </w:tcBorders>
            <w:vAlign w:val="center"/>
          </w:tcPr>
          <w:p w14:paraId="4FD75904" w14:textId="77777777" w:rsidR="00A243CC" w:rsidRDefault="00000000">
            <w:pPr>
              <w:adjustRightInd w:val="0"/>
              <w:snapToGrid w:val="0"/>
              <w:spacing w:line="360" w:lineRule="auto"/>
              <w:ind w:firstLineChars="200" w:firstLine="480"/>
              <w:rPr>
                <w:rFonts w:ascii="Times New Roman" w:eastAsia="宋体" w:hAnsi="Times New Roman" w:cs="Times New Roman"/>
                <w:kern w:val="0"/>
                <w:sz w:val="24"/>
                <w:szCs w:val="21"/>
              </w:rPr>
            </w:pPr>
            <w:r>
              <w:rPr>
                <w:rFonts w:ascii="Times New Roman" w:eastAsia="宋体" w:hAnsi="Times New Roman" w:cs="Times New Roman"/>
                <w:kern w:val="0"/>
                <w:sz w:val="24"/>
                <w:szCs w:val="21"/>
              </w:rPr>
              <w:t>在东方财富路演平台的支持下，公司于</w:t>
            </w:r>
            <w:r>
              <w:rPr>
                <w:rFonts w:ascii="Times New Roman" w:eastAsia="宋体" w:hAnsi="Times New Roman" w:cs="Times New Roman"/>
                <w:kern w:val="0"/>
                <w:sz w:val="24"/>
                <w:szCs w:val="21"/>
              </w:rPr>
              <w:t>2026</w:t>
            </w:r>
            <w:r>
              <w:rPr>
                <w:rFonts w:ascii="Times New Roman" w:eastAsia="宋体" w:hAnsi="Times New Roman" w:cs="Times New Roman"/>
                <w:kern w:val="0"/>
                <w:sz w:val="24"/>
                <w:szCs w:val="21"/>
              </w:rPr>
              <w:t>年</w:t>
            </w:r>
            <w:r>
              <w:rPr>
                <w:rFonts w:ascii="Times New Roman" w:eastAsia="宋体" w:hAnsi="Times New Roman" w:cs="Times New Roman"/>
                <w:kern w:val="0"/>
                <w:sz w:val="24"/>
                <w:szCs w:val="21"/>
              </w:rPr>
              <w:t>9</w:t>
            </w:r>
            <w:r>
              <w:rPr>
                <w:rFonts w:ascii="Times New Roman" w:eastAsia="宋体" w:hAnsi="Times New Roman" w:cs="Times New Roman"/>
                <w:kern w:val="0"/>
                <w:sz w:val="24"/>
                <w:szCs w:val="21"/>
              </w:rPr>
              <w:t>月</w:t>
            </w:r>
            <w:r>
              <w:rPr>
                <w:rFonts w:ascii="Times New Roman" w:eastAsia="宋体" w:hAnsi="Times New Roman" w:cs="Times New Roman"/>
                <w:kern w:val="0"/>
                <w:sz w:val="24"/>
                <w:szCs w:val="21"/>
              </w:rPr>
              <w:t>17</w:t>
            </w:r>
            <w:r>
              <w:rPr>
                <w:rFonts w:ascii="Times New Roman" w:eastAsia="宋体" w:hAnsi="Times New Roman" w:cs="Times New Roman"/>
                <w:kern w:val="0"/>
                <w:sz w:val="24"/>
                <w:szCs w:val="21"/>
              </w:rPr>
              <w:t>日下午</w:t>
            </w:r>
            <w:r>
              <w:rPr>
                <w:rFonts w:ascii="Times New Roman" w:eastAsia="宋体" w:hAnsi="Times New Roman" w:cs="Times New Roman"/>
                <w:kern w:val="0"/>
                <w:sz w:val="24"/>
                <w:szCs w:val="21"/>
              </w:rPr>
              <w:t>15:00-16:00</w:t>
            </w:r>
            <w:r>
              <w:rPr>
                <w:rFonts w:ascii="Times New Roman" w:eastAsia="宋体" w:hAnsi="Times New Roman" w:cs="Times New Roman"/>
                <w:kern w:val="0"/>
                <w:sz w:val="24"/>
                <w:szCs w:val="21"/>
              </w:rPr>
              <w:t>召开了</w:t>
            </w:r>
            <w:r>
              <w:rPr>
                <w:rFonts w:ascii="Times New Roman" w:eastAsia="宋体" w:hAnsi="Times New Roman" w:cs="Times New Roman"/>
                <w:kern w:val="0"/>
                <w:sz w:val="24"/>
                <w:szCs w:val="21"/>
              </w:rPr>
              <w:t>2026</w:t>
            </w:r>
            <w:r>
              <w:rPr>
                <w:rFonts w:ascii="Times New Roman" w:eastAsia="宋体" w:hAnsi="Times New Roman" w:cs="Times New Roman"/>
                <w:kern w:val="0"/>
                <w:sz w:val="24"/>
                <w:szCs w:val="21"/>
              </w:rPr>
              <w:t>年半年度业绩说明会，就投资者关心的问题进行了线上交流，具体交流情况如下：</w:t>
            </w:r>
          </w:p>
          <w:p w14:paraId="47165B68" w14:textId="77777777" w:rsidR="00A243CC" w:rsidRDefault="00000000">
            <w:pPr>
              <w:adjustRightInd w:val="0"/>
              <w:snapToGrid w:val="0"/>
              <w:spacing w:line="360" w:lineRule="auto"/>
              <w:ind w:firstLineChars="200" w:firstLine="482"/>
              <w:rPr>
                <w:rFonts w:ascii="Times New Roman" w:eastAsia="宋体" w:hAnsi="Times New Roman" w:cs="Times New Roman"/>
                <w:b/>
                <w:bCs/>
                <w:kern w:val="0"/>
                <w:sz w:val="24"/>
                <w:szCs w:val="21"/>
              </w:rPr>
            </w:pPr>
            <w:r>
              <w:rPr>
                <w:rFonts w:ascii="Times New Roman" w:eastAsia="宋体" w:hAnsi="Times New Roman" w:cs="Times New Roman"/>
                <w:b/>
                <w:bCs/>
                <w:kern w:val="0"/>
                <w:sz w:val="24"/>
                <w:szCs w:val="21"/>
              </w:rPr>
              <w:t>1</w:t>
            </w:r>
            <w:r>
              <w:rPr>
                <w:rFonts w:ascii="Times New Roman" w:eastAsia="宋体" w:hAnsi="Times New Roman" w:cs="Times New Roman"/>
                <w:b/>
                <w:bCs/>
                <w:kern w:val="0"/>
                <w:sz w:val="24"/>
                <w:szCs w:val="21"/>
              </w:rPr>
              <w:t>、请问贵公司有否回购本公司股票的意向？</w:t>
            </w:r>
          </w:p>
          <w:p w14:paraId="2A2BAFF8" w14:textId="77777777" w:rsidR="00A243CC" w:rsidRDefault="00000000">
            <w:pPr>
              <w:adjustRightInd w:val="0"/>
              <w:snapToGrid w:val="0"/>
              <w:spacing w:line="360" w:lineRule="auto"/>
              <w:ind w:firstLineChars="200" w:firstLine="480"/>
              <w:rPr>
                <w:rFonts w:ascii="Times New Roman" w:eastAsia="宋体" w:hAnsi="Times New Roman" w:cs="Times New Roman"/>
                <w:kern w:val="0"/>
                <w:sz w:val="24"/>
                <w:szCs w:val="21"/>
              </w:rPr>
            </w:pPr>
            <w:r>
              <w:rPr>
                <w:rFonts w:ascii="Times New Roman" w:eastAsia="宋体" w:hAnsi="Times New Roman" w:cs="Times New Roman"/>
                <w:kern w:val="0"/>
                <w:sz w:val="24"/>
                <w:szCs w:val="21"/>
              </w:rPr>
              <w:t>根据相关规定，上市公司回购本公司股票应该履行相关法定程序。如涉及上述事项，公司将根据有关规定及时履行信息披露义务，有关信息以公司在指定信息披露媒体上披露的相关信息为准。感谢关注。</w:t>
            </w:r>
          </w:p>
          <w:p w14:paraId="690A938F" w14:textId="77777777" w:rsidR="00A243CC" w:rsidRDefault="00000000">
            <w:pPr>
              <w:adjustRightInd w:val="0"/>
              <w:snapToGrid w:val="0"/>
              <w:spacing w:line="360" w:lineRule="auto"/>
              <w:ind w:firstLineChars="200" w:firstLine="482"/>
              <w:rPr>
                <w:rFonts w:ascii="Times New Roman" w:eastAsia="宋体" w:hAnsi="Times New Roman" w:cs="Times New Roman"/>
                <w:b/>
                <w:bCs/>
                <w:kern w:val="0"/>
                <w:sz w:val="24"/>
                <w:szCs w:val="21"/>
              </w:rPr>
            </w:pPr>
            <w:r>
              <w:rPr>
                <w:rFonts w:ascii="Times New Roman" w:eastAsia="宋体" w:hAnsi="Times New Roman" w:cs="Times New Roman"/>
                <w:b/>
                <w:bCs/>
                <w:kern w:val="0"/>
                <w:sz w:val="24"/>
                <w:szCs w:val="21"/>
              </w:rPr>
              <w:t>2</w:t>
            </w:r>
            <w:r>
              <w:rPr>
                <w:rFonts w:ascii="Times New Roman" w:eastAsia="宋体" w:hAnsi="Times New Roman" w:cs="Times New Roman"/>
                <w:b/>
                <w:bCs/>
                <w:kern w:val="0"/>
                <w:sz w:val="24"/>
                <w:szCs w:val="21"/>
              </w:rPr>
              <w:t>、半年报发布的分红，</w:t>
            </w:r>
            <w:r>
              <w:rPr>
                <w:rFonts w:ascii="Times New Roman" w:eastAsia="宋体" w:hAnsi="Times New Roman" w:cs="Times New Roman"/>
                <w:b/>
                <w:bCs/>
                <w:kern w:val="0"/>
                <w:sz w:val="24"/>
                <w:szCs w:val="21"/>
              </w:rPr>
              <w:t>9</w:t>
            </w:r>
            <w:r>
              <w:rPr>
                <w:rFonts w:ascii="Times New Roman" w:eastAsia="宋体" w:hAnsi="Times New Roman" w:cs="Times New Roman"/>
                <w:b/>
                <w:bCs/>
                <w:kern w:val="0"/>
                <w:sz w:val="24"/>
                <w:szCs w:val="21"/>
              </w:rPr>
              <w:t>月底前可实施？</w:t>
            </w:r>
          </w:p>
          <w:p w14:paraId="0583E473" w14:textId="25DC7021" w:rsidR="00A243CC" w:rsidRDefault="00000000">
            <w:pPr>
              <w:adjustRightInd w:val="0"/>
              <w:snapToGrid w:val="0"/>
              <w:spacing w:line="360" w:lineRule="auto"/>
              <w:ind w:firstLineChars="200" w:firstLine="480"/>
              <w:rPr>
                <w:rFonts w:ascii="Times New Roman" w:eastAsia="宋体" w:hAnsi="Times New Roman" w:cs="Times New Roman"/>
                <w:kern w:val="0"/>
                <w:sz w:val="24"/>
                <w:szCs w:val="21"/>
              </w:rPr>
            </w:pPr>
            <w:r>
              <w:rPr>
                <w:rFonts w:ascii="Times New Roman" w:eastAsia="宋体" w:hAnsi="Times New Roman" w:cs="Times New Roman"/>
                <w:kern w:val="0"/>
                <w:sz w:val="24"/>
                <w:szCs w:val="21"/>
              </w:rPr>
              <w:t>根据《公司章程》规定，公司利润分配方案制定后，公司董事会将在</w:t>
            </w:r>
            <w:r>
              <w:rPr>
                <w:rFonts w:ascii="Times New Roman" w:eastAsia="宋体" w:hAnsi="Times New Roman" w:cs="Times New Roman"/>
                <w:kern w:val="0"/>
                <w:sz w:val="24"/>
                <w:szCs w:val="21"/>
              </w:rPr>
              <w:t>2</w:t>
            </w:r>
            <w:r>
              <w:rPr>
                <w:rFonts w:ascii="Times New Roman" w:eastAsia="宋体" w:hAnsi="Times New Roman" w:cs="Times New Roman"/>
                <w:kern w:val="0"/>
                <w:sz w:val="24"/>
                <w:szCs w:val="21"/>
              </w:rPr>
              <w:t>个月内完成派发。具体安排敬请关注相关利</w:t>
            </w:r>
            <w:r>
              <w:rPr>
                <w:rFonts w:ascii="Times New Roman" w:eastAsia="宋体" w:hAnsi="Times New Roman" w:cs="Times New Roman"/>
                <w:kern w:val="0"/>
                <w:sz w:val="24"/>
                <w:szCs w:val="21"/>
              </w:rPr>
              <w:lastRenderedPageBreak/>
              <w:t>润分配实施公告。感谢关注。</w:t>
            </w:r>
          </w:p>
          <w:p w14:paraId="2FDFCD25" w14:textId="77777777" w:rsidR="00A243CC" w:rsidRDefault="00000000">
            <w:pPr>
              <w:adjustRightInd w:val="0"/>
              <w:snapToGrid w:val="0"/>
              <w:spacing w:line="360" w:lineRule="auto"/>
              <w:ind w:firstLineChars="200" w:firstLine="482"/>
              <w:rPr>
                <w:rFonts w:ascii="Times New Roman" w:eastAsia="宋体" w:hAnsi="Times New Roman" w:cs="Times New Roman"/>
                <w:b/>
                <w:bCs/>
                <w:kern w:val="0"/>
                <w:sz w:val="24"/>
                <w:szCs w:val="21"/>
              </w:rPr>
            </w:pPr>
            <w:r>
              <w:rPr>
                <w:rFonts w:ascii="Times New Roman" w:eastAsia="宋体" w:hAnsi="Times New Roman" w:cs="Times New Roman"/>
                <w:b/>
                <w:bCs/>
                <w:kern w:val="0"/>
                <w:sz w:val="24"/>
                <w:szCs w:val="21"/>
              </w:rPr>
              <w:t>3</w:t>
            </w:r>
            <w:r>
              <w:rPr>
                <w:rFonts w:ascii="Times New Roman" w:eastAsia="宋体" w:hAnsi="Times New Roman" w:cs="Times New Roman"/>
                <w:b/>
                <w:bCs/>
                <w:kern w:val="0"/>
                <w:sz w:val="24"/>
                <w:szCs w:val="21"/>
              </w:rPr>
              <w:t>、抗肿瘤新药</w:t>
            </w:r>
            <w:r>
              <w:rPr>
                <w:rFonts w:ascii="Times New Roman" w:eastAsia="宋体" w:hAnsi="Times New Roman" w:cs="Times New Roman"/>
                <w:b/>
                <w:bCs/>
                <w:kern w:val="0"/>
                <w:sz w:val="24"/>
                <w:szCs w:val="21"/>
              </w:rPr>
              <w:t>JJH201601</w:t>
            </w:r>
            <w:r>
              <w:rPr>
                <w:rFonts w:ascii="Times New Roman" w:eastAsia="宋体" w:hAnsi="Times New Roman" w:cs="Times New Roman"/>
                <w:b/>
                <w:bCs/>
                <w:kern w:val="0"/>
                <w:sz w:val="24"/>
                <w:szCs w:val="21"/>
              </w:rPr>
              <w:t>研发的进展如何？</w:t>
            </w:r>
          </w:p>
          <w:p w14:paraId="44032EA3" w14:textId="77777777" w:rsidR="00A243CC" w:rsidRDefault="00000000">
            <w:pPr>
              <w:adjustRightInd w:val="0"/>
              <w:snapToGrid w:val="0"/>
              <w:spacing w:line="360" w:lineRule="auto"/>
              <w:ind w:firstLineChars="200" w:firstLine="480"/>
              <w:rPr>
                <w:rFonts w:ascii="Times New Roman" w:eastAsia="宋体" w:hAnsi="Times New Roman" w:cs="Times New Roman"/>
                <w:kern w:val="0"/>
                <w:sz w:val="24"/>
                <w:szCs w:val="21"/>
              </w:rPr>
            </w:pPr>
            <w:r>
              <w:rPr>
                <w:rFonts w:ascii="Times New Roman" w:eastAsia="宋体" w:hAnsi="Times New Roman" w:cs="Times New Roman"/>
                <w:kern w:val="0"/>
                <w:sz w:val="24"/>
                <w:szCs w:val="21"/>
              </w:rPr>
              <w:t>公司在研抗肿瘤新药</w:t>
            </w:r>
            <w:r>
              <w:rPr>
                <w:rFonts w:ascii="Times New Roman" w:eastAsia="宋体" w:hAnsi="Times New Roman" w:cs="Times New Roman"/>
                <w:kern w:val="0"/>
                <w:sz w:val="24"/>
                <w:szCs w:val="21"/>
              </w:rPr>
              <w:t>JJH201601</w:t>
            </w:r>
            <w:r>
              <w:rPr>
                <w:rFonts w:ascii="Times New Roman" w:eastAsia="宋体" w:hAnsi="Times New Roman" w:cs="Times New Roman"/>
                <w:kern w:val="0"/>
                <w:sz w:val="24"/>
                <w:szCs w:val="21"/>
              </w:rPr>
              <w:t>是公司依托脂质体药物研发技术平台开发的一类抗肿瘤新药，目前，抗肿瘤新药</w:t>
            </w:r>
            <w:r>
              <w:rPr>
                <w:rFonts w:ascii="Times New Roman" w:eastAsia="宋体" w:hAnsi="Times New Roman" w:cs="Times New Roman"/>
                <w:kern w:val="0"/>
                <w:sz w:val="24"/>
                <w:szCs w:val="21"/>
              </w:rPr>
              <w:t>JJH201601</w:t>
            </w:r>
            <w:r>
              <w:rPr>
                <w:rFonts w:ascii="Times New Roman" w:eastAsia="宋体" w:hAnsi="Times New Roman" w:cs="Times New Roman"/>
                <w:kern w:val="0"/>
                <w:sz w:val="24"/>
                <w:szCs w:val="21"/>
              </w:rPr>
              <w:t>已完成</w:t>
            </w:r>
            <w:r>
              <w:rPr>
                <w:rFonts w:ascii="Times New Roman" w:eastAsia="宋体" w:hAnsi="Times New Roman" w:cs="Times New Roman"/>
                <w:kern w:val="0"/>
                <w:sz w:val="24"/>
                <w:szCs w:val="21"/>
              </w:rPr>
              <w:t>IIa</w:t>
            </w:r>
            <w:r>
              <w:rPr>
                <w:rFonts w:ascii="Times New Roman" w:eastAsia="宋体" w:hAnsi="Times New Roman" w:cs="Times New Roman"/>
                <w:kern w:val="0"/>
                <w:sz w:val="24"/>
                <w:szCs w:val="21"/>
              </w:rPr>
              <w:t>期临床试验受试者入组工作，正在进行随访观察和评价，国家药品监督管理局药品审评中心（</w:t>
            </w:r>
            <w:r>
              <w:rPr>
                <w:rFonts w:ascii="Times New Roman" w:eastAsia="宋体" w:hAnsi="Times New Roman" w:cs="Times New Roman"/>
                <w:kern w:val="0"/>
                <w:sz w:val="24"/>
                <w:szCs w:val="21"/>
              </w:rPr>
              <w:t>CDE</w:t>
            </w:r>
            <w:r>
              <w:rPr>
                <w:rFonts w:ascii="Times New Roman" w:eastAsia="宋体" w:hAnsi="Times New Roman" w:cs="Times New Roman"/>
                <w:kern w:val="0"/>
                <w:sz w:val="24"/>
                <w:szCs w:val="21"/>
              </w:rPr>
              <w:t>）已同意公司基于已获得的探索性研究数据，在三线胆道癌人群中开展关键</w:t>
            </w:r>
            <w:r>
              <w:rPr>
                <w:rFonts w:ascii="Times New Roman" w:eastAsia="宋体" w:hAnsi="Times New Roman" w:cs="Times New Roman"/>
                <w:kern w:val="0"/>
                <w:sz w:val="24"/>
                <w:szCs w:val="21"/>
              </w:rPr>
              <w:t>III</w:t>
            </w:r>
            <w:r>
              <w:rPr>
                <w:rFonts w:ascii="Times New Roman" w:eastAsia="宋体" w:hAnsi="Times New Roman" w:cs="Times New Roman"/>
                <w:kern w:val="0"/>
                <w:sz w:val="24"/>
                <w:szCs w:val="21"/>
              </w:rPr>
              <w:t>期研究，后续工作的重要进展情况敬请关注公司披露的有关信息。感谢关注。</w:t>
            </w:r>
          </w:p>
          <w:p w14:paraId="4920EA79" w14:textId="77777777" w:rsidR="00A243CC" w:rsidRDefault="00000000">
            <w:pPr>
              <w:adjustRightInd w:val="0"/>
              <w:snapToGrid w:val="0"/>
              <w:spacing w:line="360" w:lineRule="auto"/>
              <w:ind w:firstLineChars="200" w:firstLine="482"/>
              <w:rPr>
                <w:rFonts w:ascii="Times New Roman" w:eastAsia="宋体" w:hAnsi="Times New Roman" w:cs="Times New Roman"/>
                <w:b/>
                <w:bCs/>
                <w:kern w:val="0"/>
                <w:sz w:val="24"/>
                <w:szCs w:val="21"/>
              </w:rPr>
            </w:pPr>
            <w:r>
              <w:rPr>
                <w:rFonts w:ascii="Times New Roman" w:eastAsia="宋体" w:hAnsi="Times New Roman" w:cs="Times New Roman"/>
                <w:b/>
                <w:bCs/>
                <w:kern w:val="0"/>
                <w:sz w:val="24"/>
                <w:szCs w:val="21"/>
              </w:rPr>
              <w:t>4</w:t>
            </w:r>
            <w:r>
              <w:rPr>
                <w:rFonts w:ascii="Times New Roman" w:eastAsia="宋体" w:hAnsi="Times New Roman" w:cs="Times New Roman"/>
                <w:b/>
                <w:bCs/>
                <w:kern w:val="0"/>
                <w:sz w:val="24"/>
                <w:szCs w:val="21"/>
              </w:rPr>
              <w:t>、想请教下相比其他降压药，贵司尼群洛尔片的特点和优势有哪些，未来增长点在哪？</w:t>
            </w:r>
          </w:p>
          <w:p w14:paraId="5AC9FDFB" w14:textId="77777777" w:rsidR="00A243CC" w:rsidRDefault="00000000">
            <w:pPr>
              <w:adjustRightInd w:val="0"/>
              <w:snapToGrid w:val="0"/>
              <w:spacing w:line="360" w:lineRule="auto"/>
              <w:ind w:firstLineChars="200" w:firstLine="480"/>
              <w:rPr>
                <w:rFonts w:ascii="Times New Roman" w:eastAsia="宋体" w:hAnsi="Times New Roman" w:cs="Times New Roman"/>
                <w:kern w:val="0"/>
                <w:sz w:val="24"/>
                <w:szCs w:val="21"/>
              </w:rPr>
            </w:pPr>
            <w:r>
              <w:rPr>
                <w:rFonts w:ascii="Times New Roman" w:eastAsia="宋体" w:hAnsi="Times New Roman" w:cs="Times New Roman"/>
                <w:kern w:val="0"/>
                <w:sz w:val="24"/>
                <w:szCs w:val="21"/>
              </w:rPr>
              <w:t>公司尼群洛尔片是国内首个一类复方抗高血压新药，用于治疗轻中度原发性高血压，更适用于轻中度高血压合并心率快患者。与市场上其他抗高血压药品种相比，尼群洛尔片在降低血压的同时，又能降低心率，针对高血压合并心率快患者具有明显的优势，临床不可替代。近年来，控制血压的同时，加强对心率的管控正逐步成为高血压治疗领域的共识，尼群洛尔片在高血压伴高心率细分领域具有明显优势和应用前景，市场空间巨大。尼群洛尔片是公司目前主要产品之一，预计后续能为公司带来稳定的收入增长。感谢关注。</w:t>
            </w:r>
          </w:p>
          <w:p w14:paraId="2702E59E" w14:textId="77777777" w:rsidR="00A243CC" w:rsidRDefault="00000000">
            <w:pPr>
              <w:adjustRightInd w:val="0"/>
              <w:snapToGrid w:val="0"/>
              <w:spacing w:line="360" w:lineRule="auto"/>
              <w:ind w:firstLineChars="200" w:firstLine="482"/>
              <w:rPr>
                <w:rFonts w:ascii="Times New Roman" w:eastAsia="宋体" w:hAnsi="Times New Roman" w:cs="Times New Roman"/>
                <w:b/>
                <w:bCs/>
                <w:kern w:val="0"/>
                <w:sz w:val="24"/>
                <w:szCs w:val="21"/>
              </w:rPr>
            </w:pPr>
            <w:r>
              <w:rPr>
                <w:rFonts w:ascii="Times New Roman" w:eastAsia="宋体" w:hAnsi="Times New Roman" w:cs="Times New Roman"/>
                <w:b/>
                <w:bCs/>
                <w:kern w:val="0"/>
                <w:sz w:val="24"/>
                <w:szCs w:val="21"/>
              </w:rPr>
              <w:t>5</w:t>
            </w:r>
            <w:r>
              <w:rPr>
                <w:rFonts w:ascii="Times New Roman" w:eastAsia="宋体" w:hAnsi="Times New Roman" w:cs="Times New Roman"/>
                <w:b/>
                <w:bCs/>
                <w:kern w:val="0"/>
                <w:sz w:val="24"/>
                <w:szCs w:val="21"/>
              </w:rPr>
              <w:t>、除了</w:t>
            </w:r>
            <w:r>
              <w:rPr>
                <w:rFonts w:ascii="Times New Roman" w:eastAsia="宋体" w:hAnsi="Times New Roman" w:cs="Times New Roman"/>
                <w:b/>
                <w:bCs/>
                <w:kern w:val="0"/>
                <w:sz w:val="24"/>
                <w:szCs w:val="21"/>
              </w:rPr>
              <w:t>JJH201501</w:t>
            </w:r>
            <w:r>
              <w:rPr>
                <w:rFonts w:ascii="Times New Roman" w:eastAsia="宋体" w:hAnsi="Times New Roman" w:cs="Times New Roman"/>
                <w:b/>
                <w:bCs/>
                <w:kern w:val="0"/>
                <w:sz w:val="24"/>
                <w:szCs w:val="21"/>
              </w:rPr>
              <w:t>，公司氘代药物研发技术平台在研的新药还有哪些？</w:t>
            </w:r>
          </w:p>
          <w:p w14:paraId="158CBCA1" w14:textId="77777777" w:rsidR="00A243CC" w:rsidRDefault="00000000">
            <w:pPr>
              <w:adjustRightInd w:val="0"/>
              <w:snapToGrid w:val="0"/>
              <w:spacing w:line="360" w:lineRule="auto"/>
              <w:ind w:firstLineChars="200" w:firstLine="480"/>
              <w:rPr>
                <w:rFonts w:ascii="Times New Roman" w:eastAsia="宋体" w:hAnsi="Times New Roman" w:cs="Times New Roman"/>
                <w:kern w:val="0"/>
                <w:sz w:val="24"/>
                <w:szCs w:val="21"/>
              </w:rPr>
            </w:pPr>
            <w:r>
              <w:rPr>
                <w:rFonts w:ascii="Times New Roman" w:eastAsia="宋体" w:hAnsi="Times New Roman" w:cs="Times New Roman"/>
                <w:kern w:val="0"/>
                <w:sz w:val="24"/>
                <w:szCs w:val="21"/>
              </w:rPr>
              <w:t>目前，公司依托氘代研发技术平台正在开发抗抑郁新药</w:t>
            </w:r>
            <w:r>
              <w:rPr>
                <w:rFonts w:ascii="Times New Roman" w:eastAsia="宋体" w:hAnsi="Times New Roman" w:cs="Times New Roman"/>
                <w:kern w:val="0"/>
                <w:sz w:val="24"/>
                <w:szCs w:val="21"/>
              </w:rPr>
              <w:t>JJH201501</w:t>
            </w:r>
            <w:r>
              <w:rPr>
                <w:rFonts w:ascii="Times New Roman" w:eastAsia="宋体" w:hAnsi="Times New Roman" w:cs="Times New Roman"/>
                <w:kern w:val="0"/>
                <w:sz w:val="24"/>
                <w:szCs w:val="21"/>
              </w:rPr>
              <w:t>、抗胃酸新药</w:t>
            </w:r>
            <w:r>
              <w:rPr>
                <w:rFonts w:ascii="Times New Roman" w:eastAsia="宋体" w:hAnsi="Times New Roman" w:cs="Times New Roman"/>
                <w:kern w:val="0"/>
                <w:sz w:val="24"/>
                <w:szCs w:val="21"/>
              </w:rPr>
              <w:t>JJH201701</w:t>
            </w:r>
            <w:r>
              <w:rPr>
                <w:rFonts w:ascii="Times New Roman" w:eastAsia="宋体" w:hAnsi="Times New Roman" w:cs="Times New Roman"/>
                <w:kern w:val="0"/>
                <w:sz w:val="24"/>
                <w:szCs w:val="21"/>
              </w:rPr>
              <w:t>、治疗胆囊炎胆结石新药</w:t>
            </w:r>
            <w:r>
              <w:rPr>
                <w:rFonts w:ascii="Times New Roman" w:eastAsia="宋体" w:hAnsi="Times New Roman" w:cs="Times New Roman"/>
                <w:kern w:val="0"/>
                <w:sz w:val="24"/>
                <w:szCs w:val="21"/>
              </w:rPr>
              <w:t xml:space="preserve"> JJH201801</w:t>
            </w:r>
            <w:r>
              <w:rPr>
                <w:rFonts w:ascii="Times New Roman" w:eastAsia="宋体" w:hAnsi="Times New Roman" w:cs="Times New Roman"/>
                <w:kern w:val="0"/>
                <w:sz w:val="24"/>
                <w:szCs w:val="21"/>
              </w:rPr>
              <w:t>等多个新药；同时，公司依托于氘代技术平台和复方制剂技术平台，开展复方降糖新药</w:t>
            </w:r>
            <w:r>
              <w:rPr>
                <w:rFonts w:ascii="Times New Roman" w:eastAsia="宋体" w:hAnsi="Times New Roman" w:cs="Times New Roman"/>
                <w:kern w:val="0"/>
                <w:sz w:val="24"/>
                <w:szCs w:val="21"/>
              </w:rPr>
              <w:t>JBE-03</w:t>
            </w:r>
            <w:r>
              <w:rPr>
                <w:rFonts w:ascii="Times New Roman" w:eastAsia="宋体" w:hAnsi="Times New Roman" w:cs="Times New Roman"/>
                <w:kern w:val="0"/>
                <w:sz w:val="24"/>
                <w:szCs w:val="21"/>
              </w:rPr>
              <w:t>、复方降高血压新药</w:t>
            </w:r>
            <w:r>
              <w:rPr>
                <w:rFonts w:ascii="Times New Roman" w:eastAsia="宋体" w:hAnsi="Times New Roman" w:cs="Times New Roman"/>
                <w:kern w:val="0"/>
                <w:sz w:val="24"/>
                <w:szCs w:val="21"/>
              </w:rPr>
              <w:t>JBE-04</w:t>
            </w:r>
            <w:r>
              <w:rPr>
                <w:rFonts w:ascii="Times New Roman" w:eastAsia="宋体" w:hAnsi="Times New Roman" w:cs="Times New Roman"/>
                <w:kern w:val="0"/>
                <w:sz w:val="24"/>
                <w:szCs w:val="21"/>
              </w:rPr>
              <w:t>研究与开发，用于</w:t>
            </w:r>
            <w:r>
              <w:rPr>
                <w:rFonts w:ascii="Times New Roman" w:eastAsia="宋体" w:hAnsi="Times New Roman" w:cs="Times New Roman"/>
                <w:kern w:val="0"/>
                <w:sz w:val="24"/>
                <w:szCs w:val="21"/>
              </w:rPr>
              <w:t>2</w:t>
            </w:r>
            <w:r>
              <w:rPr>
                <w:rFonts w:ascii="Times New Roman" w:eastAsia="宋体" w:hAnsi="Times New Roman" w:cs="Times New Roman"/>
                <w:kern w:val="0"/>
                <w:sz w:val="24"/>
                <w:szCs w:val="21"/>
              </w:rPr>
              <w:t>型糖尿病、高血压的治疗。感谢关注。</w:t>
            </w:r>
          </w:p>
          <w:p w14:paraId="532D1C5E" w14:textId="77777777" w:rsidR="00A243CC" w:rsidRDefault="00000000">
            <w:pPr>
              <w:adjustRightInd w:val="0"/>
              <w:snapToGrid w:val="0"/>
              <w:spacing w:line="360" w:lineRule="auto"/>
              <w:ind w:firstLineChars="200" w:firstLine="482"/>
              <w:rPr>
                <w:rFonts w:ascii="Times New Roman" w:eastAsia="宋体" w:hAnsi="Times New Roman" w:cs="Times New Roman"/>
                <w:b/>
                <w:bCs/>
                <w:kern w:val="0"/>
                <w:sz w:val="24"/>
                <w:szCs w:val="21"/>
              </w:rPr>
            </w:pPr>
            <w:r>
              <w:rPr>
                <w:rFonts w:ascii="Times New Roman" w:eastAsia="宋体" w:hAnsi="Times New Roman" w:cs="Times New Roman"/>
                <w:b/>
                <w:bCs/>
                <w:kern w:val="0"/>
                <w:sz w:val="24"/>
                <w:szCs w:val="21"/>
              </w:rPr>
              <w:t>6</w:t>
            </w:r>
            <w:r>
              <w:rPr>
                <w:rFonts w:ascii="Times New Roman" w:eastAsia="宋体" w:hAnsi="Times New Roman" w:cs="Times New Roman"/>
                <w:b/>
                <w:bCs/>
                <w:kern w:val="0"/>
                <w:sz w:val="24"/>
                <w:szCs w:val="21"/>
              </w:rPr>
              <w:t>、抑郁药申报进展情况？可否介绍一下，今年底前可完</w:t>
            </w:r>
            <w:r>
              <w:rPr>
                <w:rFonts w:ascii="Times New Roman" w:eastAsia="宋体" w:hAnsi="Times New Roman" w:cs="Times New Roman"/>
                <w:b/>
                <w:bCs/>
                <w:kern w:val="0"/>
                <w:sz w:val="24"/>
                <w:szCs w:val="21"/>
              </w:rPr>
              <w:lastRenderedPageBreak/>
              <w:t>成申报？</w:t>
            </w:r>
          </w:p>
          <w:p w14:paraId="04A6359E" w14:textId="77777777" w:rsidR="00A243CC" w:rsidRDefault="00000000">
            <w:pPr>
              <w:adjustRightInd w:val="0"/>
              <w:snapToGrid w:val="0"/>
              <w:spacing w:line="360" w:lineRule="auto"/>
              <w:ind w:firstLineChars="200" w:firstLine="480"/>
              <w:rPr>
                <w:rFonts w:ascii="Times New Roman" w:eastAsia="宋体" w:hAnsi="Times New Roman" w:cs="Times New Roman"/>
                <w:kern w:val="0"/>
                <w:sz w:val="24"/>
                <w:szCs w:val="21"/>
              </w:rPr>
            </w:pPr>
            <w:r>
              <w:rPr>
                <w:rFonts w:ascii="Times New Roman" w:eastAsia="宋体" w:hAnsi="Times New Roman" w:cs="Times New Roman"/>
                <w:kern w:val="0"/>
                <w:sz w:val="24"/>
                <w:szCs w:val="21"/>
              </w:rPr>
              <w:t>抗抑郁新药</w:t>
            </w:r>
            <w:r>
              <w:rPr>
                <w:rFonts w:ascii="Times New Roman" w:eastAsia="宋体" w:hAnsi="Times New Roman" w:cs="Times New Roman"/>
                <w:kern w:val="0"/>
                <w:sz w:val="24"/>
                <w:szCs w:val="21"/>
              </w:rPr>
              <w:t>JJH201501</w:t>
            </w:r>
            <w:r>
              <w:rPr>
                <w:rFonts w:ascii="Times New Roman" w:eastAsia="宋体" w:hAnsi="Times New Roman" w:cs="Times New Roman"/>
                <w:kern w:val="0"/>
                <w:sz w:val="24"/>
                <w:szCs w:val="21"/>
              </w:rPr>
              <w:t>生产批件申报工作正在积极推进中，相关工作总体正常有序开展，公司正依据相关沟通会议要求加快完善相关工作后正式提交申报。公司将按照有关规定披露后续进展情况。感谢关注。</w:t>
            </w:r>
          </w:p>
          <w:p w14:paraId="77639E59" w14:textId="77777777" w:rsidR="00A243CC" w:rsidRDefault="00000000">
            <w:pPr>
              <w:adjustRightInd w:val="0"/>
              <w:snapToGrid w:val="0"/>
              <w:spacing w:line="360" w:lineRule="auto"/>
              <w:ind w:firstLineChars="200" w:firstLine="482"/>
              <w:rPr>
                <w:rFonts w:ascii="Times New Roman" w:eastAsia="宋体" w:hAnsi="Times New Roman" w:cs="Times New Roman"/>
                <w:b/>
                <w:bCs/>
                <w:kern w:val="0"/>
                <w:sz w:val="24"/>
                <w:szCs w:val="21"/>
              </w:rPr>
            </w:pPr>
            <w:r>
              <w:rPr>
                <w:rFonts w:ascii="Times New Roman" w:eastAsia="宋体" w:hAnsi="Times New Roman" w:cs="Times New Roman"/>
                <w:b/>
                <w:bCs/>
                <w:kern w:val="0"/>
                <w:sz w:val="24"/>
                <w:szCs w:val="21"/>
              </w:rPr>
              <w:t>7</w:t>
            </w:r>
            <w:r>
              <w:rPr>
                <w:rFonts w:ascii="Times New Roman" w:eastAsia="宋体" w:hAnsi="Times New Roman" w:cs="Times New Roman"/>
                <w:b/>
                <w:bCs/>
                <w:kern w:val="0"/>
                <w:sz w:val="24"/>
                <w:szCs w:val="21"/>
              </w:rPr>
              <w:t>、公司的销售费用占营收比例高了些，公司有没有考虑降低些？</w:t>
            </w:r>
          </w:p>
          <w:p w14:paraId="1DDF9265" w14:textId="77777777" w:rsidR="00A243CC" w:rsidRDefault="00000000">
            <w:pPr>
              <w:adjustRightInd w:val="0"/>
              <w:snapToGrid w:val="0"/>
              <w:spacing w:line="360" w:lineRule="auto"/>
              <w:ind w:firstLineChars="200" w:firstLine="480"/>
              <w:rPr>
                <w:rFonts w:ascii="Times New Roman" w:eastAsia="宋体" w:hAnsi="Times New Roman" w:cs="Times New Roman"/>
                <w:kern w:val="0"/>
                <w:sz w:val="24"/>
                <w:szCs w:val="21"/>
              </w:rPr>
            </w:pPr>
            <w:r>
              <w:rPr>
                <w:rFonts w:ascii="Times New Roman" w:eastAsia="宋体" w:hAnsi="Times New Roman" w:cs="Times New Roman"/>
                <w:kern w:val="0"/>
                <w:sz w:val="24"/>
                <w:szCs w:val="21"/>
              </w:rPr>
              <w:t>近年来，公司持续提升营业收入规模，重点加大尼群洛尔片、利可君片等产品推广力度，短期内产品推广费用有所增加，长期来看，随着公司销售收入规模的不断扩大，相关指标将趋于稳定。感谢关注。</w:t>
            </w:r>
          </w:p>
          <w:p w14:paraId="0B01F85C" w14:textId="77777777" w:rsidR="00A243CC" w:rsidRDefault="00000000">
            <w:pPr>
              <w:adjustRightInd w:val="0"/>
              <w:snapToGrid w:val="0"/>
              <w:spacing w:line="360" w:lineRule="auto"/>
              <w:ind w:firstLineChars="200" w:firstLine="482"/>
              <w:rPr>
                <w:rFonts w:ascii="Times New Roman" w:eastAsia="宋体" w:hAnsi="Times New Roman" w:cs="Times New Roman"/>
                <w:b/>
                <w:bCs/>
                <w:kern w:val="0"/>
                <w:sz w:val="24"/>
                <w:szCs w:val="21"/>
              </w:rPr>
            </w:pPr>
            <w:r>
              <w:rPr>
                <w:rFonts w:ascii="Times New Roman" w:eastAsia="宋体" w:hAnsi="Times New Roman" w:cs="Times New Roman"/>
                <w:b/>
                <w:bCs/>
                <w:kern w:val="0"/>
                <w:sz w:val="24"/>
                <w:szCs w:val="21"/>
              </w:rPr>
              <w:t>8</w:t>
            </w:r>
            <w:r>
              <w:rPr>
                <w:rFonts w:ascii="Times New Roman" w:eastAsia="宋体" w:hAnsi="Times New Roman" w:cs="Times New Roman"/>
                <w:b/>
                <w:bCs/>
                <w:kern w:val="0"/>
                <w:sz w:val="24"/>
                <w:szCs w:val="21"/>
              </w:rPr>
              <w:t>、公司</w:t>
            </w:r>
            <w:r>
              <w:rPr>
                <w:rFonts w:ascii="Times New Roman" w:eastAsia="宋体" w:hAnsi="Times New Roman" w:cs="Times New Roman"/>
                <w:b/>
                <w:bCs/>
                <w:kern w:val="0"/>
                <w:sz w:val="24"/>
                <w:szCs w:val="21"/>
              </w:rPr>
              <w:t>2026</w:t>
            </w:r>
            <w:r>
              <w:rPr>
                <w:rFonts w:ascii="Times New Roman" w:eastAsia="宋体" w:hAnsi="Times New Roman" w:cs="Times New Roman"/>
                <w:b/>
                <w:bCs/>
                <w:kern w:val="0"/>
                <w:sz w:val="24"/>
                <w:szCs w:val="21"/>
              </w:rPr>
              <w:t>年半年度销售收入同比增长，归母净利润却同比下滑，请问出现增收不增利的原因有哪些？</w:t>
            </w:r>
          </w:p>
          <w:p w14:paraId="2D1407EC" w14:textId="77777777" w:rsidR="00A243CC" w:rsidRDefault="00000000">
            <w:pPr>
              <w:adjustRightInd w:val="0"/>
              <w:snapToGrid w:val="0"/>
              <w:spacing w:line="360" w:lineRule="auto"/>
              <w:ind w:firstLineChars="200" w:firstLine="480"/>
              <w:rPr>
                <w:rFonts w:ascii="Times New Roman" w:eastAsia="宋体" w:hAnsi="Times New Roman" w:cs="Times New Roman"/>
                <w:kern w:val="0"/>
                <w:sz w:val="24"/>
                <w:szCs w:val="21"/>
              </w:rPr>
            </w:pPr>
            <w:r>
              <w:rPr>
                <w:rFonts w:ascii="Times New Roman" w:eastAsia="宋体" w:hAnsi="Times New Roman" w:cs="Times New Roman"/>
                <w:kern w:val="0"/>
                <w:sz w:val="24"/>
                <w:szCs w:val="21"/>
              </w:rPr>
              <w:t>2026</w:t>
            </w:r>
            <w:r>
              <w:rPr>
                <w:rFonts w:ascii="Times New Roman" w:eastAsia="宋体" w:hAnsi="Times New Roman" w:cs="Times New Roman"/>
                <w:kern w:val="0"/>
                <w:sz w:val="24"/>
                <w:szCs w:val="21"/>
              </w:rPr>
              <w:t>年半年度，公司实现销售收入</w:t>
            </w:r>
            <w:r>
              <w:rPr>
                <w:rFonts w:ascii="Times New Roman" w:eastAsia="宋体" w:hAnsi="Times New Roman" w:cs="Times New Roman"/>
                <w:kern w:val="0"/>
                <w:sz w:val="24"/>
                <w:szCs w:val="21"/>
              </w:rPr>
              <w:t>48</w:t>
            </w:r>
            <w:r>
              <w:rPr>
                <w:rFonts w:ascii="Times New Roman" w:eastAsia="宋体" w:hAnsi="Times New Roman" w:cs="Times New Roman" w:hint="eastAsia"/>
                <w:kern w:val="0"/>
                <w:sz w:val="24"/>
                <w:szCs w:val="21"/>
              </w:rPr>
              <w:t>,</w:t>
            </w:r>
            <w:r>
              <w:rPr>
                <w:rFonts w:ascii="Times New Roman" w:eastAsia="宋体" w:hAnsi="Times New Roman" w:cs="Times New Roman"/>
                <w:kern w:val="0"/>
                <w:sz w:val="24"/>
                <w:szCs w:val="21"/>
              </w:rPr>
              <w:t>955.36</w:t>
            </w:r>
            <w:r>
              <w:rPr>
                <w:rFonts w:ascii="Times New Roman" w:eastAsia="宋体" w:hAnsi="Times New Roman" w:cs="Times New Roman"/>
                <w:kern w:val="0"/>
                <w:sz w:val="24"/>
                <w:szCs w:val="21"/>
              </w:rPr>
              <w:t>万元，同比增长</w:t>
            </w:r>
            <w:r>
              <w:rPr>
                <w:rFonts w:ascii="Times New Roman" w:eastAsia="宋体" w:hAnsi="Times New Roman" w:cs="Times New Roman"/>
                <w:kern w:val="0"/>
                <w:sz w:val="24"/>
                <w:szCs w:val="21"/>
              </w:rPr>
              <w:t>7.61%</w:t>
            </w:r>
            <w:r>
              <w:rPr>
                <w:rFonts w:ascii="Times New Roman" w:eastAsia="宋体" w:hAnsi="Times New Roman" w:cs="Times New Roman"/>
                <w:kern w:val="0"/>
                <w:sz w:val="24"/>
                <w:szCs w:val="21"/>
              </w:rPr>
              <w:t>，归属于上市公司股东的净利润</w:t>
            </w:r>
            <w:r>
              <w:rPr>
                <w:rFonts w:ascii="Times New Roman" w:eastAsia="宋体" w:hAnsi="Times New Roman" w:cs="Times New Roman"/>
                <w:kern w:val="0"/>
                <w:sz w:val="24"/>
                <w:szCs w:val="21"/>
              </w:rPr>
              <w:t>9,923.84</w:t>
            </w:r>
            <w:r>
              <w:rPr>
                <w:rFonts w:ascii="Times New Roman" w:eastAsia="宋体" w:hAnsi="Times New Roman" w:cs="Times New Roman"/>
                <w:kern w:val="0"/>
                <w:sz w:val="24"/>
                <w:szCs w:val="21"/>
              </w:rPr>
              <w:t>万元，同比减少</w:t>
            </w:r>
            <w:r>
              <w:rPr>
                <w:rFonts w:ascii="Times New Roman" w:eastAsia="宋体" w:hAnsi="Times New Roman" w:cs="Times New Roman"/>
                <w:kern w:val="0"/>
                <w:sz w:val="24"/>
                <w:szCs w:val="21"/>
              </w:rPr>
              <w:t>33.54%</w:t>
            </w:r>
            <w:r>
              <w:rPr>
                <w:rFonts w:ascii="Times New Roman" w:eastAsia="宋体" w:hAnsi="Times New Roman" w:cs="Times New Roman"/>
                <w:kern w:val="0"/>
                <w:sz w:val="24"/>
                <w:szCs w:val="21"/>
              </w:rPr>
              <w:t>，主要系本期营业外收入减少以及公司新厂折旧和股份支付等增加所致。</w:t>
            </w:r>
          </w:p>
          <w:p w14:paraId="6B46DA89" w14:textId="77777777" w:rsidR="00A243CC" w:rsidRDefault="00000000">
            <w:pPr>
              <w:adjustRightInd w:val="0"/>
              <w:snapToGrid w:val="0"/>
              <w:spacing w:line="360" w:lineRule="auto"/>
              <w:ind w:firstLineChars="200" w:firstLine="482"/>
              <w:rPr>
                <w:rFonts w:ascii="Times New Roman" w:eastAsia="宋体" w:hAnsi="Times New Roman" w:cs="Times New Roman"/>
                <w:b/>
                <w:bCs/>
                <w:kern w:val="0"/>
                <w:sz w:val="24"/>
                <w:szCs w:val="21"/>
              </w:rPr>
            </w:pPr>
            <w:r>
              <w:rPr>
                <w:rFonts w:ascii="Times New Roman" w:eastAsia="宋体" w:hAnsi="Times New Roman" w:cs="Times New Roman"/>
                <w:b/>
                <w:bCs/>
                <w:kern w:val="0"/>
                <w:sz w:val="24"/>
                <w:szCs w:val="21"/>
              </w:rPr>
              <w:t>9</w:t>
            </w:r>
            <w:r>
              <w:rPr>
                <w:rFonts w:ascii="Times New Roman" w:eastAsia="宋体" w:hAnsi="Times New Roman" w:cs="Times New Roman"/>
                <w:b/>
                <w:bCs/>
                <w:kern w:val="0"/>
                <w:sz w:val="24"/>
                <w:szCs w:val="21"/>
              </w:rPr>
              <w:t>、吉贝尔销售费用率从</w:t>
            </w:r>
            <w:r>
              <w:rPr>
                <w:rFonts w:ascii="Times New Roman" w:eastAsia="宋体" w:hAnsi="Times New Roman" w:cs="Times New Roman"/>
                <w:b/>
                <w:bCs/>
                <w:kern w:val="0"/>
                <w:sz w:val="24"/>
                <w:szCs w:val="21"/>
              </w:rPr>
              <w:t>2024</w:t>
            </w:r>
            <w:r>
              <w:rPr>
                <w:rFonts w:ascii="Times New Roman" w:eastAsia="宋体" w:hAnsi="Times New Roman" w:cs="Times New Roman"/>
                <w:b/>
                <w:bCs/>
                <w:kern w:val="0"/>
                <w:sz w:val="24"/>
                <w:szCs w:val="21"/>
              </w:rPr>
              <w:t>年的</w:t>
            </w:r>
            <w:r>
              <w:rPr>
                <w:rFonts w:ascii="Times New Roman" w:eastAsia="宋体" w:hAnsi="Times New Roman" w:cs="Times New Roman"/>
                <w:b/>
                <w:bCs/>
                <w:kern w:val="0"/>
                <w:sz w:val="24"/>
                <w:szCs w:val="21"/>
              </w:rPr>
              <w:t>44.28%</w:t>
            </w:r>
            <w:r>
              <w:rPr>
                <w:rFonts w:ascii="Times New Roman" w:eastAsia="宋体" w:hAnsi="Times New Roman" w:cs="Times New Roman"/>
                <w:b/>
                <w:bCs/>
                <w:kern w:val="0"/>
                <w:sz w:val="24"/>
                <w:szCs w:val="21"/>
              </w:rPr>
              <w:t>攀升至</w:t>
            </w:r>
            <w:r>
              <w:rPr>
                <w:rFonts w:ascii="Times New Roman" w:eastAsia="宋体" w:hAnsi="Times New Roman" w:cs="Times New Roman"/>
                <w:b/>
                <w:bCs/>
                <w:kern w:val="0"/>
                <w:sz w:val="24"/>
                <w:szCs w:val="21"/>
              </w:rPr>
              <w:t>2025</w:t>
            </w:r>
            <w:r>
              <w:rPr>
                <w:rFonts w:ascii="Times New Roman" w:eastAsia="宋体" w:hAnsi="Times New Roman" w:cs="Times New Roman"/>
                <w:b/>
                <w:bCs/>
                <w:kern w:val="0"/>
                <w:sz w:val="24"/>
                <w:szCs w:val="21"/>
              </w:rPr>
              <w:t>年的</w:t>
            </w:r>
            <w:r>
              <w:rPr>
                <w:rFonts w:ascii="Times New Roman" w:eastAsia="宋体" w:hAnsi="Times New Roman" w:cs="Times New Roman"/>
                <w:b/>
                <w:bCs/>
                <w:kern w:val="0"/>
                <w:sz w:val="24"/>
                <w:szCs w:val="21"/>
              </w:rPr>
              <w:t>50.82%</w:t>
            </w:r>
            <w:r>
              <w:rPr>
                <w:rFonts w:ascii="Times New Roman" w:eastAsia="宋体" w:hAnsi="Times New Roman" w:cs="Times New Roman"/>
                <w:b/>
                <w:bCs/>
                <w:kern w:val="0"/>
                <w:sz w:val="24"/>
                <w:szCs w:val="21"/>
              </w:rPr>
              <w:t>，</w:t>
            </w:r>
            <w:r>
              <w:rPr>
                <w:rFonts w:ascii="Times New Roman" w:eastAsia="宋体" w:hAnsi="Times New Roman" w:cs="Times New Roman"/>
                <w:b/>
                <w:bCs/>
                <w:kern w:val="0"/>
                <w:sz w:val="24"/>
                <w:szCs w:val="21"/>
              </w:rPr>
              <w:t>2026</w:t>
            </w:r>
            <w:r>
              <w:rPr>
                <w:rFonts w:ascii="Times New Roman" w:eastAsia="宋体" w:hAnsi="Times New Roman" w:cs="Times New Roman"/>
                <w:b/>
                <w:bCs/>
                <w:kern w:val="0"/>
                <w:sz w:val="24"/>
                <w:szCs w:val="21"/>
              </w:rPr>
              <w:t>年上半年进一步升至</w:t>
            </w:r>
            <w:r>
              <w:rPr>
                <w:rFonts w:ascii="Times New Roman" w:eastAsia="宋体" w:hAnsi="Times New Roman" w:cs="Times New Roman"/>
                <w:b/>
                <w:bCs/>
                <w:kern w:val="0"/>
                <w:sz w:val="24"/>
                <w:szCs w:val="21"/>
              </w:rPr>
              <w:t>51.44%</w:t>
            </w:r>
            <w:r>
              <w:rPr>
                <w:rFonts w:ascii="Times New Roman" w:eastAsia="宋体" w:hAnsi="Times New Roman" w:cs="Times New Roman"/>
                <w:b/>
                <w:bCs/>
                <w:kern w:val="0"/>
                <w:sz w:val="24"/>
                <w:szCs w:val="21"/>
              </w:rPr>
              <w:t>，超半数营收用于市场推广。费用增速长期高于营收增速，形成剪刀差效应，直接导致</w:t>
            </w:r>
            <w:r>
              <w:rPr>
                <w:rFonts w:ascii="Times New Roman" w:eastAsia="宋体" w:hAnsi="Times New Roman" w:cs="Times New Roman"/>
                <w:b/>
                <w:bCs/>
                <w:kern w:val="0"/>
                <w:sz w:val="24"/>
                <w:szCs w:val="21"/>
              </w:rPr>
              <w:t>2026</w:t>
            </w:r>
            <w:r>
              <w:rPr>
                <w:rFonts w:ascii="Times New Roman" w:eastAsia="宋体" w:hAnsi="Times New Roman" w:cs="Times New Roman"/>
                <w:b/>
                <w:bCs/>
                <w:kern w:val="0"/>
                <w:sz w:val="24"/>
                <w:szCs w:val="21"/>
              </w:rPr>
              <w:t>年上半年出现增收不增利的局面。这种情况下半年会否改变？</w:t>
            </w:r>
          </w:p>
          <w:p w14:paraId="743C5649" w14:textId="77777777" w:rsidR="00A243CC" w:rsidRDefault="00000000">
            <w:pPr>
              <w:adjustRightInd w:val="0"/>
              <w:snapToGrid w:val="0"/>
              <w:spacing w:line="360" w:lineRule="auto"/>
              <w:ind w:firstLineChars="200" w:firstLine="480"/>
              <w:rPr>
                <w:rFonts w:ascii="Times New Roman" w:eastAsia="宋体" w:hAnsi="Times New Roman" w:cs="Times New Roman"/>
                <w:kern w:val="0"/>
                <w:sz w:val="24"/>
                <w:szCs w:val="21"/>
              </w:rPr>
            </w:pPr>
            <w:r>
              <w:rPr>
                <w:rFonts w:ascii="Times New Roman" w:eastAsia="宋体" w:hAnsi="Times New Roman" w:cs="Times New Roman"/>
                <w:kern w:val="0"/>
                <w:sz w:val="24"/>
                <w:szCs w:val="21"/>
              </w:rPr>
              <w:t>近年来，公司持续提升营业收入规模，重点加大尼群洛尔片、利可君片等产品推广力度，短期内产品推广费用有所增加，长期来看，随着公司销售收入规模的不断扩大，相关指标将趋于稳定。感谢关注。</w:t>
            </w:r>
          </w:p>
          <w:p w14:paraId="420323C4" w14:textId="77777777" w:rsidR="00A243CC" w:rsidRDefault="00000000">
            <w:pPr>
              <w:adjustRightInd w:val="0"/>
              <w:snapToGrid w:val="0"/>
              <w:spacing w:line="360" w:lineRule="auto"/>
              <w:ind w:firstLineChars="200" w:firstLine="482"/>
              <w:rPr>
                <w:rFonts w:ascii="Times New Roman" w:eastAsia="宋体" w:hAnsi="Times New Roman" w:cs="Times New Roman"/>
                <w:b/>
                <w:bCs/>
                <w:kern w:val="0"/>
                <w:sz w:val="24"/>
                <w:szCs w:val="21"/>
              </w:rPr>
            </w:pPr>
            <w:r>
              <w:rPr>
                <w:rFonts w:ascii="Times New Roman" w:eastAsia="宋体" w:hAnsi="Times New Roman" w:cs="Times New Roman"/>
                <w:b/>
                <w:bCs/>
                <w:kern w:val="0"/>
                <w:sz w:val="24"/>
                <w:szCs w:val="21"/>
              </w:rPr>
              <w:t>10</w:t>
            </w:r>
            <w:r>
              <w:rPr>
                <w:rFonts w:ascii="Times New Roman" w:eastAsia="宋体" w:hAnsi="Times New Roman" w:cs="Times New Roman"/>
                <w:b/>
                <w:bCs/>
                <w:kern w:val="0"/>
                <w:sz w:val="24"/>
                <w:szCs w:val="21"/>
              </w:rPr>
              <w:t>、能否拆分下利可君片和尼群洛尔片</w:t>
            </w:r>
            <w:r>
              <w:rPr>
                <w:rFonts w:ascii="Times New Roman" w:eastAsia="宋体" w:hAnsi="Times New Roman" w:cs="Times New Roman"/>
                <w:b/>
                <w:bCs/>
                <w:kern w:val="0"/>
                <w:sz w:val="24"/>
                <w:szCs w:val="21"/>
              </w:rPr>
              <w:t>2026</w:t>
            </w:r>
            <w:r>
              <w:rPr>
                <w:rFonts w:ascii="Times New Roman" w:eastAsia="宋体" w:hAnsi="Times New Roman" w:cs="Times New Roman"/>
                <w:b/>
                <w:bCs/>
                <w:kern w:val="0"/>
                <w:sz w:val="24"/>
                <w:szCs w:val="21"/>
              </w:rPr>
              <w:t>年上半年具体销售情况？</w:t>
            </w:r>
          </w:p>
          <w:p w14:paraId="2FA7560D" w14:textId="77777777" w:rsidR="00A243CC" w:rsidRDefault="00000000">
            <w:pPr>
              <w:adjustRightInd w:val="0"/>
              <w:snapToGrid w:val="0"/>
              <w:spacing w:line="360" w:lineRule="auto"/>
              <w:ind w:firstLineChars="200" w:firstLine="480"/>
              <w:rPr>
                <w:rFonts w:ascii="Times New Roman" w:eastAsia="宋体" w:hAnsi="Times New Roman" w:cs="Times New Roman"/>
                <w:kern w:val="0"/>
                <w:sz w:val="24"/>
                <w:szCs w:val="21"/>
              </w:rPr>
            </w:pPr>
            <w:r>
              <w:rPr>
                <w:rFonts w:ascii="Times New Roman" w:eastAsia="宋体" w:hAnsi="Times New Roman" w:cs="Times New Roman"/>
                <w:kern w:val="0"/>
                <w:sz w:val="24"/>
                <w:szCs w:val="21"/>
              </w:rPr>
              <w:t>近年来，公司整体经营情况良好，营业收入持续增长。</w:t>
            </w:r>
            <w:r>
              <w:rPr>
                <w:rFonts w:ascii="Times New Roman" w:eastAsia="宋体" w:hAnsi="Times New Roman" w:cs="Times New Roman"/>
                <w:kern w:val="0"/>
                <w:sz w:val="24"/>
                <w:szCs w:val="21"/>
              </w:rPr>
              <w:lastRenderedPageBreak/>
              <w:t>2026</w:t>
            </w:r>
            <w:r>
              <w:rPr>
                <w:rFonts w:ascii="Times New Roman" w:eastAsia="宋体" w:hAnsi="Times New Roman" w:cs="Times New Roman"/>
                <w:kern w:val="0"/>
                <w:sz w:val="24"/>
                <w:szCs w:val="21"/>
              </w:rPr>
              <w:t>年上半年度，公司实现销售收入</w:t>
            </w:r>
            <w:r>
              <w:rPr>
                <w:rFonts w:ascii="Times New Roman" w:eastAsia="宋体" w:hAnsi="Times New Roman" w:cs="Times New Roman"/>
                <w:kern w:val="0"/>
                <w:sz w:val="24"/>
                <w:szCs w:val="21"/>
              </w:rPr>
              <w:t>48,955.36</w:t>
            </w:r>
            <w:r>
              <w:rPr>
                <w:rFonts w:ascii="Times New Roman" w:eastAsia="宋体" w:hAnsi="Times New Roman" w:cs="Times New Roman"/>
                <w:kern w:val="0"/>
                <w:sz w:val="24"/>
                <w:szCs w:val="21"/>
              </w:rPr>
              <w:t>万元，同比增长</w:t>
            </w:r>
            <w:r>
              <w:rPr>
                <w:rFonts w:ascii="Times New Roman" w:eastAsia="宋体" w:hAnsi="Times New Roman" w:cs="Times New Roman"/>
                <w:kern w:val="0"/>
                <w:sz w:val="24"/>
                <w:szCs w:val="21"/>
              </w:rPr>
              <w:t>7.61%</w:t>
            </w:r>
            <w:r>
              <w:rPr>
                <w:rFonts w:ascii="Times New Roman" w:eastAsia="宋体" w:hAnsi="Times New Roman" w:cs="Times New Roman"/>
                <w:kern w:val="0"/>
                <w:sz w:val="24"/>
                <w:szCs w:val="21"/>
              </w:rPr>
              <w:t>，其中利可君片实现销售收入</w:t>
            </w:r>
            <w:r>
              <w:rPr>
                <w:rFonts w:ascii="Times New Roman" w:eastAsia="宋体" w:hAnsi="Times New Roman" w:cs="Times New Roman"/>
                <w:kern w:val="0"/>
                <w:sz w:val="24"/>
                <w:szCs w:val="21"/>
              </w:rPr>
              <w:t>33,354.81</w:t>
            </w:r>
            <w:r>
              <w:rPr>
                <w:rFonts w:ascii="Times New Roman" w:eastAsia="宋体" w:hAnsi="Times New Roman" w:cs="Times New Roman"/>
                <w:kern w:val="0"/>
                <w:sz w:val="24"/>
                <w:szCs w:val="21"/>
              </w:rPr>
              <w:t>万元，同比增长</w:t>
            </w:r>
            <w:r>
              <w:rPr>
                <w:rFonts w:ascii="Times New Roman" w:eastAsia="宋体" w:hAnsi="Times New Roman" w:cs="Times New Roman"/>
                <w:kern w:val="0"/>
                <w:sz w:val="24"/>
                <w:szCs w:val="21"/>
              </w:rPr>
              <w:t>7.70%</w:t>
            </w:r>
            <w:r>
              <w:rPr>
                <w:rFonts w:ascii="Times New Roman" w:eastAsia="宋体" w:hAnsi="Times New Roman" w:cs="Times New Roman"/>
                <w:kern w:val="0"/>
                <w:sz w:val="24"/>
                <w:szCs w:val="21"/>
              </w:rPr>
              <w:t>；尼群洛尔片实现销售收入</w:t>
            </w:r>
            <w:r>
              <w:rPr>
                <w:rFonts w:ascii="Times New Roman" w:eastAsia="宋体" w:hAnsi="Times New Roman" w:cs="Times New Roman"/>
                <w:kern w:val="0"/>
                <w:sz w:val="24"/>
                <w:szCs w:val="21"/>
              </w:rPr>
              <w:t>10,093.82</w:t>
            </w:r>
            <w:r>
              <w:rPr>
                <w:rFonts w:ascii="Times New Roman" w:eastAsia="宋体" w:hAnsi="Times New Roman" w:cs="Times New Roman"/>
                <w:kern w:val="0"/>
                <w:sz w:val="24"/>
                <w:szCs w:val="21"/>
              </w:rPr>
              <w:t>万元，同比增长</w:t>
            </w:r>
            <w:r>
              <w:rPr>
                <w:rFonts w:ascii="Times New Roman" w:eastAsia="宋体" w:hAnsi="Times New Roman" w:cs="Times New Roman"/>
                <w:kern w:val="0"/>
                <w:sz w:val="24"/>
                <w:szCs w:val="21"/>
              </w:rPr>
              <w:t>10.87%</w:t>
            </w:r>
            <w:r>
              <w:rPr>
                <w:rFonts w:ascii="Times New Roman" w:eastAsia="宋体" w:hAnsi="Times New Roman" w:cs="Times New Roman"/>
                <w:kern w:val="0"/>
                <w:sz w:val="24"/>
                <w:szCs w:val="21"/>
              </w:rPr>
              <w:t>。</w:t>
            </w:r>
          </w:p>
          <w:p w14:paraId="4F2A4D2F" w14:textId="77777777" w:rsidR="00A243CC" w:rsidRDefault="00000000">
            <w:pPr>
              <w:adjustRightInd w:val="0"/>
              <w:snapToGrid w:val="0"/>
              <w:spacing w:line="360" w:lineRule="auto"/>
              <w:ind w:firstLineChars="200" w:firstLine="482"/>
              <w:rPr>
                <w:rFonts w:ascii="Times New Roman" w:eastAsia="宋体" w:hAnsi="Times New Roman" w:cs="Times New Roman"/>
                <w:b/>
                <w:bCs/>
                <w:kern w:val="0"/>
                <w:sz w:val="24"/>
                <w:szCs w:val="21"/>
              </w:rPr>
            </w:pPr>
            <w:r>
              <w:rPr>
                <w:rFonts w:ascii="Times New Roman" w:eastAsia="宋体" w:hAnsi="Times New Roman" w:cs="Times New Roman"/>
                <w:b/>
                <w:bCs/>
                <w:kern w:val="0"/>
                <w:sz w:val="24"/>
                <w:szCs w:val="21"/>
              </w:rPr>
              <w:t>11</w:t>
            </w:r>
            <w:r>
              <w:rPr>
                <w:rFonts w:ascii="Times New Roman" w:eastAsia="宋体" w:hAnsi="Times New Roman" w:cs="Times New Roman"/>
                <w:b/>
                <w:bCs/>
                <w:kern w:val="0"/>
                <w:sz w:val="24"/>
                <w:szCs w:val="21"/>
              </w:rPr>
              <w:t>、未来，公司如何提升利可君片的销售规模？</w:t>
            </w:r>
          </w:p>
          <w:p w14:paraId="14479632" w14:textId="77777777" w:rsidR="00A243CC" w:rsidRDefault="00000000">
            <w:pPr>
              <w:adjustRightInd w:val="0"/>
              <w:snapToGrid w:val="0"/>
              <w:spacing w:line="360" w:lineRule="auto"/>
              <w:ind w:firstLineChars="200" w:firstLine="480"/>
              <w:rPr>
                <w:rFonts w:ascii="Times New Roman" w:eastAsia="宋体" w:hAnsi="Times New Roman" w:cs="Times New Roman"/>
                <w:kern w:val="0"/>
                <w:sz w:val="24"/>
                <w:szCs w:val="21"/>
              </w:rPr>
            </w:pPr>
            <w:r>
              <w:rPr>
                <w:rFonts w:ascii="Times New Roman" w:eastAsia="宋体" w:hAnsi="Times New Roman" w:cs="Times New Roman"/>
                <w:kern w:val="0"/>
                <w:sz w:val="24"/>
                <w:szCs w:val="21"/>
              </w:rPr>
              <w:t>公司利可君片为独家品种，目前已基本覆盖国内三甲医院。公司将持续强化营销体系建设，一方面加大肿瘤等重点科室的临床推广，挖掘多科室临床应用潜力；另一方面持续开发全国空白区域市场，并依托</w:t>
            </w:r>
            <w:r>
              <w:rPr>
                <w:rFonts w:ascii="Times New Roman" w:eastAsia="宋体" w:hAnsi="Times New Roman" w:cs="Times New Roman"/>
                <w:kern w:val="0"/>
                <w:sz w:val="24"/>
                <w:szCs w:val="21"/>
              </w:rPr>
              <w:t xml:space="preserve"> OTC </w:t>
            </w:r>
            <w:r>
              <w:rPr>
                <w:rFonts w:ascii="Times New Roman" w:eastAsia="宋体" w:hAnsi="Times New Roman" w:cs="Times New Roman"/>
                <w:kern w:val="0"/>
                <w:sz w:val="24"/>
                <w:szCs w:val="21"/>
              </w:rPr>
              <w:t>事业部拓展院外渠道，通过院内院外协同，稳步提升利可君片销售规模。</w:t>
            </w:r>
          </w:p>
        </w:tc>
      </w:tr>
      <w:tr w:rsidR="00A243CC" w14:paraId="01E58C3E" w14:textId="77777777">
        <w:trPr>
          <w:trHeight w:val="699"/>
        </w:trPr>
        <w:tc>
          <w:tcPr>
            <w:tcW w:w="1838" w:type="dxa"/>
            <w:tcBorders>
              <w:top w:val="single" w:sz="4" w:space="0" w:color="auto"/>
              <w:left w:val="single" w:sz="4" w:space="0" w:color="auto"/>
              <w:bottom w:val="single" w:sz="4" w:space="0" w:color="auto"/>
              <w:right w:val="single" w:sz="4" w:space="0" w:color="auto"/>
            </w:tcBorders>
            <w:vAlign w:val="center"/>
          </w:tcPr>
          <w:p w14:paraId="20D676B3" w14:textId="77777777" w:rsidR="00A243CC" w:rsidRDefault="00000000">
            <w:pPr>
              <w:rPr>
                <w:rFonts w:ascii="Times New Roman" w:eastAsia="宋体" w:hAnsi="Times New Roman" w:cs="Times New Roman"/>
                <w:bCs/>
                <w:iCs/>
                <w:color w:val="000000"/>
                <w:sz w:val="24"/>
                <w:szCs w:val="24"/>
              </w:rPr>
            </w:pPr>
            <w:r>
              <w:rPr>
                <w:rFonts w:ascii="Times New Roman" w:eastAsia="宋体" w:hAnsi="Times New Roman" w:cs="Times New Roman"/>
                <w:bCs/>
                <w:iCs/>
                <w:color w:val="000000"/>
                <w:sz w:val="24"/>
                <w:szCs w:val="24"/>
              </w:rPr>
              <w:lastRenderedPageBreak/>
              <w:t>附件清单（如有）</w:t>
            </w:r>
          </w:p>
        </w:tc>
        <w:tc>
          <w:tcPr>
            <w:tcW w:w="6458" w:type="dxa"/>
            <w:tcBorders>
              <w:top w:val="single" w:sz="4" w:space="0" w:color="auto"/>
              <w:left w:val="single" w:sz="4" w:space="0" w:color="auto"/>
              <w:bottom w:val="single" w:sz="4" w:space="0" w:color="auto"/>
              <w:right w:val="single" w:sz="4" w:space="0" w:color="auto"/>
            </w:tcBorders>
            <w:vAlign w:val="center"/>
          </w:tcPr>
          <w:p w14:paraId="5E947F53" w14:textId="77777777" w:rsidR="00A243CC" w:rsidRDefault="00000000">
            <w:pPr>
              <w:jc w:val="left"/>
              <w:rPr>
                <w:rFonts w:ascii="Times New Roman" w:eastAsia="宋体" w:hAnsi="Times New Roman" w:cs="Times New Roman"/>
                <w:bCs/>
                <w:iCs/>
                <w:color w:val="000000"/>
                <w:sz w:val="24"/>
                <w:szCs w:val="24"/>
              </w:rPr>
            </w:pPr>
            <w:r>
              <w:rPr>
                <w:rFonts w:ascii="Times New Roman" w:eastAsia="宋体" w:hAnsi="Times New Roman" w:cs="Times New Roman"/>
                <w:bCs/>
                <w:iCs/>
                <w:color w:val="000000"/>
                <w:sz w:val="24"/>
                <w:szCs w:val="24"/>
              </w:rPr>
              <w:t>无</w:t>
            </w:r>
          </w:p>
        </w:tc>
      </w:tr>
      <w:tr w:rsidR="00A243CC" w14:paraId="27232155" w14:textId="77777777">
        <w:trPr>
          <w:trHeight w:val="699"/>
        </w:trPr>
        <w:tc>
          <w:tcPr>
            <w:tcW w:w="1838" w:type="dxa"/>
            <w:tcBorders>
              <w:top w:val="single" w:sz="4" w:space="0" w:color="auto"/>
              <w:left w:val="single" w:sz="4" w:space="0" w:color="auto"/>
              <w:bottom w:val="single" w:sz="4" w:space="0" w:color="auto"/>
              <w:right w:val="single" w:sz="4" w:space="0" w:color="auto"/>
            </w:tcBorders>
            <w:vAlign w:val="center"/>
          </w:tcPr>
          <w:p w14:paraId="35EFF1DF" w14:textId="77777777" w:rsidR="00A243CC" w:rsidRDefault="00000000">
            <w:pPr>
              <w:rPr>
                <w:rFonts w:ascii="Times New Roman" w:eastAsia="宋体" w:hAnsi="Times New Roman" w:cs="Times New Roman"/>
                <w:bCs/>
                <w:iCs/>
                <w:color w:val="000000"/>
                <w:sz w:val="24"/>
                <w:szCs w:val="24"/>
              </w:rPr>
            </w:pPr>
            <w:r>
              <w:rPr>
                <w:rFonts w:ascii="Times New Roman" w:eastAsia="宋体" w:hAnsi="Times New Roman" w:cs="Times New Roman"/>
                <w:bCs/>
                <w:iCs/>
                <w:color w:val="000000"/>
                <w:sz w:val="24"/>
                <w:szCs w:val="24"/>
              </w:rPr>
              <w:t>关于本次活动是否涉及应当披露重大信息的说明</w:t>
            </w:r>
          </w:p>
        </w:tc>
        <w:tc>
          <w:tcPr>
            <w:tcW w:w="6458" w:type="dxa"/>
            <w:tcBorders>
              <w:top w:val="single" w:sz="4" w:space="0" w:color="auto"/>
              <w:left w:val="single" w:sz="4" w:space="0" w:color="auto"/>
              <w:bottom w:val="single" w:sz="4" w:space="0" w:color="auto"/>
              <w:right w:val="single" w:sz="4" w:space="0" w:color="auto"/>
            </w:tcBorders>
            <w:vAlign w:val="center"/>
          </w:tcPr>
          <w:p w14:paraId="511ED6CC" w14:textId="77777777" w:rsidR="00A243CC" w:rsidRDefault="00000000">
            <w:pPr>
              <w:jc w:val="left"/>
              <w:rPr>
                <w:rFonts w:ascii="Times New Roman" w:eastAsia="宋体" w:hAnsi="Times New Roman" w:cs="Times New Roman"/>
                <w:bCs/>
                <w:iCs/>
                <w:color w:val="000000"/>
                <w:sz w:val="24"/>
                <w:szCs w:val="24"/>
              </w:rPr>
            </w:pPr>
            <w:r>
              <w:rPr>
                <w:rFonts w:ascii="Times New Roman" w:eastAsia="宋体" w:hAnsi="Times New Roman" w:cs="Times New Roman"/>
                <w:bCs/>
                <w:iCs/>
                <w:color w:val="000000"/>
                <w:sz w:val="24"/>
                <w:szCs w:val="24"/>
              </w:rPr>
              <w:t>本次活动不涉及应当披露重大信息。</w:t>
            </w:r>
          </w:p>
        </w:tc>
      </w:tr>
      <w:tr w:rsidR="00A243CC" w14:paraId="3977881E" w14:textId="77777777">
        <w:trPr>
          <w:trHeight w:val="566"/>
        </w:trPr>
        <w:tc>
          <w:tcPr>
            <w:tcW w:w="1838" w:type="dxa"/>
            <w:tcBorders>
              <w:top w:val="single" w:sz="4" w:space="0" w:color="auto"/>
              <w:left w:val="single" w:sz="4" w:space="0" w:color="auto"/>
              <w:bottom w:val="single" w:sz="4" w:space="0" w:color="auto"/>
              <w:right w:val="single" w:sz="4" w:space="0" w:color="auto"/>
            </w:tcBorders>
            <w:vAlign w:val="center"/>
          </w:tcPr>
          <w:p w14:paraId="5E41C804" w14:textId="77777777" w:rsidR="00A243CC" w:rsidRDefault="00000000">
            <w:pPr>
              <w:jc w:val="center"/>
              <w:rPr>
                <w:rFonts w:ascii="Times New Roman" w:eastAsia="宋体" w:hAnsi="Times New Roman" w:cs="Times New Roman"/>
                <w:bCs/>
                <w:iCs/>
                <w:color w:val="000000"/>
                <w:sz w:val="24"/>
                <w:szCs w:val="24"/>
              </w:rPr>
            </w:pPr>
            <w:r>
              <w:rPr>
                <w:rFonts w:ascii="Times New Roman" w:eastAsia="宋体" w:hAnsi="Times New Roman" w:cs="Times New Roman"/>
                <w:bCs/>
                <w:iCs/>
                <w:color w:val="000000"/>
                <w:sz w:val="24"/>
                <w:szCs w:val="24"/>
              </w:rPr>
              <w:t>日</w:t>
            </w:r>
            <w:r>
              <w:rPr>
                <w:rFonts w:ascii="Times New Roman" w:eastAsia="宋体" w:hAnsi="Times New Roman" w:cs="Times New Roman"/>
                <w:bCs/>
                <w:iCs/>
                <w:color w:val="000000"/>
                <w:sz w:val="24"/>
                <w:szCs w:val="24"/>
              </w:rPr>
              <w:t xml:space="preserve"> </w:t>
            </w:r>
            <w:r>
              <w:rPr>
                <w:rFonts w:ascii="Times New Roman" w:eastAsia="宋体" w:hAnsi="Times New Roman" w:cs="Times New Roman"/>
                <w:bCs/>
                <w:iCs/>
                <w:color w:val="000000"/>
                <w:sz w:val="24"/>
                <w:szCs w:val="24"/>
              </w:rPr>
              <w:t>期</w:t>
            </w:r>
          </w:p>
        </w:tc>
        <w:tc>
          <w:tcPr>
            <w:tcW w:w="6458" w:type="dxa"/>
            <w:tcBorders>
              <w:top w:val="single" w:sz="4" w:space="0" w:color="auto"/>
              <w:left w:val="single" w:sz="4" w:space="0" w:color="auto"/>
              <w:bottom w:val="single" w:sz="4" w:space="0" w:color="auto"/>
              <w:right w:val="single" w:sz="4" w:space="0" w:color="auto"/>
            </w:tcBorders>
            <w:vAlign w:val="center"/>
          </w:tcPr>
          <w:p w14:paraId="1CA322B7" w14:textId="77777777" w:rsidR="00A243CC" w:rsidRDefault="00000000">
            <w:pPr>
              <w:rPr>
                <w:rFonts w:ascii="Times New Roman" w:eastAsia="宋体" w:hAnsi="Times New Roman" w:cs="Times New Roman"/>
                <w:bCs/>
                <w:iCs/>
                <w:color w:val="000000"/>
                <w:sz w:val="24"/>
                <w:szCs w:val="24"/>
              </w:rPr>
            </w:pPr>
            <w:r>
              <w:rPr>
                <w:rFonts w:ascii="Times New Roman" w:eastAsia="宋体" w:hAnsi="Times New Roman" w:cs="Times New Roman"/>
                <w:bCs/>
                <w:iCs/>
                <w:color w:val="000000"/>
                <w:sz w:val="24"/>
                <w:szCs w:val="24"/>
              </w:rPr>
              <w:t>2026</w:t>
            </w:r>
            <w:r>
              <w:rPr>
                <w:rFonts w:ascii="Times New Roman" w:eastAsia="宋体" w:hAnsi="Times New Roman" w:cs="Times New Roman"/>
                <w:bCs/>
                <w:iCs/>
                <w:color w:val="000000"/>
                <w:sz w:val="24"/>
                <w:szCs w:val="24"/>
              </w:rPr>
              <w:t>年</w:t>
            </w:r>
            <w:r>
              <w:rPr>
                <w:rFonts w:ascii="Times New Roman" w:eastAsia="宋体" w:hAnsi="Times New Roman" w:cs="Times New Roman" w:hint="eastAsia"/>
                <w:bCs/>
                <w:iCs/>
                <w:color w:val="000000"/>
                <w:sz w:val="24"/>
                <w:szCs w:val="24"/>
              </w:rPr>
              <w:t>9</w:t>
            </w:r>
            <w:r>
              <w:rPr>
                <w:rFonts w:ascii="Times New Roman" w:eastAsia="宋体" w:hAnsi="Times New Roman" w:cs="Times New Roman"/>
                <w:bCs/>
                <w:iCs/>
                <w:color w:val="000000"/>
                <w:sz w:val="24"/>
                <w:szCs w:val="24"/>
              </w:rPr>
              <w:t>月</w:t>
            </w:r>
            <w:r>
              <w:rPr>
                <w:rFonts w:ascii="Times New Roman" w:eastAsia="宋体" w:hAnsi="Times New Roman" w:cs="Times New Roman" w:hint="eastAsia"/>
                <w:bCs/>
                <w:iCs/>
                <w:color w:val="000000"/>
                <w:sz w:val="24"/>
                <w:szCs w:val="24"/>
              </w:rPr>
              <w:t>17</w:t>
            </w:r>
            <w:r>
              <w:rPr>
                <w:rFonts w:ascii="Times New Roman" w:eastAsia="宋体" w:hAnsi="Times New Roman" w:cs="Times New Roman"/>
                <w:bCs/>
                <w:iCs/>
                <w:color w:val="000000"/>
                <w:sz w:val="24"/>
                <w:szCs w:val="24"/>
              </w:rPr>
              <w:t>日</w:t>
            </w:r>
          </w:p>
        </w:tc>
      </w:tr>
    </w:tbl>
    <w:p w14:paraId="2336EBA9" w14:textId="77777777" w:rsidR="00A243CC" w:rsidRDefault="00A243CC">
      <w:pPr>
        <w:rPr>
          <w:rFonts w:ascii="Times New Roman" w:eastAsia="宋体" w:hAnsi="Times New Roman" w:cs="Times New Roman"/>
          <w:szCs w:val="24"/>
        </w:rPr>
      </w:pPr>
    </w:p>
    <w:sectPr w:rsidR="00A243CC">
      <w:headerReference w:type="default" r:id="rId7"/>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AE6B28" w14:textId="77777777" w:rsidR="00C551D2" w:rsidRDefault="00C551D2">
      <w:r>
        <w:separator/>
      </w:r>
    </w:p>
  </w:endnote>
  <w:endnote w:type="continuationSeparator" w:id="0">
    <w:p w14:paraId="2E6F75BC" w14:textId="77777777" w:rsidR="00C551D2" w:rsidRDefault="00C551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default"/>
    <w:sig w:usb0="E0002EFF" w:usb1="C0007843" w:usb2="00000009" w:usb3="00000000" w:csb0="400001FF" w:csb1="FFFF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6773027"/>
      <w:docPartObj>
        <w:docPartGallery w:val="AutoText"/>
      </w:docPartObj>
    </w:sdtPr>
    <w:sdtEndPr>
      <w:rPr>
        <w:rFonts w:ascii="Times New Roman" w:hAnsi="Times New Roman" w:cs="Times New Roman"/>
      </w:rPr>
    </w:sdtEndPr>
    <w:sdtContent>
      <w:p w14:paraId="6E970C2A" w14:textId="77777777" w:rsidR="00A243CC" w:rsidRDefault="00000000">
        <w:pPr>
          <w:pStyle w:val="a6"/>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Pr>
            <w:rFonts w:ascii="Times New Roman" w:hAnsi="Times New Roman" w:cs="Times New Roman"/>
            <w:lang w:val="zh-CN"/>
          </w:rPr>
          <w:t>2</w:t>
        </w:r>
        <w:r>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D91F1F" w14:textId="77777777" w:rsidR="00C551D2" w:rsidRDefault="00C551D2">
      <w:r>
        <w:separator/>
      </w:r>
    </w:p>
  </w:footnote>
  <w:footnote w:type="continuationSeparator" w:id="0">
    <w:p w14:paraId="737AA0F7" w14:textId="77777777" w:rsidR="00C551D2" w:rsidRDefault="00C551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F1548" w14:textId="77777777" w:rsidR="00A243CC" w:rsidRDefault="00A243CC">
    <w:pPr>
      <w:pStyle w:val="a8"/>
      <w:pBdr>
        <w:bottom w:val="none" w:sz="0" w:space="0" w:color="auto"/>
      </w:pBdr>
      <w:ind w:right="720"/>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AAF"/>
    <w:rsid w:val="00025181"/>
    <w:rsid w:val="000546D4"/>
    <w:rsid w:val="000565A9"/>
    <w:rsid w:val="000679C3"/>
    <w:rsid w:val="00085015"/>
    <w:rsid w:val="0008554E"/>
    <w:rsid w:val="00087DDD"/>
    <w:rsid w:val="00092B98"/>
    <w:rsid w:val="000A267F"/>
    <w:rsid w:val="000B0145"/>
    <w:rsid w:val="000C22D1"/>
    <w:rsid w:val="000C34B3"/>
    <w:rsid w:val="000C65F5"/>
    <w:rsid w:val="000D354C"/>
    <w:rsid w:val="000E35E1"/>
    <w:rsid w:val="000E51C6"/>
    <w:rsid w:val="00106F7C"/>
    <w:rsid w:val="00110421"/>
    <w:rsid w:val="001114F6"/>
    <w:rsid w:val="001171DB"/>
    <w:rsid w:val="00132C40"/>
    <w:rsid w:val="00144424"/>
    <w:rsid w:val="0015778C"/>
    <w:rsid w:val="001735C9"/>
    <w:rsid w:val="001856AC"/>
    <w:rsid w:val="001870EE"/>
    <w:rsid w:val="001A260A"/>
    <w:rsid w:val="001B271F"/>
    <w:rsid w:val="001B5524"/>
    <w:rsid w:val="001C5450"/>
    <w:rsid w:val="001E303E"/>
    <w:rsid w:val="001F1095"/>
    <w:rsid w:val="001F547B"/>
    <w:rsid w:val="001F78F0"/>
    <w:rsid w:val="001F7B9B"/>
    <w:rsid w:val="00201FA4"/>
    <w:rsid w:val="002078AB"/>
    <w:rsid w:val="00212AFB"/>
    <w:rsid w:val="00212F3D"/>
    <w:rsid w:val="0021415D"/>
    <w:rsid w:val="00227531"/>
    <w:rsid w:val="0022781E"/>
    <w:rsid w:val="00245C21"/>
    <w:rsid w:val="00255E0D"/>
    <w:rsid w:val="0026136F"/>
    <w:rsid w:val="002646EB"/>
    <w:rsid w:val="0027758C"/>
    <w:rsid w:val="00290A0A"/>
    <w:rsid w:val="0029442C"/>
    <w:rsid w:val="00295DBA"/>
    <w:rsid w:val="002A56ED"/>
    <w:rsid w:val="002B1CAD"/>
    <w:rsid w:val="002B4310"/>
    <w:rsid w:val="002B75BA"/>
    <w:rsid w:val="002C056B"/>
    <w:rsid w:val="002D082B"/>
    <w:rsid w:val="002D4AE8"/>
    <w:rsid w:val="002F09FD"/>
    <w:rsid w:val="00307435"/>
    <w:rsid w:val="003155FC"/>
    <w:rsid w:val="00316D1E"/>
    <w:rsid w:val="0034080D"/>
    <w:rsid w:val="00345AD5"/>
    <w:rsid w:val="00352682"/>
    <w:rsid w:val="003564BC"/>
    <w:rsid w:val="003624A6"/>
    <w:rsid w:val="00386162"/>
    <w:rsid w:val="00395A5D"/>
    <w:rsid w:val="003A46C0"/>
    <w:rsid w:val="003A5307"/>
    <w:rsid w:val="003B4824"/>
    <w:rsid w:val="003C53C3"/>
    <w:rsid w:val="003C5F4C"/>
    <w:rsid w:val="003D12D1"/>
    <w:rsid w:val="003D165D"/>
    <w:rsid w:val="003F0870"/>
    <w:rsid w:val="003F6C32"/>
    <w:rsid w:val="00403019"/>
    <w:rsid w:val="00431D47"/>
    <w:rsid w:val="004447AA"/>
    <w:rsid w:val="00463C18"/>
    <w:rsid w:val="00464A27"/>
    <w:rsid w:val="00475F34"/>
    <w:rsid w:val="004910C6"/>
    <w:rsid w:val="004912C1"/>
    <w:rsid w:val="004B0C0B"/>
    <w:rsid w:val="004C1668"/>
    <w:rsid w:val="004C49B3"/>
    <w:rsid w:val="004F0E48"/>
    <w:rsid w:val="005025EA"/>
    <w:rsid w:val="00505B09"/>
    <w:rsid w:val="00510EEC"/>
    <w:rsid w:val="00533828"/>
    <w:rsid w:val="00536E38"/>
    <w:rsid w:val="00562F83"/>
    <w:rsid w:val="00563F73"/>
    <w:rsid w:val="005730C5"/>
    <w:rsid w:val="00585FA4"/>
    <w:rsid w:val="00593E92"/>
    <w:rsid w:val="005A1D59"/>
    <w:rsid w:val="005B10AE"/>
    <w:rsid w:val="005B30A2"/>
    <w:rsid w:val="005D3E1E"/>
    <w:rsid w:val="005F5834"/>
    <w:rsid w:val="0060709F"/>
    <w:rsid w:val="00615EA2"/>
    <w:rsid w:val="00620298"/>
    <w:rsid w:val="00636B75"/>
    <w:rsid w:val="006726BB"/>
    <w:rsid w:val="00672BAE"/>
    <w:rsid w:val="006854B6"/>
    <w:rsid w:val="006B2C78"/>
    <w:rsid w:val="006B7D59"/>
    <w:rsid w:val="006E3AD9"/>
    <w:rsid w:val="006F0F91"/>
    <w:rsid w:val="006F4286"/>
    <w:rsid w:val="00717671"/>
    <w:rsid w:val="00721943"/>
    <w:rsid w:val="00732886"/>
    <w:rsid w:val="007372CF"/>
    <w:rsid w:val="0074060A"/>
    <w:rsid w:val="00745F1E"/>
    <w:rsid w:val="00746623"/>
    <w:rsid w:val="00746EEC"/>
    <w:rsid w:val="00770656"/>
    <w:rsid w:val="007711DF"/>
    <w:rsid w:val="00773D3A"/>
    <w:rsid w:val="007750F7"/>
    <w:rsid w:val="007806B7"/>
    <w:rsid w:val="00791BC9"/>
    <w:rsid w:val="00794C05"/>
    <w:rsid w:val="00794C8B"/>
    <w:rsid w:val="007B6860"/>
    <w:rsid w:val="007B6AB8"/>
    <w:rsid w:val="007C21F9"/>
    <w:rsid w:val="007D513E"/>
    <w:rsid w:val="007E707F"/>
    <w:rsid w:val="00800036"/>
    <w:rsid w:val="00800532"/>
    <w:rsid w:val="00804683"/>
    <w:rsid w:val="00807414"/>
    <w:rsid w:val="008221C8"/>
    <w:rsid w:val="008308CE"/>
    <w:rsid w:val="00842E7F"/>
    <w:rsid w:val="00843637"/>
    <w:rsid w:val="00844D8F"/>
    <w:rsid w:val="00851B5B"/>
    <w:rsid w:val="0085571F"/>
    <w:rsid w:val="00867876"/>
    <w:rsid w:val="00872F17"/>
    <w:rsid w:val="00876A4C"/>
    <w:rsid w:val="00884BAE"/>
    <w:rsid w:val="008852FA"/>
    <w:rsid w:val="00891DD7"/>
    <w:rsid w:val="00892D71"/>
    <w:rsid w:val="0089629C"/>
    <w:rsid w:val="00896E17"/>
    <w:rsid w:val="008A1F25"/>
    <w:rsid w:val="008B3635"/>
    <w:rsid w:val="008B482A"/>
    <w:rsid w:val="008B5048"/>
    <w:rsid w:val="008B6E3C"/>
    <w:rsid w:val="008D06E8"/>
    <w:rsid w:val="008D582C"/>
    <w:rsid w:val="008F40EE"/>
    <w:rsid w:val="00914288"/>
    <w:rsid w:val="00914692"/>
    <w:rsid w:val="00917026"/>
    <w:rsid w:val="0092158C"/>
    <w:rsid w:val="00924B1E"/>
    <w:rsid w:val="009278CA"/>
    <w:rsid w:val="00931089"/>
    <w:rsid w:val="0095342E"/>
    <w:rsid w:val="00980C55"/>
    <w:rsid w:val="009B0EC4"/>
    <w:rsid w:val="009B7D1A"/>
    <w:rsid w:val="009E273D"/>
    <w:rsid w:val="009E76CC"/>
    <w:rsid w:val="009E7EB2"/>
    <w:rsid w:val="009F7E3D"/>
    <w:rsid w:val="00A00A9D"/>
    <w:rsid w:val="00A075D0"/>
    <w:rsid w:val="00A07FC3"/>
    <w:rsid w:val="00A12E33"/>
    <w:rsid w:val="00A13A36"/>
    <w:rsid w:val="00A216EC"/>
    <w:rsid w:val="00A243CC"/>
    <w:rsid w:val="00A25B97"/>
    <w:rsid w:val="00A271C0"/>
    <w:rsid w:val="00A4401D"/>
    <w:rsid w:val="00A5326B"/>
    <w:rsid w:val="00A55706"/>
    <w:rsid w:val="00A65BE5"/>
    <w:rsid w:val="00A81C88"/>
    <w:rsid w:val="00A84C20"/>
    <w:rsid w:val="00AB34B5"/>
    <w:rsid w:val="00AC0442"/>
    <w:rsid w:val="00AC6454"/>
    <w:rsid w:val="00AC7F61"/>
    <w:rsid w:val="00AD4D7B"/>
    <w:rsid w:val="00AF04AD"/>
    <w:rsid w:val="00AF2D1F"/>
    <w:rsid w:val="00B115E0"/>
    <w:rsid w:val="00B41B89"/>
    <w:rsid w:val="00B43302"/>
    <w:rsid w:val="00B47595"/>
    <w:rsid w:val="00B55948"/>
    <w:rsid w:val="00B64DCA"/>
    <w:rsid w:val="00BB0582"/>
    <w:rsid w:val="00BB5D0E"/>
    <w:rsid w:val="00BC292B"/>
    <w:rsid w:val="00BC62BF"/>
    <w:rsid w:val="00BE63D0"/>
    <w:rsid w:val="00BE7A09"/>
    <w:rsid w:val="00BF700A"/>
    <w:rsid w:val="00C0021E"/>
    <w:rsid w:val="00C00C77"/>
    <w:rsid w:val="00C03550"/>
    <w:rsid w:val="00C077D8"/>
    <w:rsid w:val="00C113C7"/>
    <w:rsid w:val="00C231B2"/>
    <w:rsid w:val="00C30377"/>
    <w:rsid w:val="00C362C7"/>
    <w:rsid w:val="00C551D2"/>
    <w:rsid w:val="00C56742"/>
    <w:rsid w:val="00C8046B"/>
    <w:rsid w:val="00C844E9"/>
    <w:rsid w:val="00C90B34"/>
    <w:rsid w:val="00C95D5E"/>
    <w:rsid w:val="00C968F9"/>
    <w:rsid w:val="00CB43F0"/>
    <w:rsid w:val="00CB5D96"/>
    <w:rsid w:val="00CC6309"/>
    <w:rsid w:val="00CD754C"/>
    <w:rsid w:val="00CF2040"/>
    <w:rsid w:val="00D10B61"/>
    <w:rsid w:val="00D13806"/>
    <w:rsid w:val="00D2134C"/>
    <w:rsid w:val="00D34C2D"/>
    <w:rsid w:val="00D43AED"/>
    <w:rsid w:val="00D551D7"/>
    <w:rsid w:val="00D629BB"/>
    <w:rsid w:val="00D667F6"/>
    <w:rsid w:val="00D755DD"/>
    <w:rsid w:val="00D759F5"/>
    <w:rsid w:val="00D93247"/>
    <w:rsid w:val="00D95833"/>
    <w:rsid w:val="00DB1E37"/>
    <w:rsid w:val="00DB4472"/>
    <w:rsid w:val="00DC5F51"/>
    <w:rsid w:val="00DD05F1"/>
    <w:rsid w:val="00DE55BC"/>
    <w:rsid w:val="00DF142F"/>
    <w:rsid w:val="00DF6B32"/>
    <w:rsid w:val="00DF6EF0"/>
    <w:rsid w:val="00E03034"/>
    <w:rsid w:val="00E13150"/>
    <w:rsid w:val="00E179ED"/>
    <w:rsid w:val="00E23BD8"/>
    <w:rsid w:val="00E25D5E"/>
    <w:rsid w:val="00E3501C"/>
    <w:rsid w:val="00E35565"/>
    <w:rsid w:val="00E4550D"/>
    <w:rsid w:val="00E612B4"/>
    <w:rsid w:val="00E7037D"/>
    <w:rsid w:val="00E71763"/>
    <w:rsid w:val="00E809EC"/>
    <w:rsid w:val="00E83082"/>
    <w:rsid w:val="00E8552A"/>
    <w:rsid w:val="00E969EF"/>
    <w:rsid w:val="00EA1B37"/>
    <w:rsid w:val="00EA6D08"/>
    <w:rsid w:val="00EB764B"/>
    <w:rsid w:val="00EC3D22"/>
    <w:rsid w:val="00EC7DEA"/>
    <w:rsid w:val="00ED11EA"/>
    <w:rsid w:val="00ED5A30"/>
    <w:rsid w:val="00ED5ED1"/>
    <w:rsid w:val="00EE0BF5"/>
    <w:rsid w:val="00EF44C7"/>
    <w:rsid w:val="00F026DB"/>
    <w:rsid w:val="00F12BD8"/>
    <w:rsid w:val="00F141A7"/>
    <w:rsid w:val="00F15AAF"/>
    <w:rsid w:val="00F441E4"/>
    <w:rsid w:val="00F46550"/>
    <w:rsid w:val="00F52AF6"/>
    <w:rsid w:val="00F628D8"/>
    <w:rsid w:val="00F77D6A"/>
    <w:rsid w:val="00F92760"/>
    <w:rsid w:val="00F9402D"/>
    <w:rsid w:val="00FA7014"/>
    <w:rsid w:val="00FB43F9"/>
    <w:rsid w:val="00FB44E1"/>
    <w:rsid w:val="00FC48C2"/>
    <w:rsid w:val="00FC498C"/>
    <w:rsid w:val="00FE6A47"/>
    <w:rsid w:val="00FF1100"/>
    <w:rsid w:val="00FF24B3"/>
    <w:rsid w:val="0BDC32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73A1946-E269-4A49-92FD-F042BDBF4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pPr>
      <w:jc w:val="left"/>
    </w:pPr>
  </w:style>
  <w:style w:type="paragraph" w:styleId="a4">
    <w:name w:val="Balloon Text"/>
    <w:basedOn w:val="a"/>
    <w:link w:val="a5"/>
    <w:uiPriority w:val="99"/>
    <w:semiHidden/>
    <w:unhideWhenUsed/>
    <w:rPr>
      <w:sz w:val="18"/>
      <w:szCs w:val="18"/>
    </w:rPr>
  </w:style>
  <w:style w:type="paragraph" w:styleId="a6">
    <w:name w:val="footer"/>
    <w:basedOn w:val="a"/>
    <w:link w:val="a7"/>
    <w:uiPriority w:val="99"/>
    <w:unhideWhenUsed/>
    <w:qFormat/>
    <w:pPr>
      <w:tabs>
        <w:tab w:val="center" w:pos="4153"/>
        <w:tab w:val="right" w:pos="8306"/>
      </w:tabs>
      <w:snapToGrid w:val="0"/>
      <w:jc w:val="left"/>
    </w:pPr>
    <w:rPr>
      <w:sz w:val="18"/>
      <w:szCs w:val="18"/>
    </w:rPr>
  </w:style>
  <w:style w:type="paragraph" w:styleId="a8">
    <w:name w:val="header"/>
    <w:basedOn w:val="a"/>
    <w:link w:val="a9"/>
    <w:uiPriority w:val="99"/>
    <w:unhideWhenUsed/>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link w:val="HTML0"/>
    <w:uiPriority w:val="99"/>
    <w:semiHidden/>
    <w:unhideWhenUsed/>
    <w:rPr>
      <w:rFonts w:ascii="Courier New" w:hAnsi="Courier New" w:cs="Courier New"/>
      <w:sz w:val="20"/>
      <w:szCs w:val="20"/>
    </w:rPr>
  </w:style>
  <w:style w:type="table" w:styleId="aa">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页眉 字符"/>
    <w:basedOn w:val="a0"/>
    <w:link w:val="a8"/>
    <w:uiPriority w:val="99"/>
    <w:rPr>
      <w:sz w:val="18"/>
      <w:szCs w:val="18"/>
    </w:rPr>
  </w:style>
  <w:style w:type="character" w:customStyle="1" w:styleId="a7">
    <w:name w:val="页脚 字符"/>
    <w:basedOn w:val="a0"/>
    <w:link w:val="a6"/>
    <w:uiPriority w:val="99"/>
    <w:rPr>
      <w:sz w:val="18"/>
      <w:szCs w:val="18"/>
    </w:rPr>
  </w:style>
  <w:style w:type="paragraph" w:styleId="ab">
    <w:name w:val="List Paragraph"/>
    <w:basedOn w:val="a"/>
    <w:uiPriority w:val="34"/>
    <w:qFormat/>
    <w:pPr>
      <w:ind w:firstLineChars="200" w:firstLine="420"/>
    </w:pPr>
  </w:style>
  <w:style w:type="character" w:customStyle="1" w:styleId="a5">
    <w:name w:val="批注框文本 字符"/>
    <w:basedOn w:val="a0"/>
    <w:link w:val="a4"/>
    <w:uiPriority w:val="99"/>
    <w:semiHidden/>
    <w:rPr>
      <w:sz w:val="18"/>
      <w:szCs w:val="18"/>
    </w:rPr>
  </w:style>
  <w:style w:type="character" w:customStyle="1" w:styleId="fontstyle01">
    <w:name w:val="fontstyle01"/>
    <w:basedOn w:val="a0"/>
    <w:rPr>
      <w:rFonts w:ascii="宋体" w:eastAsia="宋体" w:hAnsi="宋体" w:hint="eastAsia"/>
      <w:color w:val="000000"/>
      <w:sz w:val="24"/>
      <w:szCs w:val="24"/>
    </w:rPr>
  </w:style>
  <w:style w:type="character" w:customStyle="1" w:styleId="HTML0">
    <w:name w:val="HTML 预设格式 字符"/>
    <w:basedOn w:val="a0"/>
    <w:link w:val="HTML"/>
    <w:uiPriority w:val="99"/>
    <w:semiHidden/>
    <w:rPr>
      <w:rFonts w:ascii="Courier New" w:hAnsi="Courier New" w:cs="Courier New"/>
      <w:sz w:val="20"/>
      <w:szCs w:val="20"/>
    </w:rPr>
  </w:style>
  <w:style w:type="paragraph" w:customStyle="1" w:styleId="1">
    <w:name w:val="修订1"/>
    <w:hidden/>
    <w:uiPriority w:val="99"/>
    <w:semiHidden/>
    <w:rPr>
      <w:kern w:val="2"/>
      <w:sz w:val="21"/>
      <w:szCs w:val="22"/>
    </w:rPr>
  </w:style>
  <w:style w:type="character" w:styleId="ac">
    <w:name w:val="annotation reference"/>
    <w:basedOn w:val="a0"/>
    <w:uiPriority w:val="99"/>
    <w:semiHidden/>
    <w:unhideWhenUsed/>
    <w:rPr>
      <w:sz w:val="21"/>
      <w:szCs w:val="21"/>
    </w:rPr>
  </w:style>
  <w:style w:type="paragraph" w:styleId="ad">
    <w:name w:val="Revision"/>
    <w:hidden/>
    <w:uiPriority w:val="99"/>
    <w:unhideWhenUsed/>
    <w:rsid w:val="00F628D8"/>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A142C1-9B3E-41BA-9539-6701C837BC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TotalTime>
  <Pages>1</Pages>
  <Words>1113</Words>
  <Characters>1269</Characters>
  <Application>Microsoft Office Word</Application>
  <DocSecurity>0</DocSecurity>
  <Lines>70</Lines>
  <Paragraphs>55</Paragraphs>
  <ScaleCrop>false</ScaleCrop>
  <Company/>
  <LinksUpToDate>false</LinksUpToDate>
  <CharactersWithSpaces>2327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成 祥东</dc:creator>
  <cp:lastModifiedBy>祥东 成</cp:lastModifiedBy>
  <cp:revision>85</cp:revision>
  <cp:lastPrinted>2025-07-23T01:03:00Z</cp:lastPrinted>
  <dcterms:created xsi:type="dcterms:W3CDTF">2025-07-22T08:57:00Z</dcterms:created>
  <dcterms:modified xsi:type="dcterms:W3CDTF">2026-09-17T09:11:00Z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eyJoZGlkIjoiNTZlYjcwZjM3MTg1ODFiNDA1YjQ1MzhjMWEzMmQzZmQiLCJ1c2VySWQiOiIxNjU3NTcyNjU2In0=</vt:lpwstr>
  </property>
  <property fmtid="{D5CDD505-2E9C-101B-9397-08002B2CF9AE}" pid="3" name="KSOProductBuildVer">
    <vt:lpwstr>2052-12.1.0.28505</vt:lpwstr>
  </property>
  <property fmtid="{D5CDD505-2E9C-101B-9397-08002B2CF9AE}" pid="4" name="ICV">
    <vt:lpwstr>8A89C7E7725F482491BAD5E3ABD12449_13</vt:lpwstr>
  </property>
</Properties>
</file>