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A1EE4">
      <w:pPr>
        <w:spacing w:line="288" w:lineRule="auto"/>
        <w:rPr>
          <w:rFonts w:hint="eastAsia" w:ascii="宋体" w:hAnsi="宋体" w:eastAsia="宋体" w:cs="宋体"/>
          <w:sz w:val="24"/>
          <w:lang w:eastAsia="zh-CN"/>
        </w:rPr>
      </w:pPr>
      <w:r>
        <w:rPr>
          <w:rFonts w:hint="eastAsia" w:ascii="宋体" w:hAnsi="宋体" w:eastAsia="宋体" w:cs="宋体"/>
          <w:sz w:val="24"/>
        </w:rPr>
        <w:t>证券代码：</w:t>
      </w:r>
      <w:r>
        <w:rPr>
          <w:rFonts w:hint="eastAsia" w:ascii="宋体" w:hAnsi="宋体" w:eastAsia="宋体" w:cs="宋体"/>
          <w:sz w:val="24"/>
          <w:lang w:eastAsia="zh-CN"/>
        </w:rPr>
        <w:t>600397</w:t>
      </w:r>
      <w:r>
        <w:rPr>
          <w:rFonts w:hint="eastAsia" w:ascii="宋体" w:hAnsi="宋体" w:eastAsia="宋体" w:cs="宋体"/>
          <w:sz w:val="24"/>
        </w:rPr>
        <w:t xml:space="preserve">                                   证券简称：</w:t>
      </w:r>
      <w:r>
        <w:rPr>
          <w:rFonts w:hint="eastAsia" w:ascii="宋体" w:hAnsi="宋体" w:eastAsia="宋体" w:cs="宋体"/>
          <w:sz w:val="24"/>
          <w:lang w:eastAsia="zh-CN"/>
        </w:rPr>
        <w:t>江钨装备</w:t>
      </w:r>
    </w:p>
    <w:p w14:paraId="5E4FDBC1">
      <w:pPr>
        <w:spacing w:before="156" w:beforeLines="50" w:after="156" w:afterLines="50"/>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cstheme="minorEastAsia"/>
          <w:b/>
          <w:bCs/>
          <w:sz w:val="32"/>
          <w:szCs w:val="32"/>
          <w:lang w:eastAsia="zh-CN"/>
        </w:rPr>
        <w:t>江西江钨稀贵装备股份有限公司</w:t>
      </w:r>
    </w:p>
    <w:p w14:paraId="38AE6D88">
      <w:pPr>
        <w:spacing w:before="156" w:beforeLines="50" w:after="156" w:afterLines="50"/>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cstheme="minorEastAsia"/>
          <w:b/>
          <w:bCs/>
          <w:sz w:val="32"/>
          <w:szCs w:val="32"/>
        </w:rPr>
        <w:t>投资者关系活动记录表</w:t>
      </w:r>
      <w:r>
        <w:rPr>
          <w:rFonts w:hint="eastAsia" w:asciiTheme="minorEastAsia" w:hAnsiTheme="minorEastAsia" w:cstheme="minorEastAsia"/>
          <w:b/>
          <w:bCs/>
          <w:sz w:val="32"/>
          <w:szCs w:val="32"/>
          <w:lang w:eastAsia="zh-CN"/>
        </w:rPr>
        <w:t>（</w:t>
      </w:r>
      <w:r>
        <w:rPr>
          <w:rFonts w:hint="eastAsia" w:asciiTheme="minorEastAsia" w:hAnsiTheme="minorEastAsia" w:cstheme="minorEastAsia"/>
          <w:b/>
          <w:bCs/>
          <w:sz w:val="32"/>
          <w:szCs w:val="32"/>
          <w:lang w:val="en-US" w:eastAsia="zh-CN"/>
        </w:rPr>
        <w:t>2026年半年度业绩说明会</w:t>
      </w:r>
      <w:r>
        <w:rPr>
          <w:rFonts w:hint="eastAsia" w:asciiTheme="minorEastAsia" w:hAnsiTheme="minorEastAsia" w:cstheme="minorEastAsia"/>
          <w:b/>
          <w:bCs/>
          <w:sz w:val="32"/>
          <w:szCs w:val="32"/>
          <w:lang w:eastAsia="zh-CN"/>
        </w:rPr>
        <w:t>）</w:t>
      </w:r>
    </w:p>
    <w:p w14:paraId="16ACBBE5">
      <w:pPr>
        <w:spacing w:line="288" w:lineRule="auto"/>
        <w:jc w:val="right"/>
        <w:rPr>
          <w:rFonts w:hint="eastAsia" w:ascii="宋体" w:hAnsi="宋体" w:eastAsia="宋体" w:cs="宋体"/>
          <w:sz w:val="24"/>
          <w:lang w:eastAsia="zh-CN"/>
        </w:rPr>
      </w:pPr>
      <w:r>
        <w:rPr>
          <w:rFonts w:ascii="宋体" w:hAnsi="宋体" w:eastAsia="宋体" w:cs="宋体"/>
          <w:sz w:val="24"/>
        </w:rPr>
        <w:t>编号：202</w:t>
      </w:r>
      <w:r>
        <w:rPr>
          <w:rFonts w:hint="eastAsia" w:ascii="宋体" w:hAnsi="宋体" w:eastAsia="宋体" w:cs="宋体"/>
          <w:sz w:val="24"/>
        </w:rPr>
        <w:t>6-00</w:t>
      </w:r>
      <w:r>
        <w:rPr>
          <w:rFonts w:hint="eastAsia" w:ascii="宋体" w:hAnsi="宋体" w:eastAsia="宋体" w:cs="宋体"/>
          <w:sz w:val="24"/>
          <w:lang w:val="en-US" w:eastAsia="zh-CN"/>
        </w:rPr>
        <w:t>1</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2"/>
        <w:gridCol w:w="6054"/>
      </w:tblGrid>
      <w:tr w14:paraId="68DD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3" w:hRule="atLeast"/>
        </w:trPr>
        <w:tc>
          <w:tcPr>
            <w:tcW w:w="2242" w:type="dxa"/>
            <w:vAlign w:val="center"/>
          </w:tcPr>
          <w:p w14:paraId="7BB11096">
            <w:pPr>
              <w:spacing w:line="360" w:lineRule="auto"/>
              <w:rPr>
                <w:rFonts w:ascii="宋体" w:hAnsi="宋体" w:eastAsia="宋体" w:cs="宋体"/>
                <w:b/>
                <w:bCs/>
                <w:sz w:val="24"/>
                <w:highlight w:val="none"/>
              </w:rPr>
            </w:pPr>
            <w:r>
              <w:rPr>
                <w:rFonts w:ascii="宋体" w:hAnsi="宋体" w:eastAsia="宋体" w:cs="宋体"/>
                <w:b/>
                <w:bCs/>
                <w:sz w:val="24"/>
                <w:highlight w:val="none"/>
              </w:rPr>
              <w:t>投资者关系</w:t>
            </w:r>
          </w:p>
          <w:p w14:paraId="52D646DF">
            <w:pPr>
              <w:spacing w:line="360" w:lineRule="auto"/>
              <w:rPr>
                <w:rFonts w:ascii="宋体" w:hAnsi="宋体" w:eastAsia="宋体" w:cs="宋体"/>
                <w:sz w:val="24"/>
                <w:highlight w:val="none"/>
              </w:rPr>
            </w:pPr>
            <w:r>
              <w:rPr>
                <w:rFonts w:ascii="宋体" w:hAnsi="宋体" w:eastAsia="宋体" w:cs="宋体"/>
                <w:b/>
                <w:bCs/>
                <w:sz w:val="24"/>
                <w:highlight w:val="none"/>
              </w:rPr>
              <w:t>活动类别</w:t>
            </w:r>
          </w:p>
        </w:tc>
        <w:tc>
          <w:tcPr>
            <w:tcW w:w="6054" w:type="dxa"/>
            <w:vAlign w:val="center"/>
          </w:tcPr>
          <w:p w14:paraId="0169C6F0">
            <w:pPr>
              <w:spacing w:line="360" w:lineRule="auto"/>
              <w:rPr>
                <w:rFonts w:ascii="宋体" w:hAnsi="宋体" w:eastAsia="宋体" w:cs="宋体"/>
                <w:sz w:val="24"/>
                <w:highlight w:val="none"/>
              </w:rPr>
            </w:pPr>
            <w:r>
              <w:rPr>
                <w:rFonts w:hint="eastAsia" w:ascii="宋体" w:hAnsi="宋体" w:eastAsia="宋体" w:cs="宋体"/>
                <w:sz w:val="24"/>
                <w:highlight w:val="none"/>
              </w:rPr>
              <w:sym w:font="Wingdings 2" w:char="00A3"/>
            </w:r>
            <w:r>
              <w:rPr>
                <w:rFonts w:ascii="宋体" w:hAnsi="宋体" w:eastAsia="宋体" w:cs="宋体"/>
                <w:sz w:val="24"/>
                <w:highlight w:val="none"/>
              </w:rPr>
              <w:t xml:space="preserve">特定对象调研 </w:t>
            </w:r>
            <w:r>
              <w:rPr>
                <w:rFonts w:hint="eastAsia" w:ascii="宋体" w:hAnsi="宋体" w:eastAsia="宋体" w:cs="宋体"/>
                <w:sz w:val="24"/>
                <w:highlight w:val="none"/>
              </w:rPr>
              <w:t xml:space="preserve">  □</w:t>
            </w:r>
            <w:r>
              <w:rPr>
                <w:rFonts w:ascii="宋体" w:hAnsi="宋体" w:eastAsia="宋体" w:cs="宋体"/>
                <w:sz w:val="24"/>
                <w:highlight w:val="none"/>
              </w:rPr>
              <w:t>分析师会议</w:t>
            </w:r>
          </w:p>
          <w:p w14:paraId="52018435">
            <w:pPr>
              <w:spacing w:line="360" w:lineRule="auto"/>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 xml:space="preserve">媒体采访 </w:t>
            </w:r>
            <w:r>
              <w:rPr>
                <w:rFonts w:hint="eastAsia" w:ascii="宋体" w:hAnsi="宋体" w:eastAsia="宋体" w:cs="宋体"/>
                <w:sz w:val="24"/>
                <w:highlight w:val="none"/>
              </w:rPr>
              <w:t xml:space="preserve">      </w:t>
            </w:r>
            <w:r>
              <w:rPr>
                <w:rFonts w:hint="eastAsia" w:ascii="宋体" w:hAnsi="宋体" w:eastAsia="宋体" w:cs="宋体"/>
                <w:sz w:val="24"/>
                <w:highlight w:val="none"/>
                <w:lang w:eastAsia="zh-CN"/>
              </w:rPr>
              <w:t>☑</w:t>
            </w:r>
            <w:r>
              <w:rPr>
                <w:rFonts w:ascii="宋体" w:hAnsi="宋体" w:eastAsia="宋体" w:cs="宋体"/>
                <w:sz w:val="24"/>
                <w:highlight w:val="none"/>
              </w:rPr>
              <w:t>业绩说明会</w:t>
            </w:r>
          </w:p>
          <w:p w14:paraId="1F39C6BD">
            <w:pPr>
              <w:spacing w:line="360" w:lineRule="auto"/>
              <w:rPr>
                <w:rFonts w:ascii="宋体" w:hAnsi="宋体" w:eastAsia="宋体" w:cs="宋体"/>
                <w:sz w:val="24"/>
                <w:highlight w:val="none"/>
              </w:rPr>
            </w:pPr>
            <w:r>
              <w:rPr>
                <w:rFonts w:ascii="宋体" w:hAnsi="宋体" w:eastAsia="宋体" w:cs="宋体"/>
                <w:sz w:val="24"/>
                <w:highlight w:val="none"/>
              </w:rPr>
              <w:t xml:space="preserve">□新闻发布会 </w:t>
            </w:r>
            <w:r>
              <w:rPr>
                <w:rFonts w:hint="eastAsia" w:ascii="宋体" w:hAnsi="宋体" w:eastAsia="宋体" w:cs="宋体"/>
                <w:sz w:val="24"/>
                <w:highlight w:val="none"/>
              </w:rPr>
              <w:t xml:space="preserve">    □</w:t>
            </w:r>
            <w:r>
              <w:rPr>
                <w:rFonts w:ascii="宋体" w:hAnsi="宋体" w:eastAsia="宋体" w:cs="宋体"/>
                <w:sz w:val="24"/>
                <w:highlight w:val="none"/>
              </w:rPr>
              <w:t>路演活动</w:t>
            </w:r>
          </w:p>
          <w:p w14:paraId="068A0BAB">
            <w:pPr>
              <w:spacing w:line="360" w:lineRule="auto"/>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 xml:space="preserve">现场参观 </w:t>
            </w:r>
            <w:r>
              <w:rPr>
                <w:rFonts w:hint="eastAsia" w:ascii="宋体" w:hAnsi="宋体" w:eastAsia="宋体" w:cs="宋体"/>
                <w:sz w:val="24"/>
                <w:highlight w:val="none"/>
              </w:rPr>
              <w:t xml:space="preserve">     </w:t>
            </w:r>
            <w:r>
              <w:rPr>
                <w:rFonts w:ascii="宋体" w:hAnsi="宋体" w:eastAsia="宋体" w:cs="宋体"/>
                <w:sz w:val="24"/>
                <w:highlight w:val="none"/>
              </w:rPr>
              <w:t xml:space="preserve"> </w:t>
            </w:r>
            <w:r>
              <w:rPr>
                <w:rFonts w:hint="eastAsia" w:ascii="宋体" w:hAnsi="宋体" w:eastAsia="宋体" w:cs="宋体"/>
                <w:sz w:val="24"/>
                <w:highlight w:val="none"/>
              </w:rPr>
              <w:t>□</w:t>
            </w:r>
            <w:r>
              <w:rPr>
                <w:rFonts w:ascii="宋体" w:hAnsi="宋体" w:eastAsia="宋体" w:cs="宋体"/>
                <w:sz w:val="24"/>
                <w:highlight w:val="none"/>
              </w:rPr>
              <w:t>电话会议</w:t>
            </w:r>
          </w:p>
          <w:p w14:paraId="78EE4BC6">
            <w:pPr>
              <w:spacing w:line="360" w:lineRule="auto"/>
              <w:rPr>
                <w:rFonts w:ascii="宋体" w:hAnsi="宋体" w:eastAsia="宋体" w:cs="宋体"/>
                <w:sz w:val="24"/>
                <w:highlight w:val="none"/>
              </w:rPr>
            </w:pPr>
            <w:r>
              <w:rPr>
                <w:rFonts w:ascii="宋体" w:hAnsi="宋体" w:eastAsia="宋体" w:cs="宋体"/>
                <w:sz w:val="24"/>
                <w:highlight w:val="none"/>
              </w:rPr>
              <w:t>□其他</w:t>
            </w:r>
          </w:p>
        </w:tc>
      </w:tr>
      <w:tr w14:paraId="1D3B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2242" w:type="dxa"/>
            <w:vAlign w:val="center"/>
          </w:tcPr>
          <w:p w14:paraId="260DB807">
            <w:pPr>
              <w:spacing w:line="360" w:lineRule="auto"/>
              <w:rPr>
                <w:rFonts w:ascii="宋体" w:hAnsi="宋体" w:eastAsia="宋体" w:cs="宋体"/>
                <w:sz w:val="24"/>
                <w:highlight w:val="none"/>
              </w:rPr>
            </w:pPr>
            <w:r>
              <w:rPr>
                <w:rFonts w:hint="eastAsia" w:ascii="宋体" w:hAnsi="宋体" w:eastAsia="宋体" w:cs="宋体"/>
                <w:b/>
                <w:bCs/>
                <w:sz w:val="24"/>
                <w:highlight w:val="none"/>
                <w:lang w:val="en-US" w:eastAsia="zh-CN"/>
              </w:rPr>
              <w:t>2026年半年度业绩说明会召开的基本情况</w:t>
            </w:r>
            <w:r>
              <w:rPr>
                <w:rFonts w:ascii="宋体" w:hAnsi="宋体" w:eastAsia="宋体" w:cs="宋体"/>
                <w:sz w:val="24"/>
                <w:highlight w:val="none"/>
              </w:rPr>
              <w:t>：</w:t>
            </w:r>
          </w:p>
        </w:tc>
        <w:tc>
          <w:tcPr>
            <w:tcW w:w="6054" w:type="dxa"/>
            <w:vAlign w:val="center"/>
          </w:tcPr>
          <w:p w14:paraId="5280409E">
            <w:pPr>
              <w:numPr>
                <w:ilvl w:val="0"/>
                <w:numId w:val="1"/>
              </w:numPr>
              <w:spacing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会议召开时间：2026年9月17日下午16:00-17:00</w:t>
            </w:r>
          </w:p>
          <w:p w14:paraId="28974903">
            <w:pPr>
              <w:numPr>
                <w:ilvl w:val="0"/>
                <w:numId w:val="1"/>
              </w:numPr>
              <w:spacing w:line="360" w:lineRule="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会议召开地点：“全景路演”网站(https://rs.p5w.net)</w:t>
            </w:r>
          </w:p>
          <w:p w14:paraId="6A425D43">
            <w:pPr>
              <w:numPr>
                <w:ilvl w:val="0"/>
                <w:numId w:val="1"/>
              </w:numPr>
              <w:spacing w:line="360" w:lineRule="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会议召开方式：网络互动</w:t>
            </w:r>
          </w:p>
        </w:tc>
      </w:tr>
      <w:tr w14:paraId="77AF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2242" w:type="dxa"/>
            <w:vAlign w:val="center"/>
          </w:tcPr>
          <w:p w14:paraId="7ACEBE92">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上市公司接待人员</w:t>
            </w:r>
          </w:p>
        </w:tc>
        <w:tc>
          <w:tcPr>
            <w:tcW w:w="6054" w:type="dxa"/>
            <w:vAlign w:val="center"/>
          </w:tcPr>
          <w:p w14:paraId="5F2AFBDE">
            <w:pPr>
              <w:spacing w:line="360" w:lineRule="auto"/>
              <w:rPr>
                <w:rFonts w:hint="default" w:ascii="宋体" w:hAnsi="宋体" w:eastAsia="宋体" w:cs="宋体"/>
                <w:sz w:val="24"/>
                <w:highlight w:val="none"/>
                <w:lang w:val="en-US" w:eastAsia="zh-CN"/>
              </w:rPr>
            </w:pPr>
            <w:r>
              <w:rPr>
                <w:rFonts w:hint="eastAsia" w:ascii="宋体" w:hAnsi="宋体" w:eastAsia="宋体" w:cs="宋体"/>
                <w:kern w:val="0"/>
                <w:sz w:val="24"/>
                <w:szCs w:val="24"/>
                <w14:ligatures w14:val="none"/>
              </w:rPr>
              <w:t>董事、副总经理阳颖霖</w:t>
            </w:r>
            <w:r>
              <w:rPr>
                <w:rFonts w:hint="eastAsia" w:ascii="宋体" w:hAnsi="宋体" w:eastAsia="宋体" w:cs="宋体"/>
                <w:kern w:val="0"/>
                <w:sz w:val="24"/>
                <w:szCs w:val="24"/>
                <w:lang w:val="en-US" w:eastAsia="zh-CN"/>
                <w14:ligatures w14:val="none"/>
              </w:rPr>
              <w:t>女士，</w:t>
            </w:r>
            <w:r>
              <w:rPr>
                <w:rFonts w:hint="eastAsia" w:ascii="宋体" w:hAnsi="宋体" w:eastAsia="宋体" w:cs="宋体"/>
                <w:kern w:val="0"/>
                <w:sz w:val="24"/>
                <w:szCs w:val="24"/>
                <w14:ligatures w14:val="none"/>
              </w:rPr>
              <w:t>董事、董事会秘书毕利军</w:t>
            </w:r>
            <w:r>
              <w:rPr>
                <w:rFonts w:hint="eastAsia" w:ascii="宋体" w:hAnsi="宋体" w:eastAsia="宋体" w:cs="宋体"/>
                <w:kern w:val="0"/>
                <w:sz w:val="24"/>
                <w:szCs w:val="24"/>
                <w:lang w:val="en-US" w:eastAsia="zh-CN"/>
                <w14:ligatures w14:val="none"/>
              </w:rPr>
              <w:t>先生，</w:t>
            </w:r>
            <w:r>
              <w:rPr>
                <w:rFonts w:hint="eastAsia" w:ascii="宋体" w:hAnsi="宋体" w:eastAsia="宋体" w:cs="宋体"/>
                <w:kern w:val="0"/>
                <w:sz w:val="24"/>
                <w:szCs w:val="24"/>
                <w14:ligatures w14:val="none"/>
              </w:rPr>
              <w:t>董事、财务总监江莉娇</w:t>
            </w:r>
            <w:r>
              <w:rPr>
                <w:rFonts w:hint="eastAsia" w:ascii="宋体" w:hAnsi="宋体" w:eastAsia="宋体" w:cs="宋体"/>
                <w:kern w:val="0"/>
                <w:sz w:val="24"/>
                <w:szCs w:val="24"/>
                <w:lang w:val="en-US" w:eastAsia="zh-CN"/>
                <w14:ligatures w14:val="none"/>
              </w:rPr>
              <w:t>女士，</w:t>
            </w:r>
            <w:r>
              <w:rPr>
                <w:rFonts w:hint="eastAsia" w:ascii="宋体" w:hAnsi="宋体" w:eastAsia="宋体" w:cs="宋体"/>
                <w:kern w:val="0"/>
                <w:sz w:val="24"/>
                <w:szCs w:val="24"/>
                <w14:ligatures w14:val="none"/>
              </w:rPr>
              <w:t>独立董事</w:t>
            </w:r>
            <w:r>
              <w:rPr>
                <w:rFonts w:hint="eastAsia" w:ascii="宋体" w:hAnsi="宋体" w:eastAsia="宋体" w:cs="宋体"/>
                <w:kern w:val="0"/>
                <w:sz w:val="24"/>
                <w:szCs w:val="24"/>
                <w:lang w:val="en-US" w:eastAsia="zh-CN"/>
                <w14:ligatures w14:val="none"/>
              </w:rPr>
              <w:t>徐光华先生</w:t>
            </w:r>
          </w:p>
        </w:tc>
      </w:tr>
      <w:tr w14:paraId="2813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2242" w:type="dxa"/>
            <w:vAlign w:val="center"/>
          </w:tcPr>
          <w:p w14:paraId="2572B86A">
            <w:pPr>
              <w:spacing w:line="360" w:lineRule="auto"/>
              <w:jc w:val="center"/>
              <w:rPr>
                <w:rFonts w:ascii="宋体" w:hAnsi="宋体" w:eastAsia="宋体" w:cs="宋体"/>
                <w:b/>
                <w:bCs/>
                <w:sz w:val="24"/>
                <w:highlight w:val="none"/>
              </w:rPr>
            </w:pPr>
            <w:r>
              <w:rPr>
                <w:rFonts w:ascii="宋体" w:hAnsi="宋体" w:eastAsia="宋体" w:cs="宋体"/>
                <w:b/>
                <w:bCs/>
                <w:sz w:val="24"/>
                <w:highlight w:val="none"/>
              </w:rPr>
              <w:t>投资者关系活动</w:t>
            </w:r>
          </w:p>
          <w:p w14:paraId="3D1975C7">
            <w:pPr>
              <w:spacing w:line="360" w:lineRule="auto"/>
              <w:jc w:val="center"/>
              <w:rPr>
                <w:rFonts w:ascii="宋体" w:hAnsi="宋体" w:eastAsia="宋体" w:cs="宋体"/>
                <w:sz w:val="24"/>
                <w:highlight w:val="none"/>
              </w:rPr>
            </w:pPr>
            <w:r>
              <w:rPr>
                <w:rFonts w:ascii="宋体" w:hAnsi="宋体" w:eastAsia="宋体" w:cs="宋体"/>
                <w:b/>
                <w:bCs/>
                <w:sz w:val="24"/>
                <w:highlight w:val="none"/>
              </w:rPr>
              <w:t>主要内容</w:t>
            </w:r>
          </w:p>
        </w:tc>
        <w:tc>
          <w:tcPr>
            <w:tcW w:w="6054" w:type="dxa"/>
            <w:vAlign w:val="center"/>
          </w:tcPr>
          <w:p w14:paraId="5C9DF85C">
            <w:pPr>
              <w:spacing w:line="360" w:lineRule="auto"/>
              <w:ind w:firstLine="482"/>
              <w:rPr>
                <w:rFonts w:ascii="宋体" w:hAnsi="宋体" w:eastAsia="宋体" w:cs="宋体"/>
                <w:b/>
                <w:bCs/>
                <w:sz w:val="24"/>
                <w:highlight w:val="none"/>
              </w:rPr>
            </w:pPr>
            <w:r>
              <w:rPr>
                <w:rFonts w:ascii="宋体" w:hAnsi="宋体" w:eastAsia="宋体" w:cs="宋体"/>
                <w:sz w:val="24"/>
                <w:szCs w:val="24"/>
              </w:rPr>
              <w:t>在本次业绩说明会上，公司就投资者关心的问题给予了答复， 并对相关问题进行了梳理，主要问题及答复如下：</w:t>
            </w:r>
          </w:p>
          <w:p w14:paraId="0F0E0649">
            <w:pPr>
              <w:spacing w:line="360" w:lineRule="auto"/>
              <w:ind w:firstLine="482" w:firstLineChars="200"/>
              <w:rPr>
                <w:rFonts w:hint="eastAsia" w:ascii="宋体" w:hAnsi="宋体" w:eastAsia="宋体" w:cs="宋体"/>
                <w:sz w:val="24"/>
                <w:highlight w:val="none"/>
                <w:lang w:val="en-US" w:eastAsia="zh-CN"/>
              </w:rPr>
            </w:pPr>
            <w:r>
              <w:rPr>
                <w:rFonts w:hint="eastAsia" w:ascii="宋体" w:hAnsi="宋体" w:eastAsia="宋体" w:cs="宋体"/>
                <w:b/>
                <w:bCs/>
                <w:sz w:val="24"/>
                <w:highlight w:val="none"/>
                <w:lang w:val="en-US" w:eastAsia="zh-CN"/>
              </w:rPr>
              <w:t>1.能不能具体讲讲定增推进到什么程度了，大家都比较关心，谢谢。</w:t>
            </w:r>
          </w:p>
          <w:p w14:paraId="1ECAA9D2">
            <w:pPr>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尊敬的投资者，您好！本次定增工作在正常有序推进中，关于本次收购进展请留意公司后续相关公告。感谢您的关注！</w:t>
            </w:r>
          </w:p>
          <w:p w14:paraId="70A291A0">
            <w:pPr>
              <w:numPr>
                <w:ilvl w:val="0"/>
                <w:numId w:val="0"/>
              </w:numPr>
              <w:spacing w:line="360" w:lineRule="auto"/>
              <w:ind w:firstLine="482" w:firstLineChars="200"/>
              <w:rPr>
                <w:rFonts w:hint="eastAsia" w:ascii="宋体" w:hAnsi="宋体" w:eastAsia="宋体" w:cs="宋体"/>
                <w:sz w:val="24"/>
                <w:highlight w:val="none"/>
                <w:lang w:val="en-US" w:eastAsia="zh-CN"/>
              </w:rPr>
            </w:pPr>
            <w:r>
              <w:rPr>
                <w:rFonts w:hint="eastAsia" w:ascii="宋体" w:hAnsi="宋体" w:eastAsia="宋体" w:cs="宋体"/>
                <w:b/>
                <w:bCs/>
                <w:kern w:val="2"/>
                <w:sz w:val="24"/>
                <w:szCs w:val="24"/>
                <w:lang w:val="en-US" w:eastAsia="zh-CN" w:bidi="ar-SA"/>
              </w:rPr>
              <w:t>2.</w:t>
            </w:r>
            <w:r>
              <w:rPr>
                <w:rFonts w:hint="eastAsia" w:ascii="宋体" w:hAnsi="宋体" w:eastAsia="宋体" w:cs="宋体"/>
                <w:b/>
                <w:bCs/>
                <w:sz w:val="24"/>
                <w:highlight w:val="none"/>
                <w:lang w:val="en-US" w:eastAsia="zh-CN"/>
              </w:rPr>
              <w:t>控股股东江钨控股旗下还有不少钨矿山资源。上市公司之前公告说现阶段没有矿山注入计划。想请教管理层，站在集团长期战略角度，在本次三家冶炼‑合金资产收购落地完成之后，未来有没有规划，后续逐步解决钨矿端的同业竞争？有没有时间表。</w:t>
            </w:r>
          </w:p>
          <w:p w14:paraId="5951B100">
            <w:pPr>
              <w:numPr>
                <w:numId w:val="0"/>
              </w:numPr>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尊敬的投资者，您好！本次发行募集资金将用于收购三家目标公司各100%股权，该等收购完成后目标公司将成为上市公司全资子公司。目标公司主要从事钨制品及钽铌制品的研发、生产与销售，与上市公司控股股东控制的部分其他企业存在经营相同或相似业务的情形，但本次发行不会新增对上市公司构成重大不利影响的同业竞争。江钨控股拟在本次交易完成后五年内，本着有利于上市公司发展和维护股东利益尤其是中小股东利益的原则，综合运用委托管理、资产重组、股权置换/转让、业务调整或其他合法方式，稳妥推进相关业务调整或整合以解决同业竞争问题。感谢您的提问！</w:t>
            </w:r>
          </w:p>
          <w:p w14:paraId="3C060EEB">
            <w:pPr>
              <w:numPr>
                <w:ilvl w:val="0"/>
                <w:numId w:val="0"/>
              </w:numPr>
              <w:spacing w:line="360" w:lineRule="auto"/>
              <w:ind w:left="0" w:leftChars="0" w:firstLine="482" w:firstLineChars="200"/>
              <w:rPr>
                <w:rFonts w:hint="eastAsia" w:ascii="宋体" w:hAnsi="宋体" w:eastAsia="宋体" w:cs="宋体"/>
                <w:sz w:val="24"/>
                <w:highlight w:val="none"/>
                <w:lang w:val="en-US" w:eastAsia="zh-CN"/>
              </w:rPr>
            </w:pPr>
            <w:r>
              <w:rPr>
                <w:rFonts w:hint="eastAsia" w:ascii="宋体" w:hAnsi="宋体" w:eastAsia="宋体" w:cs="宋体"/>
                <w:b/>
                <w:bCs/>
                <w:kern w:val="2"/>
                <w:sz w:val="24"/>
                <w:szCs w:val="24"/>
                <w:lang w:val="en-US" w:eastAsia="zh-CN" w:bidi="ar-SA"/>
              </w:rPr>
              <w:t>3.</w:t>
            </w:r>
            <w:r>
              <w:rPr>
                <w:rFonts w:hint="eastAsia" w:ascii="宋体" w:hAnsi="宋体" w:eastAsia="宋体" w:cs="宋体"/>
                <w:b/>
                <w:bCs/>
                <w:sz w:val="24"/>
                <w:highlight w:val="none"/>
                <w:lang w:val="en-US" w:eastAsia="zh-CN"/>
              </w:rPr>
              <w:t>请问江钨装备何时注入矿山资源</w:t>
            </w:r>
          </w:p>
          <w:p w14:paraId="153651A4">
            <w:pPr>
              <w:numPr>
                <w:numId w:val="0"/>
              </w:numPr>
              <w:spacing w:line="360" w:lineRule="auto"/>
              <w:ind w:firstLine="480" w:firstLineChars="200"/>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尊敬的投资者，您好！公司目前无矿山资产注入计划。感谢您的关注！</w:t>
            </w:r>
          </w:p>
          <w:p w14:paraId="2C488FA2">
            <w:pPr>
              <w:numPr>
                <w:numId w:val="0"/>
              </w:numPr>
              <w:spacing w:line="360" w:lineRule="auto"/>
              <w:ind w:firstLine="482" w:firstLineChars="200"/>
              <w:rPr>
                <w:rFonts w:hint="eastAsia" w:ascii="宋体" w:hAnsi="宋体" w:eastAsia="宋体" w:cs="宋体"/>
                <w:sz w:val="24"/>
                <w:highlight w:val="none"/>
                <w:lang w:val="en-US" w:eastAsia="zh-CN"/>
              </w:rPr>
            </w:pPr>
            <w:r>
              <w:rPr>
                <w:rFonts w:hint="eastAsia" w:ascii="宋体" w:hAnsi="宋体" w:eastAsia="宋体" w:cs="宋体"/>
                <w:b/>
                <w:bCs/>
                <w:sz w:val="24"/>
                <w:highlight w:val="none"/>
                <w:lang w:val="en-US" w:eastAsia="zh-CN"/>
              </w:rPr>
              <w:t>4.收购完成之后上市公司依旧没有自有钨矿，原材料高度对外采购。集团内部矿山在同等条件下，是否会优先向本上市公司供应钨精矿，优先保障上市公司的原料供给</w:t>
            </w:r>
          </w:p>
          <w:p w14:paraId="38417203">
            <w:pPr>
              <w:numPr>
                <w:numId w:val="0"/>
              </w:numPr>
              <w:spacing w:line="360" w:lineRule="auto"/>
              <w:ind w:firstLine="480" w:firstLineChars="200"/>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尊敬的投资者，您好！集团与上市公司之间的关联交易需要遵循相关法律法规的要求。感谢您的关注！</w:t>
            </w:r>
          </w:p>
          <w:p w14:paraId="036FCAB1">
            <w:pPr>
              <w:numPr>
                <w:numId w:val="0"/>
              </w:numPr>
              <w:spacing w:line="360" w:lineRule="auto"/>
              <w:ind w:firstLine="482" w:firstLineChars="200"/>
              <w:rPr>
                <w:rFonts w:hint="eastAsia" w:ascii="宋体" w:hAnsi="宋体" w:eastAsia="宋体" w:cs="宋体"/>
                <w:sz w:val="24"/>
                <w:highlight w:val="none"/>
                <w:lang w:val="en-US" w:eastAsia="zh-CN"/>
              </w:rPr>
            </w:pPr>
            <w:r>
              <w:rPr>
                <w:rFonts w:hint="eastAsia" w:ascii="宋体" w:hAnsi="宋体" w:eastAsia="宋体" w:cs="宋体"/>
                <w:b/>
                <w:bCs/>
                <w:sz w:val="24"/>
                <w:highlight w:val="none"/>
                <w:lang w:val="en-US" w:eastAsia="zh-CN"/>
              </w:rPr>
              <w:t>5.本次交易的业绩承诺，仅仅针对评估里面的少量无形资产，并没有对三家公司整体净利润做兜底承诺。想请问管理层，为什么没有设置整体的业绩对赌？中小股东如何保障收购完成之后三家标的整体经营的收益？后续会不会设置内部考核机制约束管理层？</w:t>
            </w:r>
          </w:p>
          <w:p w14:paraId="0264A30E">
            <w:pPr>
              <w:numPr>
                <w:numId w:val="0"/>
              </w:numPr>
              <w:spacing w:line="360" w:lineRule="auto"/>
              <w:ind w:firstLine="480" w:firstLineChars="200"/>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尊敬的投资者，您好！本次定增拟收购的三家标的公司整体系采用资产基础法评估，业绩承诺仅针对其中基于未来收益预期评估方法进行评估的资产作出业绩承诺，符合重组管理办法及相关规定要求。感谢您的提问！</w:t>
            </w:r>
          </w:p>
        </w:tc>
      </w:tr>
      <w:tr w14:paraId="6124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2242" w:type="dxa"/>
            <w:vAlign w:val="center"/>
          </w:tcPr>
          <w:p w14:paraId="0FD60A66">
            <w:pPr>
              <w:spacing w:line="360" w:lineRule="auto"/>
              <w:rPr>
                <w:rFonts w:hint="default"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其他事项</w:t>
            </w:r>
          </w:p>
        </w:tc>
        <w:tc>
          <w:tcPr>
            <w:tcW w:w="6054" w:type="dxa"/>
            <w:vAlign w:val="center"/>
          </w:tcPr>
          <w:p w14:paraId="6E851A4F">
            <w:pPr>
              <w:numPr>
                <w:numId w:val="0"/>
              </w:numPr>
              <w:spacing w:line="360" w:lineRule="auto"/>
              <w:ind w:firstLine="480" w:firstLineChars="200"/>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关于公司2026年半年度业绩说明会的召开情况及主要内容，投资者可登录“全景路演”网站(https://rs.p5w.net)进行查看。在此，向关注和支持公司发展并积极提出建议的投资者表示衷心感谢！</w:t>
            </w:r>
          </w:p>
        </w:tc>
      </w:tr>
      <w:tr w14:paraId="13C3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2242" w:type="dxa"/>
            <w:vAlign w:val="center"/>
          </w:tcPr>
          <w:p w14:paraId="1DFB57D3">
            <w:pPr>
              <w:spacing w:line="360" w:lineRule="auto"/>
              <w:rPr>
                <w:rFonts w:ascii="宋体" w:hAnsi="宋体" w:eastAsia="宋体" w:cs="宋体"/>
                <w:sz w:val="24"/>
                <w:highlight w:val="none"/>
              </w:rPr>
            </w:pPr>
            <w:r>
              <w:rPr>
                <w:rFonts w:hint="eastAsia" w:ascii="宋体" w:hAnsi="宋体" w:eastAsia="宋体" w:cs="宋体"/>
                <w:b/>
                <w:bCs/>
                <w:sz w:val="24"/>
                <w:highlight w:val="none"/>
              </w:rPr>
              <w:t>附件清单</w:t>
            </w:r>
          </w:p>
        </w:tc>
        <w:tc>
          <w:tcPr>
            <w:tcW w:w="6054" w:type="dxa"/>
            <w:vAlign w:val="center"/>
          </w:tcPr>
          <w:p w14:paraId="4E650029">
            <w:pPr>
              <w:spacing w:line="360" w:lineRule="auto"/>
              <w:rPr>
                <w:rFonts w:ascii="宋体" w:hAnsi="宋体" w:eastAsia="宋体" w:cs="宋体"/>
                <w:sz w:val="24"/>
                <w:highlight w:val="none"/>
              </w:rPr>
            </w:pPr>
            <w:r>
              <w:rPr>
                <w:rFonts w:ascii="宋体" w:hAnsi="宋体" w:eastAsia="宋体" w:cs="宋体"/>
                <w:sz w:val="24"/>
                <w:highlight w:val="none"/>
              </w:rPr>
              <w:t>无</w:t>
            </w:r>
          </w:p>
        </w:tc>
      </w:tr>
      <w:tr w14:paraId="17E3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242" w:type="dxa"/>
            <w:vAlign w:val="center"/>
          </w:tcPr>
          <w:p w14:paraId="64E770CD">
            <w:pPr>
              <w:spacing w:line="360" w:lineRule="auto"/>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日期</w:t>
            </w:r>
          </w:p>
        </w:tc>
        <w:tc>
          <w:tcPr>
            <w:tcW w:w="6054" w:type="dxa"/>
            <w:vAlign w:val="center"/>
          </w:tcPr>
          <w:p w14:paraId="4F8A0E3E">
            <w:pPr>
              <w:spacing w:line="360" w:lineRule="auto"/>
              <w:rPr>
                <w:rFonts w:ascii="宋体" w:hAnsi="宋体" w:eastAsia="宋体" w:cs="宋体"/>
                <w:sz w:val="24"/>
                <w:highlight w:val="none"/>
              </w:rPr>
            </w:pPr>
            <w:r>
              <w:rPr>
                <w:rFonts w:hint="eastAsia" w:ascii="宋体" w:hAnsi="宋体" w:cs="宋体"/>
                <w:sz w:val="24"/>
                <w:szCs w:val="24"/>
              </w:rPr>
              <w:t>2026年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18</w:t>
            </w:r>
            <w:r>
              <w:rPr>
                <w:rFonts w:hint="eastAsia" w:ascii="宋体" w:hAnsi="宋体" w:cs="宋体"/>
                <w:sz w:val="24"/>
                <w:szCs w:val="24"/>
              </w:rPr>
              <w:t>日</w:t>
            </w:r>
          </w:p>
        </w:tc>
      </w:tr>
    </w:tbl>
    <w:p w14:paraId="60A02903">
      <w:pPr>
        <w:spacing w:line="360" w:lineRule="auto"/>
        <w:ind w:firstLine="482" w:firstLineChars="200"/>
        <w:rPr>
          <w:rFonts w:ascii="宋体" w:hAnsi="宋体" w:eastAsia="宋体" w:cs="宋体"/>
          <w:sz w:val="24"/>
        </w:rPr>
      </w:pPr>
      <w:r>
        <w:rPr>
          <w:rFonts w:hint="eastAsia" w:ascii="宋体" w:hAnsi="宋体" w:eastAsia="宋体" w:cs="宋体"/>
          <w:b/>
          <w:bCs/>
          <w:sz w:val="24"/>
        </w:rPr>
        <w:t>风险提示：</w:t>
      </w:r>
      <w:r>
        <w:rPr>
          <w:rFonts w:hint="eastAsia" w:ascii="宋体" w:hAnsi="宋体" w:eastAsia="宋体" w:cs="宋体"/>
          <w:sz w:val="24"/>
        </w:rPr>
        <w:t>以上如涉及对行业预测、公司发展战略和经营计划等相关内容,不能视作公司或公司管理层对行业、公司发展或业绩的承诺和保证，敬请广大投资者注意投资风险。</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DDC8AB"/>
    <w:multiLevelType w:val="singleLevel"/>
    <w:tmpl w:val="6BDDC8A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JiYzNkOWYyZjA1ZGM0ZjI0YzBkMzEwMjI5OTMxOTYifQ=="/>
  </w:docVars>
  <w:rsids>
    <w:rsidRoot w:val="00E41DD3"/>
    <w:rsid w:val="0002334C"/>
    <w:rsid w:val="000420C5"/>
    <w:rsid w:val="0004696C"/>
    <w:rsid w:val="00047A58"/>
    <w:rsid w:val="00047D33"/>
    <w:rsid w:val="000619DF"/>
    <w:rsid w:val="00080B0E"/>
    <w:rsid w:val="00097DF2"/>
    <w:rsid w:val="000B413E"/>
    <w:rsid w:val="000B69AB"/>
    <w:rsid w:val="000C265C"/>
    <w:rsid w:val="000D37DA"/>
    <w:rsid w:val="000E4815"/>
    <w:rsid w:val="000F0EAB"/>
    <w:rsid w:val="000F517A"/>
    <w:rsid w:val="00102C3D"/>
    <w:rsid w:val="001058FB"/>
    <w:rsid w:val="00112CFF"/>
    <w:rsid w:val="0011307A"/>
    <w:rsid w:val="0011435A"/>
    <w:rsid w:val="00120ED8"/>
    <w:rsid w:val="00126CC4"/>
    <w:rsid w:val="0013310C"/>
    <w:rsid w:val="00136CB9"/>
    <w:rsid w:val="0014011E"/>
    <w:rsid w:val="0015638D"/>
    <w:rsid w:val="00156953"/>
    <w:rsid w:val="00162EAA"/>
    <w:rsid w:val="001A08E2"/>
    <w:rsid w:val="001A6617"/>
    <w:rsid w:val="001B0496"/>
    <w:rsid w:val="001B628C"/>
    <w:rsid w:val="001C5D9E"/>
    <w:rsid w:val="001C62FE"/>
    <w:rsid w:val="001D3399"/>
    <w:rsid w:val="001D5CDA"/>
    <w:rsid w:val="001F5183"/>
    <w:rsid w:val="00200CD0"/>
    <w:rsid w:val="00201935"/>
    <w:rsid w:val="00204F66"/>
    <w:rsid w:val="0021387A"/>
    <w:rsid w:val="00224437"/>
    <w:rsid w:val="00237C1F"/>
    <w:rsid w:val="002432EE"/>
    <w:rsid w:val="00255892"/>
    <w:rsid w:val="002609CF"/>
    <w:rsid w:val="00273527"/>
    <w:rsid w:val="00291E73"/>
    <w:rsid w:val="00295D29"/>
    <w:rsid w:val="002B1C01"/>
    <w:rsid w:val="002B312D"/>
    <w:rsid w:val="002C3803"/>
    <w:rsid w:val="002C424F"/>
    <w:rsid w:val="002C4C59"/>
    <w:rsid w:val="002D48FC"/>
    <w:rsid w:val="002D714D"/>
    <w:rsid w:val="002F6723"/>
    <w:rsid w:val="003057E1"/>
    <w:rsid w:val="003065CA"/>
    <w:rsid w:val="003147DC"/>
    <w:rsid w:val="00320893"/>
    <w:rsid w:val="003479D7"/>
    <w:rsid w:val="00352AAB"/>
    <w:rsid w:val="00360DF7"/>
    <w:rsid w:val="00361851"/>
    <w:rsid w:val="0037392B"/>
    <w:rsid w:val="0038581E"/>
    <w:rsid w:val="003A39C0"/>
    <w:rsid w:val="003B181E"/>
    <w:rsid w:val="003F61BD"/>
    <w:rsid w:val="003F69AD"/>
    <w:rsid w:val="004543E6"/>
    <w:rsid w:val="00464A9A"/>
    <w:rsid w:val="004861CD"/>
    <w:rsid w:val="00494DCA"/>
    <w:rsid w:val="004A1C8D"/>
    <w:rsid w:val="004D079B"/>
    <w:rsid w:val="004D0DE8"/>
    <w:rsid w:val="004D5456"/>
    <w:rsid w:val="004D69C4"/>
    <w:rsid w:val="005022A2"/>
    <w:rsid w:val="0050639A"/>
    <w:rsid w:val="0051215D"/>
    <w:rsid w:val="00513E02"/>
    <w:rsid w:val="005305F5"/>
    <w:rsid w:val="00550720"/>
    <w:rsid w:val="00552D82"/>
    <w:rsid w:val="00561BAF"/>
    <w:rsid w:val="005716B2"/>
    <w:rsid w:val="00581330"/>
    <w:rsid w:val="00583EB6"/>
    <w:rsid w:val="00596575"/>
    <w:rsid w:val="005A3DDC"/>
    <w:rsid w:val="005C13B0"/>
    <w:rsid w:val="005D7FDD"/>
    <w:rsid w:val="00601F1A"/>
    <w:rsid w:val="00603EE3"/>
    <w:rsid w:val="00614B51"/>
    <w:rsid w:val="00621B8D"/>
    <w:rsid w:val="00624D09"/>
    <w:rsid w:val="00630078"/>
    <w:rsid w:val="00647780"/>
    <w:rsid w:val="00650180"/>
    <w:rsid w:val="006518ED"/>
    <w:rsid w:val="00673A71"/>
    <w:rsid w:val="006A4388"/>
    <w:rsid w:val="006B13E9"/>
    <w:rsid w:val="006C01C2"/>
    <w:rsid w:val="006C23B5"/>
    <w:rsid w:val="006D3709"/>
    <w:rsid w:val="006E553B"/>
    <w:rsid w:val="006F6563"/>
    <w:rsid w:val="0071750F"/>
    <w:rsid w:val="007250C4"/>
    <w:rsid w:val="00732907"/>
    <w:rsid w:val="00737DEE"/>
    <w:rsid w:val="007504E2"/>
    <w:rsid w:val="00752A8C"/>
    <w:rsid w:val="00755A3E"/>
    <w:rsid w:val="007613FB"/>
    <w:rsid w:val="00767F36"/>
    <w:rsid w:val="00775286"/>
    <w:rsid w:val="0078343D"/>
    <w:rsid w:val="007836EA"/>
    <w:rsid w:val="00784D9E"/>
    <w:rsid w:val="00791D44"/>
    <w:rsid w:val="007B569E"/>
    <w:rsid w:val="007B6F87"/>
    <w:rsid w:val="007E23FB"/>
    <w:rsid w:val="007F2193"/>
    <w:rsid w:val="00804746"/>
    <w:rsid w:val="0081221E"/>
    <w:rsid w:val="00821414"/>
    <w:rsid w:val="008251BA"/>
    <w:rsid w:val="0083791E"/>
    <w:rsid w:val="008565A6"/>
    <w:rsid w:val="00867AC9"/>
    <w:rsid w:val="008737EA"/>
    <w:rsid w:val="00882B14"/>
    <w:rsid w:val="008B30D6"/>
    <w:rsid w:val="008B32B8"/>
    <w:rsid w:val="008C1707"/>
    <w:rsid w:val="008C4F8D"/>
    <w:rsid w:val="008C7324"/>
    <w:rsid w:val="008D1146"/>
    <w:rsid w:val="008E0E57"/>
    <w:rsid w:val="008F23BF"/>
    <w:rsid w:val="008F72FE"/>
    <w:rsid w:val="00920FD8"/>
    <w:rsid w:val="0093255B"/>
    <w:rsid w:val="00953355"/>
    <w:rsid w:val="009575A0"/>
    <w:rsid w:val="009802AF"/>
    <w:rsid w:val="009924E1"/>
    <w:rsid w:val="009B101A"/>
    <w:rsid w:val="00A06C21"/>
    <w:rsid w:val="00A179CC"/>
    <w:rsid w:val="00A24293"/>
    <w:rsid w:val="00A364D6"/>
    <w:rsid w:val="00A37175"/>
    <w:rsid w:val="00A37D37"/>
    <w:rsid w:val="00A45DE0"/>
    <w:rsid w:val="00A50C5B"/>
    <w:rsid w:val="00A55535"/>
    <w:rsid w:val="00A557CE"/>
    <w:rsid w:val="00A70E42"/>
    <w:rsid w:val="00A71158"/>
    <w:rsid w:val="00A727BA"/>
    <w:rsid w:val="00A76526"/>
    <w:rsid w:val="00A82B7C"/>
    <w:rsid w:val="00AA6A79"/>
    <w:rsid w:val="00AB3D43"/>
    <w:rsid w:val="00AB61ED"/>
    <w:rsid w:val="00AC21AA"/>
    <w:rsid w:val="00AF1C7A"/>
    <w:rsid w:val="00AF22B9"/>
    <w:rsid w:val="00B10D7A"/>
    <w:rsid w:val="00B25BC6"/>
    <w:rsid w:val="00B754FB"/>
    <w:rsid w:val="00B83BCF"/>
    <w:rsid w:val="00BA1E03"/>
    <w:rsid w:val="00BE1853"/>
    <w:rsid w:val="00C0231E"/>
    <w:rsid w:val="00C124E6"/>
    <w:rsid w:val="00C213B4"/>
    <w:rsid w:val="00C24FDF"/>
    <w:rsid w:val="00C36C41"/>
    <w:rsid w:val="00C46A52"/>
    <w:rsid w:val="00C51DCB"/>
    <w:rsid w:val="00C52567"/>
    <w:rsid w:val="00C61EFC"/>
    <w:rsid w:val="00C83676"/>
    <w:rsid w:val="00C858DF"/>
    <w:rsid w:val="00C91937"/>
    <w:rsid w:val="00CC5C1E"/>
    <w:rsid w:val="00CE0DED"/>
    <w:rsid w:val="00CF6629"/>
    <w:rsid w:val="00D05D35"/>
    <w:rsid w:val="00D07391"/>
    <w:rsid w:val="00D07733"/>
    <w:rsid w:val="00D17FD5"/>
    <w:rsid w:val="00D362F2"/>
    <w:rsid w:val="00D45C12"/>
    <w:rsid w:val="00D510BB"/>
    <w:rsid w:val="00D53E95"/>
    <w:rsid w:val="00D5744D"/>
    <w:rsid w:val="00D60741"/>
    <w:rsid w:val="00D73C06"/>
    <w:rsid w:val="00D7482C"/>
    <w:rsid w:val="00D94E8C"/>
    <w:rsid w:val="00DB2CD7"/>
    <w:rsid w:val="00DB7DF4"/>
    <w:rsid w:val="00DC2F31"/>
    <w:rsid w:val="00DC7861"/>
    <w:rsid w:val="00DE16D3"/>
    <w:rsid w:val="00DE2D30"/>
    <w:rsid w:val="00DE73B3"/>
    <w:rsid w:val="00DF6552"/>
    <w:rsid w:val="00E0335A"/>
    <w:rsid w:val="00E05429"/>
    <w:rsid w:val="00E253D2"/>
    <w:rsid w:val="00E30A59"/>
    <w:rsid w:val="00E31DB3"/>
    <w:rsid w:val="00E334B6"/>
    <w:rsid w:val="00E41DD3"/>
    <w:rsid w:val="00E47A2C"/>
    <w:rsid w:val="00E53973"/>
    <w:rsid w:val="00E66A72"/>
    <w:rsid w:val="00E929AE"/>
    <w:rsid w:val="00EB4107"/>
    <w:rsid w:val="00EB6567"/>
    <w:rsid w:val="00EB7B79"/>
    <w:rsid w:val="00EF07D4"/>
    <w:rsid w:val="00EF4E19"/>
    <w:rsid w:val="00EF7D75"/>
    <w:rsid w:val="00F25459"/>
    <w:rsid w:val="00F306B2"/>
    <w:rsid w:val="00F61E25"/>
    <w:rsid w:val="00F73735"/>
    <w:rsid w:val="00FA1EBC"/>
    <w:rsid w:val="00FC574F"/>
    <w:rsid w:val="00FD281E"/>
    <w:rsid w:val="00FD476B"/>
    <w:rsid w:val="00FE575F"/>
    <w:rsid w:val="0D522589"/>
    <w:rsid w:val="0E436275"/>
    <w:rsid w:val="0E7476E7"/>
    <w:rsid w:val="14E107D2"/>
    <w:rsid w:val="16847881"/>
    <w:rsid w:val="229712DA"/>
    <w:rsid w:val="24E84DA9"/>
    <w:rsid w:val="2B3F0EA0"/>
    <w:rsid w:val="2DF6341D"/>
    <w:rsid w:val="35D26686"/>
    <w:rsid w:val="4C2921B3"/>
    <w:rsid w:val="4CBA251B"/>
    <w:rsid w:val="505F3BA0"/>
    <w:rsid w:val="5B4C0B44"/>
    <w:rsid w:val="5E3865C5"/>
    <w:rsid w:val="626443FB"/>
    <w:rsid w:val="6F994FF1"/>
    <w:rsid w:val="6FBE6756"/>
    <w:rsid w:val="70D26170"/>
    <w:rsid w:val="76B669CC"/>
    <w:rsid w:val="77731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rFonts w:asciiTheme="minorHAnsi" w:hAnsiTheme="minorHAnsi" w:eastAsiaTheme="minorEastAsia" w:cstheme="minorBidi"/>
      <w:kern w:val="2"/>
      <w:sz w:val="18"/>
      <w:szCs w:val="18"/>
    </w:rPr>
  </w:style>
  <w:style w:type="character" w:customStyle="1" w:styleId="8">
    <w:name w:val="页脚 字符"/>
    <w:basedOn w:val="6"/>
    <w:link w:val="2"/>
    <w:qFormat/>
    <w:uiPriority w:val="0"/>
    <w:rPr>
      <w:rFonts w:asciiTheme="minorHAnsi" w:hAnsiTheme="minorHAnsi" w:eastAsiaTheme="minorEastAsia" w:cstheme="minorBidi"/>
      <w:kern w:val="2"/>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3647E-D84C-45C9-8FBE-678D686812B2}">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2006</Words>
  <Characters>2085</Characters>
  <Lines>14</Lines>
  <Paragraphs>4</Paragraphs>
  <TotalTime>1</TotalTime>
  <ScaleCrop>false</ScaleCrop>
  <LinksUpToDate>false</LinksUpToDate>
  <CharactersWithSpaces>2150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2026-04-22T10:14:00Z</dcterms:created>
  <dc:creator>董事会办公室</dc:creator>
  <cp:lastModifiedBy>q</cp:lastModifiedBy>
  <dcterms:modified xsi:type="dcterms:W3CDTF">2026-09-18T03:02:57Z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C561AE247A294EE6B7C85FCF493B260A_13</vt:lpwstr>
  </property>
  <property fmtid="{D5CDD505-2E9C-101B-9397-08002B2CF9AE}" pid="4" name="KSOTemplateDocerSaveRecord">
    <vt:lpwstr>eyJoZGlkIjoiNzY0MDdhMzZhNjExN2I3YTBlZGMyYWQ4M2Y3ZmUxMDQiLCJ1c2VySWQiOiIxNjI1MjExMjI5In0=</vt:lpwstr>
  </property>
</Properties>
</file>