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BEBD3">
      <w:pPr>
        <w:keepNext/>
        <w:keepLines/>
        <w:spacing w:before="260" w:after="260" w:line="360" w:lineRule="auto"/>
        <w:jc w:val="center"/>
        <w:outlineLvl w:val="1"/>
        <w:rPr>
          <w:rFonts w:ascii="Times New Roman" w:hAnsi="Times New Roman" w:cs="Times New Roman"/>
          <w:b/>
          <w:bCs/>
          <w:iCs/>
          <w:sz w:val="24"/>
        </w:rPr>
      </w:pPr>
      <w:r>
        <w:rPr>
          <w:rFonts w:hint="eastAsia" w:ascii="Times New Roman" w:hAnsi="Times New Roman" w:eastAsia="宋体" w:cs="Times New Roman"/>
          <w:b/>
          <w:bCs/>
          <w:iCs/>
          <w:sz w:val="24"/>
          <w:lang w:bidi="ar"/>
        </w:rPr>
        <w:t>证券简称：莱特光电</w:t>
      </w:r>
      <w:r>
        <w:rPr>
          <w:rFonts w:ascii="Times New Roman" w:hAnsi="Times New Roman" w:eastAsia="宋体" w:cs="Times New Roman"/>
          <w:b/>
          <w:bCs/>
          <w:iCs/>
          <w:sz w:val="24"/>
          <w:lang w:bidi="ar"/>
        </w:rPr>
        <w:t xml:space="preserve">                                      </w:t>
      </w:r>
      <w:r>
        <w:rPr>
          <w:rFonts w:hint="eastAsia" w:ascii="Times New Roman" w:hAnsi="Times New Roman" w:eastAsia="宋体" w:cs="Times New Roman"/>
          <w:b/>
          <w:bCs/>
          <w:iCs/>
          <w:sz w:val="24"/>
          <w:lang w:bidi="ar"/>
        </w:rPr>
        <w:t>证券代码：</w:t>
      </w:r>
      <w:r>
        <w:rPr>
          <w:rFonts w:ascii="Times New Roman" w:hAnsi="Times New Roman" w:eastAsia="宋体" w:cs="Times New Roman"/>
          <w:b/>
          <w:bCs/>
          <w:iCs/>
          <w:sz w:val="24"/>
          <w:lang w:bidi="ar"/>
        </w:rPr>
        <w:t>688150</w:t>
      </w:r>
    </w:p>
    <w:p w14:paraId="5C0ED973">
      <w:pPr>
        <w:keepNext/>
        <w:keepLines/>
        <w:spacing w:before="156" w:beforeLines="50" w:after="156" w:afterLines="50" w:line="360" w:lineRule="auto"/>
        <w:jc w:val="center"/>
        <w:outlineLvl w:val="1"/>
        <w:rPr>
          <w:rFonts w:ascii="Times New Roman" w:hAnsi="Times New Roman" w:cs="Times New Roman"/>
          <w:b/>
          <w:bCs/>
          <w:sz w:val="32"/>
          <w:szCs w:val="32"/>
        </w:rPr>
      </w:pPr>
      <w:r>
        <w:rPr>
          <w:rFonts w:hint="eastAsia" w:ascii="Times New Roman" w:hAnsi="Times New Roman" w:eastAsia="宋体" w:cs="Times New Roman"/>
          <w:b/>
          <w:bCs/>
          <w:sz w:val="32"/>
          <w:szCs w:val="32"/>
          <w:lang w:bidi="ar"/>
        </w:rPr>
        <w:t>陕西莱特光电材料股份有限公司</w:t>
      </w:r>
    </w:p>
    <w:p w14:paraId="4BE72FEF">
      <w:pPr>
        <w:keepNext/>
        <w:keepLines/>
        <w:spacing w:before="156" w:beforeLines="50" w:after="156" w:afterLines="50" w:line="360" w:lineRule="auto"/>
        <w:jc w:val="center"/>
        <w:outlineLvl w:val="1"/>
        <w:rPr>
          <w:rFonts w:ascii="Times New Roman" w:hAnsi="Times New Roman" w:cs="Times New Roman"/>
          <w:b/>
          <w:bCs/>
          <w:sz w:val="32"/>
          <w:szCs w:val="32"/>
        </w:rPr>
      </w:pPr>
      <w:r>
        <w:rPr>
          <w:rFonts w:hint="eastAsia" w:ascii="Times New Roman" w:hAnsi="Times New Roman" w:eastAsia="宋体" w:cs="Times New Roman"/>
          <w:b/>
          <w:bCs/>
          <w:sz w:val="32"/>
          <w:szCs w:val="32"/>
          <w:lang w:bidi="ar"/>
        </w:rPr>
        <w:t>投资者关系活动记录表</w:t>
      </w:r>
    </w:p>
    <w:p w14:paraId="00A6509C">
      <w:pPr>
        <w:keepNext/>
        <w:keepLines/>
        <w:spacing w:before="260" w:after="260" w:line="360" w:lineRule="auto"/>
        <w:jc w:val="right"/>
        <w:outlineLvl w:val="1"/>
        <w:rPr>
          <w:rFonts w:hint="eastAsia" w:ascii="Times New Roman" w:hAnsi="Times New Roman" w:eastAsia="宋体" w:cs="Times New Roman"/>
          <w:b/>
          <w:bCs/>
          <w:sz w:val="24"/>
          <w:lang w:val="en-US" w:eastAsia="zh-CN"/>
        </w:rPr>
      </w:pPr>
      <w:r>
        <w:rPr>
          <w:rFonts w:hint="eastAsia" w:ascii="Times New Roman" w:hAnsi="Times New Roman" w:eastAsia="宋体" w:cs="Times New Roman"/>
          <w:b/>
          <w:bCs/>
          <w:sz w:val="24"/>
          <w:lang w:bidi="ar"/>
        </w:rPr>
        <w:t>编号：</w:t>
      </w:r>
      <w:r>
        <w:rPr>
          <w:rFonts w:ascii="Times New Roman" w:hAnsi="Times New Roman" w:eastAsia="宋体" w:cs="Times New Roman"/>
          <w:b/>
          <w:bCs/>
          <w:sz w:val="24"/>
          <w:lang w:bidi="ar"/>
        </w:rPr>
        <w:t>202</w:t>
      </w:r>
      <w:r>
        <w:rPr>
          <w:rFonts w:hint="eastAsia" w:ascii="Times New Roman" w:hAnsi="Times New Roman" w:eastAsia="宋体" w:cs="Times New Roman"/>
          <w:b/>
          <w:bCs/>
          <w:sz w:val="24"/>
          <w:lang w:bidi="ar"/>
        </w:rPr>
        <w:t>6</w:t>
      </w:r>
      <w:r>
        <w:rPr>
          <w:rFonts w:ascii="Times New Roman" w:hAnsi="Times New Roman" w:eastAsia="宋体" w:cs="Times New Roman"/>
          <w:b/>
          <w:bCs/>
          <w:sz w:val="24"/>
          <w:lang w:bidi="ar"/>
        </w:rPr>
        <w:t>-</w:t>
      </w:r>
      <w:r>
        <w:rPr>
          <w:rFonts w:hint="eastAsia" w:ascii="Times New Roman" w:hAnsi="Times New Roman" w:eastAsia="宋体" w:cs="Times New Roman"/>
          <w:b/>
          <w:bCs/>
          <w:sz w:val="24"/>
          <w:lang w:bidi="ar"/>
        </w:rPr>
        <w:t>00</w:t>
      </w:r>
      <w:r>
        <w:rPr>
          <w:rFonts w:hint="eastAsia" w:ascii="Times New Roman" w:hAnsi="Times New Roman" w:eastAsia="宋体" w:cs="Times New Roman"/>
          <w:b/>
          <w:bCs/>
          <w:sz w:val="24"/>
          <w:lang w:val="en-US" w:eastAsia="zh-CN" w:bidi="ar"/>
        </w:rPr>
        <w:t>6</w:t>
      </w:r>
    </w:p>
    <w:tbl>
      <w:tblPr>
        <w:tblStyle w:val="7"/>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8160"/>
      </w:tblGrid>
      <w:tr w14:paraId="2E10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1910807B">
            <w:pPr>
              <w:spacing w:line="400" w:lineRule="exact"/>
              <w:jc w:val="center"/>
              <w:rPr>
                <w:rFonts w:ascii="Times New Roman" w:hAnsi="Times New Roman" w:cs="Times New Roman"/>
                <w:b/>
                <w:bCs/>
                <w:iCs/>
                <w:sz w:val="24"/>
              </w:rPr>
            </w:pPr>
            <w:r>
              <w:rPr>
                <w:rFonts w:hint="eastAsia" w:ascii="Times New Roman" w:hAnsi="Times New Roman" w:eastAsia="宋体" w:cs="Times New Roman"/>
                <w:b/>
                <w:bCs/>
                <w:iCs/>
                <w:sz w:val="24"/>
                <w:lang w:bidi="ar"/>
              </w:rPr>
              <w:t>投资者关系活动类别</w:t>
            </w:r>
          </w:p>
        </w:tc>
        <w:tc>
          <w:tcPr>
            <w:tcW w:w="8160" w:type="dxa"/>
            <w:tcBorders>
              <w:top w:val="single" w:color="auto" w:sz="4" w:space="0"/>
              <w:left w:val="single" w:color="auto" w:sz="4" w:space="0"/>
              <w:bottom w:val="single" w:color="auto" w:sz="4" w:space="0"/>
              <w:right w:val="single" w:color="auto" w:sz="4" w:space="0"/>
            </w:tcBorders>
          </w:tcPr>
          <w:p w14:paraId="23E85CD0">
            <w:pPr>
              <w:spacing w:line="360" w:lineRule="auto"/>
              <w:jc w:val="left"/>
              <w:rPr>
                <w:rFonts w:ascii="Times New Roman" w:hAnsi="Times New Roman" w:cs="Times New Roman"/>
                <w:sz w:val="24"/>
              </w:rPr>
            </w:pPr>
            <w:r>
              <w:rPr>
                <w:rFonts w:ascii="Wingdings 2" w:hAnsi="Wingdings 2" w:eastAsia="Wingdings 2" w:cs="Times New Roman"/>
                <w:sz w:val="24"/>
                <w:szCs w:val="22"/>
                <w:lang w:bidi="ar"/>
              </w:rPr>
              <w:sym w:font="Wingdings 2" w:char="00A3"/>
            </w:r>
            <w:r>
              <w:rPr>
                <w:rFonts w:hint="eastAsia" w:ascii="Wingdings 2" w:hAnsi="Wingdings 2" w:eastAsia="宋体" w:cs="Times New Roman"/>
                <w:sz w:val="24"/>
                <w:lang w:bidi="ar"/>
              </w:rPr>
              <w:t>特定</w:t>
            </w:r>
            <w:r>
              <w:rPr>
                <w:rFonts w:hint="eastAsia" w:ascii="Times New Roman" w:hAnsi="Times New Roman" w:eastAsia="宋体" w:cs="Times New Roman"/>
                <w:sz w:val="24"/>
                <w:lang w:bidi="ar"/>
              </w:rPr>
              <w:t>对象调研</w:t>
            </w:r>
            <w:r>
              <w:rPr>
                <w:rFonts w:ascii="Times New Roman" w:hAnsi="Times New Roman" w:eastAsia="宋体" w:cs="Times New Roman"/>
                <w:sz w:val="24"/>
                <w:lang w:bidi="ar"/>
              </w:rPr>
              <w:t xml:space="preserve">          </w:t>
            </w:r>
            <w:r>
              <w:rPr>
                <w:rFonts w:ascii="Wingdings 2" w:hAnsi="Wingdings 2" w:eastAsia="Wingdings 2" w:cs="Times New Roman"/>
                <w:sz w:val="24"/>
                <w:szCs w:val="22"/>
                <w:lang w:bidi="ar"/>
              </w:rPr>
              <w:sym w:font="Wingdings 2" w:char="00A3"/>
            </w:r>
            <w:r>
              <w:rPr>
                <w:rFonts w:hint="eastAsia" w:ascii="Times New Roman" w:hAnsi="Times New Roman" w:eastAsia="宋体" w:cs="Times New Roman"/>
                <w:sz w:val="24"/>
                <w:lang w:bidi="ar"/>
              </w:rPr>
              <w:t>分析师会议</w:t>
            </w:r>
            <w:r>
              <w:rPr>
                <w:rFonts w:ascii="Times New Roman" w:hAnsi="Times New Roman" w:eastAsia="宋体" w:cs="Times New Roman"/>
                <w:bCs/>
                <w:iCs/>
                <w:sz w:val="24"/>
                <w:lang w:bidi="ar"/>
              </w:rPr>
              <w:t xml:space="preserve">          </w:t>
            </w:r>
            <w:r>
              <w:rPr>
                <w:rFonts w:ascii="Wingdings 2" w:hAnsi="Wingdings 2" w:eastAsia="Wingdings 2" w:cs="Times New Roman"/>
                <w:sz w:val="24"/>
                <w:szCs w:val="22"/>
                <w:lang w:bidi="ar"/>
              </w:rPr>
              <w:sym w:font="Wingdings 2" w:char="00A3"/>
            </w:r>
            <w:r>
              <w:rPr>
                <w:rFonts w:hint="eastAsia" w:ascii="Times New Roman" w:hAnsi="Times New Roman" w:eastAsia="宋体" w:cs="Times New Roman"/>
                <w:sz w:val="24"/>
                <w:lang w:bidi="ar"/>
              </w:rPr>
              <w:t>媒体采访</w:t>
            </w:r>
            <w:r>
              <w:rPr>
                <w:rFonts w:ascii="Times New Roman" w:hAnsi="Times New Roman" w:eastAsia="宋体" w:cs="Times New Roman"/>
                <w:sz w:val="24"/>
                <w:lang w:bidi="ar"/>
              </w:rPr>
              <w:br w:type="textWrapping"/>
            </w:r>
            <w:r>
              <w:rPr>
                <w:rFonts w:ascii="Wingdings 2" w:hAnsi="Wingdings 2" w:eastAsia="Wingdings 2" w:cs="Times New Roman"/>
                <w:sz w:val="24"/>
                <w:szCs w:val="22"/>
                <w:lang w:bidi="ar"/>
              </w:rPr>
              <w:sym w:font="Wingdings 2" w:char="0052"/>
            </w:r>
            <w:r>
              <w:rPr>
                <w:rFonts w:hint="eastAsia" w:ascii="Times New Roman" w:hAnsi="Times New Roman" w:eastAsia="宋体" w:cs="Times New Roman"/>
                <w:sz w:val="24"/>
                <w:lang w:bidi="ar"/>
              </w:rPr>
              <w:t>业绩说明会</w:t>
            </w:r>
            <w:r>
              <w:rPr>
                <w:rFonts w:ascii="Times New Roman" w:hAnsi="Times New Roman" w:eastAsia="宋体" w:cs="Times New Roman"/>
                <w:bCs/>
                <w:iCs/>
                <w:sz w:val="24"/>
                <w:lang w:bidi="ar"/>
              </w:rPr>
              <w:t xml:space="preserve">           </w:t>
            </w:r>
            <w:bookmarkStart w:id="0" w:name="OLE_LINK9"/>
            <w:r>
              <w:rPr>
                <w:rFonts w:hint="eastAsia" w:ascii="Times New Roman" w:hAnsi="Times New Roman" w:eastAsia="宋体" w:cs="Times New Roman"/>
                <w:bCs/>
                <w:iCs/>
                <w:sz w:val="24"/>
                <w:lang w:val="en-US" w:eastAsia="zh-CN" w:bidi="ar"/>
              </w:rPr>
              <w:t xml:space="preserve"> </w:t>
            </w:r>
            <w:r>
              <w:rPr>
                <w:rFonts w:ascii="Wingdings 2" w:hAnsi="Wingdings 2" w:eastAsia="Wingdings 2" w:cs="Times New Roman"/>
                <w:sz w:val="24"/>
                <w:szCs w:val="22"/>
                <w:lang w:bidi="ar"/>
              </w:rPr>
              <w:sym w:font="Wingdings 2" w:char="00A3"/>
            </w:r>
            <w:bookmarkEnd w:id="0"/>
            <w:r>
              <w:rPr>
                <w:rFonts w:hint="eastAsia" w:ascii="Times New Roman" w:hAnsi="Times New Roman" w:eastAsia="宋体" w:cs="Times New Roman"/>
                <w:sz w:val="24"/>
                <w:lang w:bidi="ar"/>
              </w:rPr>
              <w:t>新闻发布会</w:t>
            </w:r>
            <w:r>
              <w:rPr>
                <w:rFonts w:ascii="Times New Roman" w:hAnsi="Times New Roman" w:eastAsia="宋体" w:cs="Times New Roman"/>
                <w:sz w:val="24"/>
                <w:lang w:bidi="ar"/>
              </w:rPr>
              <w:t xml:space="preserve">          </w:t>
            </w:r>
            <w:r>
              <w:rPr>
                <w:rFonts w:ascii="Wingdings 2" w:hAnsi="Wingdings 2" w:eastAsia="Wingdings 2" w:cs="Times New Roman"/>
                <w:sz w:val="24"/>
                <w:szCs w:val="22"/>
                <w:lang w:bidi="ar"/>
              </w:rPr>
              <w:sym w:font="Wingdings 2" w:char="00A3"/>
            </w:r>
            <w:r>
              <w:rPr>
                <w:rFonts w:hint="eastAsia" w:ascii="Times New Roman" w:hAnsi="Times New Roman" w:eastAsia="宋体" w:cs="Times New Roman"/>
                <w:sz w:val="24"/>
                <w:lang w:bidi="ar"/>
              </w:rPr>
              <w:t>路演活动</w:t>
            </w:r>
          </w:p>
          <w:p w14:paraId="407AAC8C">
            <w:pPr>
              <w:tabs>
                <w:tab w:val="left" w:pos="2690"/>
                <w:tab w:val="center" w:pos="3199"/>
              </w:tabs>
              <w:spacing w:line="360" w:lineRule="auto"/>
              <w:jc w:val="left"/>
              <w:rPr>
                <w:rFonts w:ascii="Times New Roman" w:hAnsi="Times New Roman" w:cs="Times New Roman"/>
                <w:bCs/>
                <w:iCs/>
                <w:sz w:val="24"/>
              </w:rPr>
            </w:pPr>
            <w:r>
              <w:rPr>
                <w:rFonts w:ascii="Wingdings 2" w:hAnsi="Wingdings 2" w:eastAsia="Wingdings 2" w:cs="Times New Roman"/>
                <w:sz w:val="24"/>
                <w:szCs w:val="22"/>
                <w:lang w:bidi="ar"/>
              </w:rPr>
              <w:sym w:font="Wingdings 2" w:char="00A3"/>
            </w:r>
            <w:r>
              <w:rPr>
                <w:rFonts w:hint="eastAsia" w:ascii="Wingdings 2" w:hAnsi="Wingdings 2" w:eastAsia="宋体" w:cs="Times New Roman"/>
                <w:sz w:val="24"/>
                <w:lang w:bidi="ar"/>
              </w:rPr>
              <w:t>现</w:t>
            </w:r>
            <w:r>
              <w:rPr>
                <w:rFonts w:hint="eastAsia" w:ascii="Times New Roman" w:hAnsi="Times New Roman" w:eastAsia="宋体" w:cs="Times New Roman"/>
                <w:sz w:val="24"/>
                <w:lang w:bidi="ar"/>
              </w:rPr>
              <w:t>场参观</w:t>
            </w:r>
            <w:r>
              <w:rPr>
                <w:rFonts w:ascii="Times New Roman" w:hAnsi="Times New Roman" w:eastAsia="宋体" w:cs="Times New Roman"/>
                <w:sz w:val="24"/>
                <w:lang w:bidi="ar"/>
              </w:rPr>
              <w:t xml:space="preserve">              </w:t>
            </w:r>
            <w:r>
              <w:rPr>
                <w:rFonts w:ascii="Wingdings 2" w:hAnsi="Wingdings 2" w:eastAsia="Wingdings 2" w:cs="Times New Roman"/>
                <w:sz w:val="24"/>
                <w:szCs w:val="22"/>
                <w:lang w:bidi="ar"/>
              </w:rPr>
              <w:sym w:font="Wingdings 2" w:char="00A3"/>
            </w:r>
            <w:r>
              <w:rPr>
                <w:rFonts w:hint="eastAsia" w:ascii="Wingdings 2" w:hAnsi="Wingdings 2" w:eastAsia="宋体" w:cs="Times New Roman"/>
                <w:sz w:val="24"/>
                <w:lang w:bidi="ar"/>
              </w:rPr>
              <w:t>电话会议</w:t>
            </w:r>
            <w:r>
              <w:rPr>
                <w:rFonts w:ascii="Times New Roman" w:hAnsi="Times New Roman" w:eastAsia="宋体" w:cs="Times New Roman"/>
                <w:bCs/>
                <w:iCs/>
                <w:sz w:val="24"/>
                <w:lang w:bidi="ar"/>
              </w:rPr>
              <w:t xml:space="preserve">         </w:t>
            </w:r>
            <w:r>
              <w:rPr>
                <w:rFonts w:hint="eastAsia" w:ascii="Times New Roman" w:hAnsi="Times New Roman" w:eastAsia="宋体" w:cs="Times New Roman"/>
                <w:bCs/>
                <w:iCs/>
                <w:sz w:val="24"/>
                <w:lang w:bidi="ar"/>
              </w:rPr>
              <w:t xml:space="preserve"> </w:t>
            </w:r>
            <w:r>
              <w:rPr>
                <w:rFonts w:ascii="Wingdings 2" w:hAnsi="Wingdings 2" w:eastAsia="Wingdings 2" w:cs="Wingdings 2"/>
                <w:bCs/>
                <w:iCs/>
                <w:sz w:val="24"/>
                <w:lang w:bidi="ar"/>
              </w:rPr>
              <w:t></w:t>
            </w:r>
            <w:r>
              <w:rPr>
                <w:rFonts w:ascii="Wingdings 2" w:hAnsi="Wingdings 2" w:eastAsia="Wingdings 2" w:cs="Times New Roman"/>
                <w:sz w:val="24"/>
                <w:szCs w:val="22"/>
                <w:lang w:bidi="ar"/>
              </w:rPr>
              <w:sym w:font="Wingdings 2" w:char="00A3"/>
            </w:r>
            <w:r>
              <w:rPr>
                <w:rFonts w:hint="eastAsia" w:ascii="Wingdings 2" w:hAnsi="Wingdings 2" w:eastAsia="宋体" w:cs="Wingdings 2"/>
                <w:sz w:val="24"/>
                <w:szCs w:val="22"/>
                <w:lang w:bidi="ar"/>
              </w:rPr>
              <w:t>其他</w:t>
            </w:r>
            <w:r>
              <w:rPr>
                <w:rFonts w:ascii="Wingdings 2" w:hAnsi="Wingdings 2" w:eastAsia="Wingdings 2" w:cs="Wingdings 2"/>
                <w:sz w:val="24"/>
                <w:szCs w:val="22"/>
                <w:u w:val="single"/>
                <w:lang w:bidi="ar"/>
              </w:rPr>
              <w:t></w:t>
            </w:r>
          </w:p>
        </w:tc>
      </w:tr>
      <w:tr w14:paraId="4789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15470C74">
            <w:pPr>
              <w:spacing w:line="300" w:lineRule="exact"/>
              <w:jc w:val="center"/>
              <w:rPr>
                <w:rFonts w:ascii="Times New Roman" w:hAnsi="Times New Roman" w:cs="Times New Roman"/>
                <w:b/>
                <w:bCs/>
                <w:iCs/>
                <w:sz w:val="24"/>
              </w:rPr>
            </w:pPr>
            <w:r>
              <w:rPr>
                <w:rFonts w:ascii="Times New Roman" w:hAnsi="Times New Roman" w:cs="Times New Roman"/>
                <w:b/>
                <w:bCs/>
                <w:iCs/>
                <w:sz w:val="24"/>
                <w:lang w:bidi="ar"/>
              </w:rPr>
              <w:t>参与单位名称及人员姓名</w:t>
            </w:r>
          </w:p>
        </w:tc>
        <w:tc>
          <w:tcPr>
            <w:tcW w:w="8160" w:type="dxa"/>
            <w:tcBorders>
              <w:top w:val="single" w:color="auto" w:sz="4" w:space="0"/>
              <w:left w:val="single" w:color="auto" w:sz="4" w:space="0"/>
              <w:bottom w:val="single" w:color="auto" w:sz="4" w:space="0"/>
              <w:right w:val="single" w:color="auto" w:sz="4" w:space="0"/>
            </w:tcBorders>
            <w:vAlign w:val="center"/>
          </w:tcPr>
          <w:p w14:paraId="6725F8F6">
            <w:pPr>
              <w:tabs>
                <w:tab w:val="center" w:pos="2798"/>
              </w:tabs>
              <w:spacing w:line="360" w:lineRule="auto"/>
              <w:jc w:val="left"/>
              <w:rPr>
                <w:rFonts w:hint="eastAsia" w:ascii="Times New Roman" w:hAnsi="Times New Roman" w:cs="Times New Roman" w:eastAsiaTheme="minorEastAsia"/>
                <w:bCs/>
                <w:iCs/>
                <w:sz w:val="24"/>
                <w:lang w:val="en-US" w:eastAsia="zh-CN" w:bidi="ar"/>
              </w:rPr>
            </w:pPr>
            <w:r>
              <w:rPr>
                <w:rFonts w:hint="eastAsia" w:ascii="Times New Roman" w:hAnsi="Times New Roman" w:cs="Times New Roman"/>
                <w:bCs/>
                <w:iCs/>
                <w:sz w:val="24"/>
                <w:lang w:bidi="ar"/>
              </w:rPr>
              <w:t>线上参加科创板2026年半年度新材料行业集体业绩说明会的全体投资者</w:t>
            </w:r>
          </w:p>
        </w:tc>
      </w:tr>
      <w:tr w14:paraId="107D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586E9C3C">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会议时间</w:t>
            </w:r>
          </w:p>
        </w:tc>
        <w:tc>
          <w:tcPr>
            <w:tcW w:w="8160" w:type="dxa"/>
            <w:tcBorders>
              <w:top w:val="single" w:color="auto" w:sz="4" w:space="0"/>
              <w:left w:val="single" w:color="auto" w:sz="4" w:space="0"/>
              <w:bottom w:val="single" w:color="auto" w:sz="4" w:space="0"/>
              <w:right w:val="single" w:color="auto" w:sz="4" w:space="0"/>
            </w:tcBorders>
          </w:tcPr>
          <w:p w14:paraId="2A7F312F">
            <w:pPr>
              <w:spacing w:line="360" w:lineRule="auto"/>
              <w:rPr>
                <w:rFonts w:hint="eastAsia" w:ascii="Times New Roman" w:hAnsi="Times New Roman" w:cs="Times New Roman" w:eastAsiaTheme="minorEastAsia"/>
                <w:bCs/>
                <w:iCs/>
                <w:sz w:val="24"/>
                <w:lang w:val="en-US" w:eastAsia="zh-CN"/>
              </w:rPr>
            </w:pPr>
            <w:r>
              <w:rPr>
                <w:rFonts w:ascii="Times New Roman" w:hAnsi="Times New Roman" w:cs="Times New Roman"/>
                <w:bCs/>
                <w:iCs/>
                <w:sz w:val="24"/>
                <w:lang w:bidi="ar"/>
              </w:rPr>
              <w:t>202</w:t>
            </w:r>
            <w:r>
              <w:rPr>
                <w:rFonts w:hint="eastAsia" w:ascii="Times New Roman" w:hAnsi="Times New Roman" w:cs="Times New Roman"/>
                <w:bCs/>
                <w:iCs/>
                <w:sz w:val="24"/>
                <w:lang w:bidi="ar"/>
              </w:rPr>
              <w:t>6</w:t>
            </w:r>
            <w:r>
              <w:rPr>
                <w:rFonts w:ascii="Times New Roman" w:hAnsi="Times New Roman" w:cs="Times New Roman"/>
                <w:bCs/>
                <w:iCs/>
                <w:sz w:val="24"/>
                <w:lang w:bidi="ar"/>
              </w:rPr>
              <w:t>年</w:t>
            </w:r>
            <w:r>
              <w:rPr>
                <w:rFonts w:hint="eastAsia" w:ascii="Times New Roman" w:hAnsi="Times New Roman" w:cs="Times New Roman"/>
                <w:bCs/>
                <w:iCs/>
                <w:sz w:val="24"/>
                <w:lang w:val="en-US" w:eastAsia="zh-CN" w:bidi="ar"/>
              </w:rPr>
              <w:t>9</w:t>
            </w:r>
            <w:r>
              <w:rPr>
                <w:rFonts w:hint="eastAsia" w:ascii="Times New Roman" w:hAnsi="Times New Roman" w:cs="Times New Roman"/>
                <w:bCs/>
                <w:iCs/>
                <w:sz w:val="24"/>
                <w:lang w:bidi="ar"/>
              </w:rPr>
              <w:t>月</w:t>
            </w:r>
            <w:r>
              <w:rPr>
                <w:rFonts w:hint="eastAsia" w:ascii="Times New Roman" w:hAnsi="Times New Roman" w:cs="Times New Roman"/>
                <w:bCs/>
                <w:iCs/>
                <w:sz w:val="24"/>
                <w:lang w:val="en-US" w:eastAsia="zh-CN" w:bidi="ar"/>
              </w:rPr>
              <w:t>18</w:t>
            </w:r>
            <w:r>
              <w:rPr>
                <w:rFonts w:hint="eastAsia" w:ascii="Times New Roman" w:hAnsi="Times New Roman" w:cs="Times New Roman"/>
                <w:bCs/>
                <w:iCs/>
                <w:sz w:val="24"/>
                <w:lang w:bidi="ar"/>
              </w:rPr>
              <w:t>日</w:t>
            </w:r>
          </w:p>
        </w:tc>
      </w:tr>
      <w:tr w14:paraId="46E3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2A148884">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会议地点</w:t>
            </w:r>
          </w:p>
        </w:tc>
        <w:tc>
          <w:tcPr>
            <w:tcW w:w="8160" w:type="dxa"/>
            <w:tcBorders>
              <w:top w:val="single" w:color="auto" w:sz="4" w:space="0"/>
              <w:left w:val="single" w:color="auto" w:sz="4" w:space="0"/>
              <w:bottom w:val="single" w:color="auto" w:sz="4" w:space="0"/>
              <w:right w:val="single" w:color="auto" w:sz="4" w:space="0"/>
            </w:tcBorders>
          </w:tcPr>
          <w:p w14:paraId="4B30D48C">
            <w:pPr>
              <w:spacing w:line="360" w:lineRule="auto"/>
              <w:rPr>
                <w:rFonts w:hint="default" w:ascii="Times New Roman" w:hAnsi="Times New Roman" w:cs="Times New Roman" w:eastAsiaTheme="minorEastAsia"/>
                <w:bCs/>
                <w:iCs/>
                <w:sz w:val="24"/>
                <w:lang w:val="en-US" w:eastAsia="zh-CN"/>
              </w:rPr>
            </w:pPr>
            <w:r>
              <w:rPr>
                <w:rFonts w:hint="eastAsia" w:ascii="Times New Roman" w:hAnsi="Times New Roman" w:cs="Times New Roman"/>
                <w:bCs/>
                <w:iCs/>
                <w:sz w:val="24"/>
                <w:lang w:bidi="ar"/>
              </w:rPr>
              <w:t>上证路演中心（网址：https://roadshow.sseinfo.com/）网络文字互动</w:t>
            </w:r>
          </w:p>
        </w:tc>
      </w:tr>
      <w:tr w14:paraId="5F1C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14:paraId="604F7CB7">
            <w:pPr>
              <w:spacing w:line="300" w:lineRule="exact"/>
              <w:jc w:val="center"/>
              <w:rPr>
                <w:rFonts w:ascii="Times New Roman" w:hAnsi="Times New Roman" w:cs="Times New Roman"/>
                <w:b/>
                <w:bCs/>
                <w:iCs/>
                <w:sz w:val="24"/>
              </w:rPr>
            </w:pPr>
            <w:r>
              <w:rPr>
                <w:rFonts w:ascii="Times New Roman" w:hAnsi="Times New Roman" w:cs="Times New Roman"/>
                <w:b/>
                <w:bCs/>
                <w:iCs/>
                <w:sz w:val="24"/>
                <w:lang w:bidi="ar"/>
              </w:rPr>
              <w:t>上市公司接待人员姓名</w:t>
            </w:r>
          </w:p>
        </w:tc>
        <w:tc>
          <w:tcPr>
            <w:tcW w:w="8160" w:type="dxa"/>
            <w:tcBorders>
              <w:top w:val="single" w:color="auto" w:sz="4" w:space="0"/>
              <w:left w:val="single" w:color="auto" w:sz="4" w:space="0"/>
              <w:bottom w:val="single" w:color="auto" w:sz="4" w:space="0"/>
              <w:right w:val="single" w:color="auto" w:sz="4" w:space="0"/>
            </w:tcBorders>
            <w:vAlign w:val="center"/>
          </w:tcPr>
          <w:p w14:paraId="58890F69">
            <w:pPr>
              <w:spacing w:line="360" w:lineRule="auto"/>
              <w:rPr>
                <w:rFonts w:ascii="Times New Roman" w:hAnsi="Times New Roman" w:cs="Times New Roman"/>
                <w:bCs/>
                <w:iCs/>
                <w:sz w:val="24"/>
                <w:lang w:bidi="ar"/>
              </w:rPr>
            </w:pPr>
            <w:r>
              <w:rPr>
                <w:rFonts w:hint="eastAsia" w:ascii="Times New Roman" w:hAnsi="Times New Roman" w:cs="Times New Roman"/>
                <w:bCs/>
                <w:iCs/>
                <w:sz w:val="24"/>
                <w:lang w:bidi="ar"/>
              </w:rPr>
              <w:t xml:space="preserve">董事长、总经理：王亚龙先生    </w:t>
            </w:r>
            <w:r>
              <w:rPr>
                <w:rFonts w:hint="eastAsia" w:ascii="Times New Roman" w:hAnsi="Times New Roman" w:cs="Times New Roman"/>
                <w:bCs/>
                <w:iCs/>
                <w:sz w:val="24"/>
                <w:lang w:val="en-US" w:eastAsia="zh-CN" w:bidi="ar"/>
              </w:rPr>
              <w:t xml:space="preserve">  </w:t>
            </w:r>
            <w:r>
              <w:rPr>
                <w:rFonts w:hint="eastAsia" w:ascii="Times New Roman" w:hAnsi="Times New Roman" w:cs="Times New Roman"/>
                <w:bCs/>
                <w:iCs/>
                <w:sz w:val="24"/>
                <w:lang w:bidi="ar"/>
              </w:rPr>
              <w:t>副总经理：薛震先生</w:t>
            </w:r>
          </w:p>
          <w:p w14:paraId="7EC26347">
            <w:pPr>
              <w:spacing w:line="360" w:lineRule="auto"/>
              <w:rPr>
                <w:rFonts w:ascii="Times New Roman" w:hAnsi="Times New Roman" w:cs="Times New Roman"/>
                <w:bCs/>
                <w:iCs/>
                <w:sz w:val="24"/>
                <w:lang w:bidi="ar"/>
              </w:rPr>
            </w:pPr>
            <w:r>
              <w:rPr>
                <w:rFonts w:hint="eastAsia" w:ascii="Times New Roman" w:hAnsi="Times New Roman" w:cs="Times New Roman"/>
                <w:bCs/>
                <w:iCs/>
                <w:sz w:val="24"/>
                <w:lang w:bidi="ar"/>
              </w:rPr>
              <w:t xml:space="preserve">副总经理：孙占义先生          </w:t>
            </w:r>
            <w:r>
              <w:rPr>
                <w:rFonts w:hint="eastAsia" w:ascii="Times New Roman" w:hAnsi="Times New Roman" w:cs="Times New Roman"/>
                <w:bCs/>
                <w:iCs/>
                <w:sz w:val="24"/>
                <w:lang w:val="en-US" w:eastAsia="zh-CN" w:bidi="ar"/>
              </w:rPr>
              <w:t xml:space="preserve">  </w:t>
            </w:r>
            <w:r>
              <w:rPr>
                <w:rFonts w:hint="eastAsia" w:ascii="Times New Roman" w:hAnsi="Times New Roman" w:cs="Times New Roman"/>
                <w:bCs/>
                <w:iCs/>
                <w:sz w:val="24"/>
                <w:lang w:bidi="ar"/>
              </w:rPr>
              <w:t>研发总工程师：冯震先生</w:t>
            </w:r>
          </w:p>
          <w:p w14:paraId="5A420AF0">
            <w:pPr>
              <w:spacing w:line="360" w:lineRule="auto"/>
              <w:rPr>
                <w:rFonts w:ascii="Times New Roman" w:hAnsi="Times New Roman" w:cs="Times New Roman"/>
                <w:bCs/>
                <w:iCs/>
                <w:sz w:val="24"/>
                <w:lang w:bidi="ar"/>
              </w:rPr>
            </w:pPr>
            <w:r>
              <w:rPr>
                <w:rFonts w:hint="eastAsia" w:ascii="Times New Roman" w:hAnsi="Times New Roman" w:cs="Times New Roman"/>
                <w:bCs/>
                <w:iCs/>
                <w:sz w:val="24"/>
                <w:lang w:bidi="ar"/>
              </w:rPr>
              <w:t xml:space="preserve">董事会秘书：潘香婷女士        </w:t>
            </w:r>
            <w:r>
              <w:rPr>
                <w:rFonts w:hint="eastAsia" w:ascii="Times New Roman" w:hAnsi="Times New Roman" w:cs="Times New Roman"/>
                <w:bCs/>
                <w:iCs/>
                <w:sz w:val="24"/>
                <w:lang w:val="en-US" w:eastAsia="zh-CN" w:bidi="ar"/>
              </w:rPr>
              <w:t xml:space="preserve">  </w:t>
            </w:r>
            <w:r>
              <w:rPr>
                <w:rFonts w:hint="eastAsia" w:ascii="Times New Roman" w:hAnsi="Times New Roman" w:cs="Times New Roman"/>
                <w:bCs/>
                <w:iCs/>
                <w:sz w:val="24"/>
                <w:lang w:bidi="ar"/>
              </w:rPr>
              <w:t>财务总监：刘霜女士</w:t>
            </w:r>
          </w:p>
          <w:p w14:paraId="4AF713CF">
            <w:pPr>
              <w:spacing w:line="360" w:lineRule="auto"/>
              <w:rPr>
                <w:rFonts w:hint="default" w:ascii="Times New Roman" w:hAnsi="Times New Roman" w:eastAsia="宋体" w:cs="Times New Roman"/>
                <w:bCs/>
                <w:iCs/>
                <w:sz w:val="24"/>
                <w:lang w:val="en-US" w:eastAsia="zh-CN" w:bidi="ar"/>
              </w:rPr>
            </w:pPr>
            <w:r>
              <w:rPr>
                <w:rFonts w:hint="eastAsia" w:ascii="Times New Roman" w:hAnsi="Times New Roman" w:cs="Times New Roman"/>
                <w:bCs/>
                <w:iCs/>
                <w:sz w:val="24"/>
                <w:lang w:bidi="ar"/>
              </w:rPr>
              <w:t xml:space="preserve">独立董事：卫婵女士            </w:t>
            </w:r>
            <w:r>
              <w:rPr>
                <w:rFonts w:hint="eastAsia" w:ascii="Times New Roman" w:hAnsi="Times New Roman" w:cs="Times New Roman"/>
                <w:bCs/>
                <w:iCs/>
                <w:sz w:val="24"/>
                <w:lang w:val="en-US" w:eastAsia="zh-CN" w:bidi="ar"/>
              </w:rPr>
              <w:t xml:space="preserve">  </w:t>
            </w:r>
            <w:r>
              <w:rPr>
                <w:rFonts w:ascii="monospace" w:hAnsi="monospace" w:eastAsia="monospace" w:cs="monospace"/>
                <w:sz w:val="24"/>
                <w:shd w:val="clear" w:color="auto" w:fill="FFFFFF"/>
              </w:rPr>
              <w:t>投资者关系总监</w:t>
            </w:r>
            <w:r>
              <w:rPr>
                <w:rFonts w:hint="eastAsia" w:ascii="monospace" w:hAnsi="monospace" w:eastAsia="宋体" w:cs="monospace"/>
                <w:sz w:val="24"/>
                <w:shd w:val="clear" w:color="auto" w:fill="FFFFFF"/>
              </w:rPr>
              <w:t>：</w:t>
            </w:r>
            <w:r>
              <w:rPr>
                <w:rFonts w:ascii="monospace" w:hAnsi="monospace" w:eastAsia="monospace" w:cs="monospace"/>
                <w:sz w:val="24"/>
                <w:shd w:val="clear" w:color="auto" w:fill="FFFFFF"/>
              </w:rPr>
              <w:t>周立汉先生</w:t>
            </w:r>
          </w:p>
        </w:tc>
      </w:tr>
      <w:tr w14:paraId="4841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2772EBEA">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投资者关系活动主要内容介绍</w:t>
            </w:r>
          </w:p>
        </w:tc>
        <w:tc>
          <w:tcPr>
            <w:tcW w:w="8160" w:type="dxa"/>
            <w:tcBorders>
              <w:top w:val="single" w:color="auto" w:sz="4" w:space="0"/>
              <w:left w:val="single" w:color="auto" w:sz="4" w:space="0"/>
              <w:bottom w:val="single" w:color="auto" w:sz="4" w:space="0"/>
              <w:right w:val="single" w:color="auto" w:sz="4" w:space="0"/>
            </w:tcBorders>
          </w:tcPr>
          <w:p w14:paraId="54DF543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bCs/>
                <w:lang w:val="en-US" w:eastAsia="zh-CN"/>
              </w:rPr>
            </w:pPr>
            <w:r>
              <w:rPr>
                <w:rFonts w:hint="default" w:ascii="Times New Roman" w:hAnsi="Times New Roman" w:eastAsia="宋体" w:cs="Times New Roman"/>
                <w:b/>
                <w:szCs w:val="21"/>
                <w:lang w:bidi="ar"/>
              </w:rPr>
              <w:t>问题1：</w:t>
            </w:r>
            <w:r>
              <w:rPr>
                <w:rFonts w:hint="default" w:ascii="Times New Roman" w:hAnsi="Times New Roman" w:eastAsia="宋体" w:cs="Times New Roman"/>
                <w:b/>
                <w:bCs/>
                <w:lang w:val="en-US" w:eastAsia="zh-CN"/>
              </w:rPr>
              <w:t>请介绍公司2026年上半年整体经营业绩情况，营业收入增长的主要驱动因素有哪些？　　</w:t>
            </w:r>
          </w:p>
          <w:p w14:paraId="3A4BC21E">
            <w:pPr>
              <w:widowControl/>
              <w:spacing w:before="50" w:line="360" w:lineRule="auto"/>
              <w:ind w:firstLine="420" w:firstLineChars="200"/>
              <w:rPr>
                <w:rFonts w:hint="default" w:ascii="Times New Roman" w:hAnsi="Times New Roman" w:eastAsia="宋体" w:cs="Times New Roman"/>
                <w:color w:val="000000" w:themeColor="text1"/>
                <w:lang w:bidi="ar"/>
                <w14:textFill>
                  <w14:solidFill>
                    <w14:schemeClr w14:val="tx1"/>
                  </w14:solidFill>
                </w14:textFill>
              </w:rPr>
            </w:pPr>
            <w:bookmarkStart w:id="1" w:name="OLE_LINK11"/>
            <w:bookmarkStart w:id="2" w:name="OLE_LINK10"/>
            <w:bookmarkStart w:id="3" w:name="OLE_LINK6"/>
            <w:bookmarkStart w:id="4" w:name="OLE_LINK5"/>
            <w:r>
              <w:rPr>
                <w:rFonts w:hint="default" w:ascii="Times New Roman" w:hAnsi="Times New Roman" w:eastAsia="宋体" w:cs="Times New Roman"/>
                <w:color w:val="000000" w:themeColor="text1"/>
                <w:lang w:bidi="ar"/>
                <w14:textFill>
                  <w14:solidFill>
                    <w14:schemeClr w14:val="tx1"/>
                  </w14:solidFill>
                </w14:textFill>
              </w:rPr>
              <w:t>答：尊敬的投资者，您好！2026年上半年，公司整体经营呈现稳步向好态势，已实现季度间营业收入、归母净利润双双环比增长，经营基本面持续改善。上半年公司实现营业收入3.07亿元，同比增长5.09%；归母净利润1.1亿元，同比下降13.00%。收入层面，受2025年以来存储涨价影响，2026年终端需求承压，OLED在手机领域增长节奏放缓，公司一季度营业收入同比下滑8.20%，伴随2026年行业内第8.6代OLED产线陆续开始量产，受此催化公司二季度陆续收到新产线材料订单，因此二季度营业收入环比增长30.54%，推动上半年整体营收规模保持正增长。利润层面，公司综合毛利率继续维持较好水平，上半年公司研发投入3,844.04万元，同比增长19.88%，叠加Q布新业务新增管理团队，导致研发费用及管理费用同比有所增加，再叠加美元汇率波动带来汇兑损失同比上升，多重因素共同造成上半年归母净利润同比回落。但从季度趋势来看，二季度归母净利润环比增长39.30%，公司盈利水平已呈现环比改善态势。感谢您的关注！</w:t>
            </w:r>
          </w:p>
          <w:p w14:paraId="656A28C9">
            <w:pPr>
              <w:widowControl/>
              <w:spacing w:before="50" w:line="360" w:lineRule="auto"/>
              <w:ind w:firstLine="422" w:firstLineChars="200"/>
              <w:rPr>
                <w:rFonts w:hint="default" w:ascii="Times New Roman" w:hAnsi="Times New Roman" w:eastAsia="宋体" w:cs="Times New Roman"/>
                <w:b/>
                <w:szCs w:val="21"/>
                <w:lang w:bidi="ar"/>
              </w:rPr>
            </w:pPr>
            <w:r>
              <w:rPr>
                <w:rFonts w:hint="default" w:ascii="Times New Roman" w:hAnsi="Times New Roman" w:eastAsia="宋体" w:cs="Times New Roman"/>
                <w:b/>
                <w:szCs w:val="21"/>
                <w:lang w:bidi="ar"/>
              </w:rPr>
              <w:t>问题</w:t>
            </w:r>
            <w:r>
              <w:rPr>
                <w:rFonts w:hint="default" w:ascii="Times New Roman" w:hAnsi="Times New Roman" w:eastAsia="宋体" w:cs="Times New Roman"/>
                <w:b/>
                <w:szCs w:val="21"/>
                <w:lang w:val="en-US" w:eastAsia="zh-CN" w:bidi="ar"/>
              </w:rPr>
              <w:t>2</w:t>
            </w:r>
            <w:r>
              <w:rPr>
                <w:rFonts w:hint="default" w:ascii="Times New Roman" w:hAnsi="Times New Roman" w:eastAsia="宋体" w:cs="Times New Roman"/>
                <w:b/>
                <w:szCs w:val="21"/>
                <w:lang w:bidi="ar"/>
              </w:rPr>
              <w:t>：公司的核心技术壁垒体现在哪些方面？研发投入情况如何？</w:t>
            </w:r>
          </w:p>
          <w:p w14:paraId="33708FF5">
            <w:pPr>
              <w:widowControl/>
              <w:spacing w:before="50" w:line="360" w:lineRule="auto"/>
              <w:ind w:firstLine="420" w:firstLineChars="200"/>
              <w:rPr>
                <w:rFonts w:hint="default" w:ascii="Times New Roman" w:hAnsi="Times New Roman" w:eastAsia="宋体" w:cs="Times New Roman"/>
                <w:szCs w:val="21"/>
                <w:lang w:val="en-US" w:eastAsia="zh-CN" w:bidi="ar"/>
              </w:rPr>
            </w:pPr>
            <w:r>
              <w:rPr>
                <w:rFonts w:hint="default" w:ascii="Times New Roman" w:hAnsi="Times New Roman" w:eastAsia="宋体" w:cs="Times New Roman"/>
                <w:szCs w:val="21"/>
                <w:lang w:bidi="ar"/>
              </w:rPr>
              <w:t>答：</w:t>
            </w:r>
            <w:r>
              <w:rPr>
                <w:rFonts w:hint="default" w:ascii="Times New Roman" w:hAnsi="Times New Roman" w:eastAsia="宋体" w:cs="Times New Roman"/>
                <w:lang w:val="en-US" w:eastAsia="zh-CN"/>
              </w:rPr>
              <w:t>尊敬的投资者</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您好！OLED终端材料能否达成商业应用，涉及化合物专利布局、化学结构设计、合成技术、纯度管控体系、材料物性、发光器件光电特性以及组成器件的十几种化合物的匹配性等多个关键环节，核心技术壁垒贯穿上述各个环节。材料厂商需要创造一个全新的分子结构式，该分子结构式不仅要保证材料自身性能达标，且在与其它十几种材料搭配后仍能够表现出良好的光电性能，同时还要有专利保护。不同材料开发难度的差异性主要表现在专利技术壁垒、材料性能要求、生产工艺复杂性等方面，但材料开发的技术目的一致，都是为了满足材料在OLED发光器件中对电压、发光效率和寿命以及材料匹配性等要求。公司构建了完善的核心技术体系，拥有数百项OLED终端材料自主专利，技术能力贯穿材料设计、化学合成、器件制备及性能评测等全业务链条，形成了深厚的研发储备与坚实的技术壁垒，为产品持续创新迭代、性能优化升级提供了坚实的支撑。上半年公司研发投入3,844.04万元，同比增长19.88%。感谢您的关注！</w:t>
            </w:r>
          </w:p>
          <w:p w14:paraId="626F3562">
            <w:pPr>
              <w:widowControl/>
              <w:spacing w:before="50" w:line="360" w:lineRule="auto"/>
              <w:ind w:firstLine="422" w:firstLineChars="200"/>
              <w:rPr>
                <w:rFonts w:hint="default" w:ascii="Times New Roman" w:hAnsi="Times New Roman" w:eastAsia="宋体" w:cs="Times New Roman"/>
                <w:b/>
                <w:szCs w:val="21"/>
                <w:lang w:bidi="ar"/>
              </w:rPr>
            </w:pPr>
            <w:r>
              <w:rPr>
                <w:rFonts w:hint="default" w:ascii="Times New Roman" w:hAnsi="Times New Roman" w:eastAsia="宋体" w:cs="Times New Roman"/>
                <w:b/>
                <w:szCs w:val="21"/>
                <w:lang w:bidi="ar"/>
              </w:rPr>
              <w:t>问题</w:t>
            </w:r>
            <w:r>
              <w:rPr>
                <w:rFonts w:hint="default" w:ascii="Times New Roman" w:hAnsi="Times New Roman" w:eastAsia="宋体" w:cs="Times New Roman"/>
                <w:b/>
                <w:szCs w:val="21"/>
                <w:lang w:val="en-US" w:eastAsia="zh-CN" w:bidi="ar"/>
              </w:rPr>
              <w:t>3</w:t>
            </w:r>
            <w:r>
              <w:rPr>
                <w:rFonts w:hint="default" w:ascii="Times New Roman" w:hAnsi="Times New Roman" w:eastAsia="宋体" w:cs="Times New Roman"/>
                <w:b/>
                <w:szCs w:val="21"/>
                <w:lang w:bidi="ar"/>
              </w:rPr>
              <w:t>：伴随中尺寸IT终端（如Pad、笔电）大量引入Tandem叠层OLED技术，对CGL（电荷产生层）材料的需求剧增。请问公司CGL材料目前的客户端验证到了哪个阶段？另外，行业变革性的蓝色磷光材料，公司目前是否已经具备商业化量产能力？</w:t>
            </w:r>
          </w:p>
          <w:p w14:paraId="0AF0DF7E">
            <w:pPr>
              <w:widowControl/>
              <w:spacing w:before="50" w:line="360" w:lineRule="auto"/>
              <w:ind w:firstLine="420" w:firstLineChars="200"/>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答：</w:t>
            </w:r>
            <w:r>
              <w:rPr>
                <w:rFonts w:hint="default" w:ascii="Times New Roman" w:hAnsi="Times New Roman" w:eastAsia="宋体" w:cs="Times New Roman"/>
                <w:lang w:val="en-US" w:eastAsia="zh-CN"/>
              </w:rPr>
              <w:t>尊敬的投资者，您好！公司CGL材料在客端测试性能较好，光电性能指标已基本达成，正在进行材料稳定性测试。公司正与下游面板客户就蓝色磷光材料的应用开展合作验证，相关进展将随下游产品的验证进度逐步推进。感谢您的关注！</w:t>
            </w:r>
          </w:p>
          <w:p w14:paraId="66193056">
            <w:pPr>
              <w:spacing w:before="50" w:line="360" w:lineRule="auto"/>
              <w:ind w:firstLine="422" w:firstLineChars="200"/>
              <w:rPr>
                <w:rFonts w:hint="default" w:ascii="Times New Roman" w:hAnsi="Times New Roman" w:eastAsia="宋体" w:cs="Times New Roman"/>
                <w:b/>
                <w:szCs w:val="21"/>
                <w:lang w:bidi="ar"/>
              </w:rPr>
            </w:pPr>
            <w:r>
              <w:rPr>
                <w:rFonts w:hint="default" w:ascii="Times New Roman" w:hAnsi="Times New Roman" w:eastAsia="宋体" w:cs="Times New Roman"/>
                <w:b/>
                <w:szCs w:val="21"/>
                <w:lang w:bidi="ar"/>
              </w:rPr>
              <w:t>问题</w:t>
            </w:r>
            <w:r>
              <w:rPr>
                <w:rFonts w:hint="default" w:ascii="Times New Roman" w:hAnsi="Times New Roman" w:eastAsia="宋体" w:cs="Times New Roman"/>
                <w:b/>
                <w:szCs w:val="21"/>
                <w:lang w:val="en-US" w:eastAsia="zh-CN" w:bidi="ar"/>
              </w:rPr>
              <w:t>4</w:t>
            </w:r>
            <w:r>
              <w:rPr>
                <w:rFonts w:hint="default" w:ascii="Times New Roman" w:hAnsi="Times New Roman" w:eastAsia="宋体" w:cs="Times New Roman"/>
                <w:b/>
                <w:szCs w:val="21"/>
                <w:lang w:bidi="ar"/>
              </w:rPr>
              <w:t>：</w:t>
            </w:r>
            <w:bookmarkEnd w:id="1"/>
            <w:bookmarkEnd w:id="2"/>
            <w:bookmarkStart w:id="5" w:name="OLE_LINK7"/>
            <w:r>
              <w:rPr>
                <w:rFonts w:hint="default" w:ascii="Times New Roman" w:hAnsi="Times New Roman" w:eastAsia="宋体" w:cs="Times New Roman"/>
                <w:b/>
                <w:szCs w:val="21"/>
                <w:lang w:bidi="ar"/>
              </w:rPr>
              <w:t>我们注意到公司的Red Prime、Green/Red Host材料已顺利进入京东方8.6代AMOLED产线并实现量产供货。请问随着下半年高世代线产能的持续爬坡，公司在这条产线上的材料供应份额占比大概在什么水平？下半年OLED材料业务的环比增长是否会进一步加速？</w:t>
            </w:r>
          </w:p>
          <w:p w14:paraId="5A4CBC87">
            <w:pPr>
              <w:widowControl/>
              <w:spacing w:before="50" w:line="360" w:lineRule="auto"/>
              <w:ind w:firstLine="420" w:firstLineChars="200"/>
              <w:rPr>
                <w:rFonts w:hint="default" w:ascii="Times New Roman" w:hAnsi="Times New Roman" w:eastAsia="宋体" w:cs="Times New Roman"/>
                <w:szCs w:val="21"/>
                <w:lang w:bidi="ar"/>
              </w:rPr>
            </w:pPr>
            <w:r>
              <w:rPr>
                <w:rFonts w:hint="default" w:ascii="Times New Roman" w:hAnsi="Times New Roman" w:eastAsia="宋体" w:cs="Times New Roman"/>
                <w:szCs w:val="21"/>
                <w:lang w:bidi="ar"/>
              </w:rPr>
              <w:t>答：尊敬的投资者，您好！公司Red Prime、Green Host、Red Host材料已顺利进入京东方8.6代AMOLED产线实现量产供货，并跟随客户器件更新对材料进行迭代升级，公司OLED终端材料始终跟随客户器件体系供应，预计下半年公司OLED终端材料需求有望随8.6代线放量进一步增长。感谢您的关注！</w:t>
            </w:r>
          </w:p>
          <w:p w14:paraId="71F686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szCs w:val="21"/>
                <w:lang w:bidi="ar"/>
              </w:rPr>
            </w:pPr>
            <w:r>
              <w:rPr>
                <w:rFonts w:hint="default" w:ascii="Times New Roman" w:hAnsi="Times New Roman" w:eastAsia="宋体" w:cs="Times New Roman"/>
                <w:b/>
                <w:szCs w:val="21"/>
                <w:lang w:bidi="ar"/>
              </w:rPr>
              <w:t>问题</w:t>
            </w:r>
            <w:r>
              <w:rPr>
                <w:rFonts w:hint="default" w:ascii="Times New Roman" w:hAnsi="Times New Roman" w:eastAsia="宋体" w:cs="Times New Roman"/>
                <w:b/>
                <w:szCs w:val="21"/>
                <w:lang w:val="en-US" w:eastAsia="zh-CN" w:bidi="ar"/>
              </w:rPr>
              <w:t>5</w:t>
            </w:r>
            <w:r>
              <w:rPr>
                <w:rFonts w:hint="default" w:ascii="Times New Roman" w:hAnsi="Times New Roman" w:eastAsia="宋体" w:cs="Times New Roman"/>
                <w:b/>
                <w:szCs w:val="21"/>
                <w:lang w:bidi="ar"/>
              </w:rPr>
              <w:t>：</w:t>
            </w:r>
            <w:bookmarkEnd w:id="3"/>
            <w:bookmarkEnd w:id="4"/>
            <w:bookmarkEnd w:id="5"/>
            <w:r>
              <w:rPr>
                <w:rFonts w:hint="default" w:ascii="Times New Roman" w:hAnsi="Times New Roman" w:eastAsia="宋体" w:cs="Times New Roman"/>
                <w:b/>
                <w:szCs w:val="21"/>
                <w:lang w:bidi="ar"/>
              </w:rPr>
              <w:t>管理层好，贵司控股的莱特夸石Q布（石英电子布）项目备受市场关注。目前中试线已经跑通并开展超薄电子布样品的织造评测，请问目前送样给下游高频高速覆铜板头部大厂的验证进展与反馈如何？预计何时能拿到首批实质性订单？2027年二季度实现100万米/月产能的时间表是否锁定？</w:t>
            </w:r>
          </w:p>
          <w:p w14:paraId="5F1B1E04">
            <w:pPr>
              <w:widowControl/>
              <w:spacing w:before="50" w:line="360" w:lineRule="auto"/>
              <w:ind w:firstLine="420" w:firstLineChars="200"/>
              <w:rPr>
                <w:rFonts w:hint="default" w:ascii="Times New Roman" w:hAnsi="Times New Roman" w:eastAsia="宋体" w:cs="Times New Roman"/>
                <w:color w:val="000000" w:themeColor="text1"/>
                <w:lang w:bidi="ar"/>
                <w14:textFill>
                  <w14:solidFill>
                    <w14:schemeClr w14:val="tx1"/>
                  </w14:solidFill>
                </w14:textFill>
              </w:rPr>
            </w:pPr>
            <w:r>
              <w:rPr>
                <w:rFonts w:hint="default" w:ascii="Times New Roman" w:hAnsi="Times New Roman" w:eastAsia="宋体" w:cs="Times New Roman"/>
                <w:color w:val="000000" w:themeColor="text1"/>
                <w:lang w:bidi="ar"/>
                <w14:textFill>
                  <w14:solidFill>
                    <w14:schemeClr w14:val="tx1"/>
                  </w14:solidFill>
                </w14:textFill>
              </w:rPr>
              <w:t>答：尊敬的投资者，您好！公司Q布项目各关键环节进展顺利，厂房建设加速施工，预计下半年实现全面封顶，主要生产设备已悉数完成采购，预计三季度将迎来首批设备交付安装。公司中试线已完成石英电子纱产品开发及小批量生产，并开展多种型号超薄电子布样品的织造开发及评测，目前进展顺利，预计2027年二季度可形成100万米/月的电子布产能。感谢您的关注！</w:t>
            </w:r>
          </w:p>
          <w:p w14:paraId="6FF9E59C">
            <w:pPr>
              <w:widowControl/>
              <w:spacing w:before="50" w:line="360" w:lineRule="auto"/>
              <w:ind w:firstLine="422" w:firstLineChars="200"/>
              <w:rPr>
                <w:rFonts w:hint="default" w:ascii="Times New Roman" w:hAnsi="Times New Roman" w:eastAsia="宋体" w:cs="Times New Roman"/>
                <w:b/>
                <w:szCs w:val="21"/>
                <w:lang w:bidi="ar"/>
              </w:rPr>
            </w:pPr>
            <w:r>
              <w:rPr>
                <w:rFonts w:hint="default" w:ascii="Times New Roman" w:hAnsi="Times New Roman" w:eastAsia="宋体" w:cs="Times New Roman"/>
                <w:b/>
                <w:szCs w:val="21"/>
                <w:lang w:bidi="ar"/>
              </w:rPr>
              <w:t>问题</w:t>
            </w:r>
            <w:r>
              <w:rPr>
                <w:rFonts w:hint="default" w:ascii="Times New Roman" w:hAnsi="Times New Roman" w:eastAsia="宋体" w:cs="Times New Roman"/>
                <w:b/>
                <w:szCs w:val="21"/>
                <w:lang w:val="en-US" w:eastAsia="zh-CN" w:bidi="ar"/>
              </w:rPr>
              <w:t>6</w:t>
            </w:r>
            <w:r>
              <w:rPr>
                <w:rFonts w:hint="default" w:ascii="Times New Roman" w:hAnsi="Times New Roman" w:eastAsia="宋体" w:cs="Times New Roman"/>
                <w:b/>
                <w:szCs w:val="21"/>
                <w:lang w:bidi="ar"/>
              </w:rPr>
              <w:t>：公司中长期战略定位和发展方向是什么？</w:t>
            </w:r>
          </w:p>
          <w:p w14:paraId="4CFB2AD9">
            <w:pPr>
              <w:widowControl/>
              <w:spacing w:before="50" w:line="360" w:lineRule="auto"/>
              <w:ind w:firstLine="420" w:firstLineChars="200"/>
              <w:rPr>
                <w:rFonts w:hint="default" w:ascii="Times New Roman" w:hAnsi="Times New Roman" w:eastAsia="宋体" w:cs="Times New Roman"/>
                <w:lang w:val="en-US" w:eastAsia="zh-CN"/>
              </w:rPr>
            </w:pPr>
            <w:r>
              <w:rPr>
                <w:rFonts w:hint="default" w:ascii="Times New Roman" w:hAnsi="Times New Roman" w:eastAsia="宋体" w:cs="Times New Roman"/>
                <w:color w:val="000000" w:themeColor="text1"/>
                <w:lang w:bidi="ar"/>
                <w14:textFill>
                  <w14:solidFill>
                    <w14:schemeClr w14:val="tx1"/>
                  </w14:solidFill>
                </w14:textFill>
              </w:rPr>
              <w:t>答：尊敬的投资者，您好！公司始终坚持“新材料平台型企业”的战略发展定位，在深耕、做强、做优OLED有机材料核心主业的基础上，充分依托现有技术同源性优势与产业运营管理经验，业务延伸至医药中间体、钙钛矿材料、Q布等高潜赛道，持续拓宽业务版图、丰富产品结构，培育新的业务增长点，形成“三位一体”战略发展新格局，推动公司综合行业竞争力持续提升，助力企业实现长期稳健、可持续的高质量发展。感谢您的关注！</w:t>
            </w:r>
            <w:bookmarkStart w:id="6" w:name="_GoBack"/>
            <w:bookmarkEnd w:id="6"/>
          </w:p>
        </w:tc>
      </w:tr>
      <w:tr w14:paraId="41F5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14:paraId="6C088B37">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是否涉及应当披露重大信息</w:t>
            </w:r>
          </w:p>
        </w:tc>
        <w:tc>
          <w:tcPr>
            <w:tcW w:w="8160" w:type="dxa"/>
            <w:tcBorders>
              <w:top w:val="single" w:color="auto" w:sz="4" w:space="0"/>
              <w:left w:val="single" w:color="auto" w:sz="4" w:space="0"/>
              <w:bottom w:val="single" w:color="auto" w:sz="4" w:space="0"/>
              <w:right w:val="single" w:color="auto" w:sz="4" w:space="0"/>
            </w:tcBorders>
            <w:vAlign w:val="center"/>
          </w:tcPr>
          <w:p w14:paraId="4F42992D">
            <w:pPr>
              <w:widowControl/>
              <w:spacing w:before="156" w:beforeLines="50" w:after="156" w:afterLines="50" w:line="360" w:lineRule="auto"/>
              <w:jc w:val="left"/>
              <w:rPr>
                <w:rFonts w:ascii="Times New Roman" w:hAnsi="Times New Roman" w:cs="Times New Roman"/>
                <w:sz w:val="24"/>
                <w:szCs w:val="22"/>
              </w:rPr>
            </w:pPr>
            <w:r>
              <w:rPr>
                <w:rFonts w:ascii="Times New Roman" w:hAnsi="Times New Roman" w:cs="Times New Roman"/>
                <w:sz w:val="24"/>
                <w:szCs w:val="22"/>
                <w:lang w:bidi="ar"/>
              </w:rPr>
              <w:t>否</w:t>
            </w:r>
          </w:p>
        </w:tc>
      </w:tr>
      <w:tr w14:paraId="2A64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1" w:type="dxa"/>
            <w:tcBorders>
              <w:top w:val="single" w:color="auto" w:sz="4" w:space="0"/>
              <w:left w:val="single" w:color="auto" w:sz="4" w:space="0"/>
              <w:bottom w:val="single" w:color="auto" w:sz="4" w:space="0"/>
              <w:right w:val="single" w:color="auto" w:sz="4" w:space="0"/>
            </w:tcBorders>
            <w:vAlign w:val="center"/>
          </w:tcPr>
          <w:p w14:paraId="69494DE9">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附件清单（如有）</w:t>
            </w:r>
          </w:p>
        </w:tc>
        <w:tc>
          <w:tcPr>
            <w:tcW w:w="8160" w:type="dxa"/>
            <w:tcBorders>
              <w:top w:val="single" w:color="auto" w:sz="4" w:space="0"/>
              <w:left w:val="single" w:color="auto" w:sz="4" w:space="0"/>
              <w:bottom w:val="single" w:color="auto" w:sz="4" w:space="0"/>
              <w:right w:val="single" w:color="auto" w:sz="4" w:space="0"/>
            </w:tcBorders>
            <w:vAlign w:val="center"/>
          </w:tcPr>
          <w:p w14:paraId="461F2613">
            <w:pPr>
              <w:widowControl/>
              <w:spacing w:before="156" w:beforeLines="50" w:after="156" w:afterLines="50" w:line="360" w:lineRule="auto"/>
              <w:jc w:val="left"/>
              <w:rPr>
                <w:rFonts w:hint="default" w:ascii="Times New Roman" w:hAnsi="Times New Roman" w:cs="Times New Roman" w:eastAsiaTheme="minorEastAsia"/>
                <w:sz w:val="24"/>
                <w:szCs w:val="22"/>
                <w:lang w:val="en-US" w:eastAsia="zh-CN"/>
              </w:rPr>
            </w:pPr>
            <w:r>
              <w:rPr>
                <w:rFonts w:hint="eastAsia" w:ascii="Times New Roman" w:hAnsi="Times New Roman" w:cs="Times New Roman"/>
                <w:sz w:val="24"/>
                <w:szCs w:val="22"/>
                <w:lang w:val="en-US" w:eastAsia="zh-CN"/>
              </w:rPr>
              <w:t>无</w:t>
            </w:r>
          </w:p>
        </w:tc>
      </w:tr>
      <w:tr w14:paraId="7985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191" w:type="dxa"/>
            <w:tcBorders>
              <w:top w:val="single" w:color="auto" w:sz="4" w:space="0"/>
              <w:left w:val="single" w:color="auto" w:sz="4" w:space="0"/>
              <w:bottom w:val="single" w:color="auto" w:sz="4" w:space="0"/>
              <w:right w:val="single" w:color="auto" w:sz="4" w:space="0"/>
            </w:tcBorders>
            <w:vAlign w:val="center"/>
          </w:tcPr>
          <w:p w14:paraId="7F4FFA1D">
            <w:pPr>
              <w:spacing w:line="400" w:lineRule="exact"/>
              <w:jc w:val="center"/>
              <w:rPr>
                <w:rFonts w:ascii="Times New Roman" w:hAnsi="Times New Roman" w:cs="Times New Roman"/>
                <w:b/>
                <w:bCs/>
                <w:iCs/>
                <w:sz w:val="24"/>
              </w:rPr>
            </w:pPr>
            <w:r>
              <w:rPr>
                <w:rFonts w:ascii="Times New Roman" w:hAnsi="Times New Roman" w:cs="Times New Roman"/>
                <w:b/>
                <w:bCs/>
                <w:iCs/>
                <w:sz w:val="24"/>
                <w:lang w:bidi="ar"/>
              </w:rPr>
              <w:t>日期</w:t>
            </w:r>
          </w:p>
        </w:tc>
        <w:tc>
          <w:tcPr>
            <w:tcW w:w="8160" w:type="dxa"/>
            <w:tcBorders>
              <w:top w:val="single" w:color="auto" w:sz="4" w:space="0"/>
              <w:left w:val="single" w:color="auto" w:sz="4" w:space="0"/>
              <w:bottom w:val="single" w:color="auto" w:sz="4" w:space="0"/>
              <w:right w:val="single" w:color="auto" w:sz="4" w:space="0"/>
            </w:tcBorders>
            <w:vAlign w:val="center"/>
          </w:tcPr>
          <w:p w14:paraId="5E438439">
            <w:pPr>
              <w:widowControl/>
              <w:spacing w:before="156" w:beforeLines="50" w:after="156" w:afterLines="50" w:line="360" w:lineRule="auto"/>
              <w:jc w:val="left"/>
              <w:rPr>
                <w:rFonts w:ascii="Times New Roman" w:hAnsi="Times New Roman" w:cs="Times New Roman"/>
                <w:iCs/>
                <w:sz w:val="24"/>
              </w:rPr>
            </w:pPr>
            <w:r>
              <w:rPr>
                <w:rFonts w:ascii="Times New Roman" w:hAnsi="Times New Roman" w:cs="Times New Roman"/>
                <w:bCs/>
                <w:iCs/>
                <w:sz w:val="24"/>
                <w:lang w:bidi="ar"/>
              </w:rPr>
              <w:t>202</w:t>
            </w:r>
            <w:r>
              <w:rPr>
                <w:rFonts w:hint="eastAsia" w:ascii="Times New Roman" w:hAnsi="Times New Roman" w:cs="Times New Roman"/>
                <w:bCs/>
                <w:iCs/>
                <w:sz w:val="24"/>
                <w:lang w:bidi="ar"/>
              </w:rPr>
              <w:t>6</w:t>
            </w:r>
            <w:r>
              <w:rPr>
                <w:rFonts w:ascii="Times New Roman" w:hAnsi="Times New Roman" w:cs="Times New Roman"/>
                <w:bCs/>
                <w:iCs/>
                <w:sz w:val="24"/>
                <w:lang w:bidi="ar"/>
              </w:rPr>
              <w:t>年</w:t>
            </w:r>
            <w:r>
              <w:rPr>
                <w:rFonts w:hint="eastAsia" w:ascii="Times New Roman" w:hAnsi="Times New Roman" w:cs="Times New Roman"/>
                <w:bCs/>
                <w:iCs/>
                <w:sz w:val="24"/>
                <w:lang w:val="en-US" w:eastAsia="zh-CN" w:bidi="ar"/>
              </w:rPr>
              <w:t>9</w:t>
            </w:r>
            <w:r>
              <w:rPr>
                <w:rFonts w:hint="eastAsia" w:ascii="Times New Roman" w:hAnsi="Times New Roman" w:cs="Times New Roman"/>
                <w:bCs/>
                <w:iCs/>
                <w:sz w:val="24"/>
                <w:lang w:bidi="ar"/>
              </w:rPr>
              <w:t>月</w:t>
            </w:r>
            <w:r>
              <w:rPr>
                <w:rFonts w:hint="eastAsia" w:ascii="Times New Roman" w:hAnsi="Times New Roman" w:cs="Times New Roman"/>
                <w:bCs/>
                <w:iCs/>
                <w:sz w:val="24"/>
                <w:lang w:val="en-US" w:eastAsia="zh-CN" w:bidi="ar"/>
              </w:rPr>
              <w:t>18</w:t>
            </w:r>
            <w:r>
              <w:rPr>
                <w:rFonts w:hint="eastAsia" w:ascii="Times New Roman" w:hAnsi="Times New Roman" w:cs="Times New Roman"/>
                <w:bCs/>
                <w:iCs/>
                <w:sz w:val="24"/>
                <w:lang w:bidi="ar"/>
              </w:rPr>
              <w:t>日</w:t>
            </w:r>
          </w:p>
        </w:tc>
      </w:tr>
    </w:tbl>
    <w:p w14:paraId="7888A429">
      <w:pPr>
        <w:rPr>
          <w:rFonts w:hint="eastAsia" w:ascii="Times New Roman" w:hAnsi="Times New Roman" w:cs="Times New Roman" w:eastAsiaTheme="minorEastAsia"/>
          <w:bCs/>
          <w:iCs/>
          <w:sz w:val="24"/>
          <w:lang w:val="en-US" w:eastAsia="zh-CN" w:bidi="ar"/>
        </w:rPr>
      </w:pPr>
    </w:p>
    <w:sectPr>
      <w:headerReference r:id="rId5" w:type="first"/>
      <w:footerReference r:id="rId8" w:type="first"/>
      <w:headerReference r:id="rId3" w:type="default"/>
      <w:footerReference r:id="rId6" w:type="default"/>
      <w:headerReference r:id="rId4" w:type="even"/>
      <w:footerReference r:id="rId7" w:type="even"/>
      <w:pgSz w:w="11906" w:h="16838"/>
      <w:pgMar w:top="1135" w:right="1135" w:bottom="851" w:left="113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B1E9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8B9F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0A46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0D5FD">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D8AA4">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A935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M3ODUzMWNiZTkwMWIxNGVhZWZiMWI2NDI3ZTRlZjkifQ=="/>
  </w:docVars>
  <w:rsids>
    <w:rsidRoot w:val="09ED5870"/>
    <w:rsid w:val="00003C2A"/>
    <w:rsid w:val="0000515D"/>
    <w:rsid w:val="000577C7"/>
    <w:rsid w:val="00106CC9"/>
    <w:rsid w:val="001521CD"/>
    <w:rsid w:val="0016272C"/>
    <w:rsid w:val="0016293D"/>
    <w:rsid w:val="001C4830"/>
    <w:rsid w:val="001D76C4"/>
    <w:rsid w:val="0023619C"/>
    <w:rsid w:val="00237321"/>
    <w:rsid w:val="002642CC"/>
    <w:rsid w:val="00276EFF"/>
    <w:rsid w:val="002870D4"/>
    <w:rsid w:val="002C27AD"/>
    <w:rsid w:val="002C79EC"/>
    <w:rsid w:val="002E1B69"/>
    <w:rsid w:val="00303410"/>
    <w:rsid w:val="003523A7"/>
    <w:rsid w:val="003559FE"/>
    <w:rsid w:val="003B089E"/>
    <w:rsid w:val="003D0FEC"/>
    <w:rsid w:val="003E6839"/>
    <w:rsid w:val="0042313A"/>
    <w:rsid w:val="00427AC8"/>
    <w:rsid w:val="004359D4"/>
    <w:rsid w:val="00450E4E"/>
    <w:rsid w:val="00474F3C"/>
    <w:rsid w:val="004A0AB6"/>
    <w:rsid w:val="004A0BFB"/>
    <w:rsid w:val="004A7620"/>
    <w:rsid w:val="004C0AA3"/>
    <w:rsid w:val="004C6A57"/>
    <w:rsid w:val="004D43CB"/>
    <w:rsid w:val="004D65CB"/>
    <w:rsid w:val="00536222"/>
    <w:rsid w:val="00542842"/>
    <w:rsid w:val="00561F8B"/>
    <w:rsid w:val="0060627F"/>
    <w:rsid w:val="00615A3A"/>
    <w:rsid w:val="00620A46"/>
    <w:rsid w:val="006C294A"/>
    <w:rsid w:val="006D3370"/>
    <w:rsid w:val="006E4FF9"/>
    <w:rsid w:val="006F20B2"/>
    <w:rsid w:val="007148CA"/>
    <w:rsid w:val="0073706F"/>
    <w:rsid w:val="00740C6F"/>
    <w:rsid w:val="00746C9F"/>
    <w:rsid w:val="00766A28"/>
    <w:rsid w:val="00815C71"/>
    <w:rsid w:val="008461D2"/>
    <w:rsid w:val="008544B0"/>
    <w:rsid w:val="0085639F"/>
    <w:rsid w:val="00873154"/>
    <w:rsid w:val="008D1B2D"/>
    <w:rsid w:val="008E22D5"/>
    <w:rsid w:val="008E36A7"/>
    <w:rsid w:val="008E4F51"/>
    <w:rsid w:val="0091145E"/>
    <w:rsid w:val="0093731C"/>
    <w:rsid w:val="009E75B5"/>
    <w:rsid w:val="00A134AB"/>
    <w:rsid w:val="00A5717D"/>
    <w:rsid w:val="00A84A3B"/>
    <w:rsid w:val="00AA19BA"/>
    <w:rsid w:val="00AA4350"/>
    <w:rsid w:val="00AA68F1"/>
    <w:rsid w:val="00AC6E10"/>
    <w:rsid w:val="00B13BFE"/>
    <w:rsid w:val="00B31191"/>
    <w:rsid w:val="00B606CE"/>
    <w:rsid w:val="00B81268"/>
    <w:rsid w:val="00B85029"/>
    <w:rsid w:val="00BA1720"/>
    <w:rsid w:val="00C24C9F"/>
    <w:rsid w:val="00CE1C6F"/>
    <w:rsid w:val="00CE7835"/>
    <w:rsid w:val="00D12CC8"/>
    <w:rsid w:val="00D23546"/>
    <w:rsid w:val="00D348A8"/>
    <w:rsid w:val="00D532C9"/>
    <w:rsid w:val="00D617AF"/>
    <w:rsid w:val="00D707EA"/>
    <w:rsid w:val="00D92C52"/>
    <w:rsid w:val="00DE44F3"/>
    <w:rsid w:val="00DF2C40"/>
    <w:rsid w:val="00DF4262"/>
    <w:rsid w:val="00E32B36"/>
    <w:rsid w:val="00E503E9"/>
    <w:rsid w:val="00E63C4F"/>
    <w:rsid w:val="00E83E8E"/>
    <w:rsid w:val="00EB1320"/>
    <w:rsid w:val="00ED4DFD"/>
    <w:rsid w:val="00EE0FBE"/>
    <w:rsid w:val="00EF7F9D"/>
    <w:rsid w:val="00F10F74"/>
    <w:rsid w:val="00F62C66"/>
    <w:rsid w:val="00FA5753"/>
    <w:rsid w:val="00FC49A0"/>
    <w:rsid w:val="00FF05A7"/>
    <w:rsid w:val="01082668"/>
    <w:rsid w:val="010D7DD7"/>
    <w:rsid w:val="012F41F1"/>
    <w:rsid w:val="01975CC6"/>
    <w:rsid w:val="01D83502"/>
    <w:rsid w:val="02012CA2"/>
    <w:rsid w:val="024B505A"/>
    <w:rsid w:val="02510197"/>
    <w:rsid w:val="0296107E"/>
    <w:rsid w:val="029A6F7D"/>
    <w:rsid w:val="034161C8"/>
    <w:rsid w:val="03825496"/>
    <w:rsid w:val="039C3694"/>
    <w:rsid w:val="03F31506"/>
    <w:rsid w:val="04636074"/>
    <w:rsid w:val="04D81A19"/>
    <w:rsid w:val="053022E6"/>
    <w:rsid w:val="05314A48"/>
    <w:rsid w:val="05F371F7"/>
    <w:rsid w:val="062956B3"/>
    <w:rsid w:val="06AA7B12"/>
    <w:rsid w:val="07991C98"/>
    <w:rsid w:val="08323B19"/>
    <w:rsid w:val="08BB5C63"/>
    <w:rsid w:val="094D1160"/>
    <w:rsid w:val="09D426D0"/>
    <w:rsid w:val="09ED5870"/>
    <w:rsid w:val="0A791DB6"/>
    <w:rsid w:val="0AA10DD3"/>
    <w:rsid w:val="0BDB744F"/>
    <w:rsid w:val="0C9F69A2"/>
    <w:rsid w:val="0D972EDF"/>
    <w:rsid w:val="0E245572"/>
    <w:rsid w:val="0F344D93"/>
    <w:rsid w:val="0F6807A4"/>
    <w:rsid w:val="0F692FC4"/>
    <w:rsid w:val="10376C29"/>
    <w:rsid w:val="10D95CB2"/>
    <w:rsid w:val="113B45EF"/>
    <w:rsid w:val="11C81806"/>
    <w:rsid w:val="11EB4770"/>
    <w:rsid w:val="13256902"/>
    <w:rsid w:val="134D0507"/>
    <w:rsid w:val="13E25769"/>
    <w:rsid w:val="144B713C"/>
    <w:rsid w:val="155C2C83"/>
    <w:rsid w:val="16493207"/>
    <w:rsid w:val="170D42EA"/>
    <w:rsid w:val="17FF2717"/>
    <w:rsid w:val="188A51D8"/>
    <w:rsid w:val="18B0021C"/>
    <w:rsid w:val="190A1374"/>
    <w:rsid w:val="193F7174"/>
    <w:rsid w:val="19DE010A"/>
    <w:rsid w:val="1C9117EA"/>
    <w:rsid w:val="1CCA1BB8"/>
    <w:rsid w:val="1D2B0CBD"/>
    <w:rsid w:val="1E3C591E"/>
    <w:rsid w:val="1EBB0A1A"/>
    <w:rsid w:val="1ED657E9"/>
    <w:rsid w:val="1F0625DD"/>
    <w:rsid w:val="1FCF2ABC"/>
    <w:rsid w:val="1FF22B62"/>
    <w:rsid w:val="201B227F"/>
    <w:rsid w:val="204838A0"/>
    <w:rsid w:val="206F7D0E"/>
    <w:rsid w:val="208A6C03"/>
    <w:rsid w:val="20CE712B"/>
    <w:rsid w:val="210B36E3"/>
    <w:rsid w:val="21A17A85"/>
    <w:rsid w:val="22032E04"/>
    <w:rsid w:val="23E648EC"/>
    <w:rsid w:val="242A0B1C"/>
    <w:rsid w:val="24A73237"/>
    <w:rsid w:val="24D34D10"/>
    <w:rsid w:val="24D941F5"/>
    <w:rsid w:val="250F7D12"/>
    <w:rsid w:val="25B85CB3"/>
    <w:rsid w:val="260C3E00"/>
    <w:rsid w:val="26924756"/>
    <w:rsid w:val="26AE7782"/>
    <w:rsid w:val="26C30DB4"/>
    <w:rsid w:val="279F1AD0"/>
    <w:rsid w:val="285514BC"/>
    <w:rsid w:val="29064F88"/>
    <w:rsid w:val="299D3B3E"/>
    <w:rsid w:val="29F95B61"/>
    <w:rsid w:val="29FD45DD"/>
    <w:rsid w:val="2B8F5708"/>
    <w:rsid w:val="2BDB4ABA"/>
    <w:rsid w:val="2BFF463C"/>
    <w:rsid w:val="2C8E0BFD"/>
    <w:rsid w:val="2CFC6DCE"/>
    <w:rsid w:val="2D2B320F"/>
    <w:rsid w:val="2E3A497C"/>
    <w:rsid w:val="2ECD6C74"/>
    <w:rsid w:val="2F7B66D0"/>
    <w:rsid w:val="2FAC781C"/>
    <w:rsid w:val="2FBC42F6"/>
    <w:rsid w:val="2FCF07C9"/>
    <w:rsid w:val="30191914"/>
    <w:rsid w:val="30375A1D"/>
    <w:rsid w:val="30444C19"/>
    <w:rsid w:val="31EA5447"/>
    <w:rsid w:val="31F0254C"/>
    <w:rsid w:val="329F26D5"/>
    <w:rsid w:val="32AF043E"/>
    <w:rsid w:val="32B55A55"/>
    <w:rsid w:val="32E26A66"/>
    <w:rsid w:val="3325691E"/>
    <w:rsid w:val="332E416C"/>
    <w:rsid w:val="33D939C5"/>
    <w:rsid w:val="33DB598F"/>
    <w:rsid w:val="3577566A"/>
    <w:rsid w:val="35B91294"/>
    <w:rsid w:val="35BB5A93"/>
    <w:rsid w:val="36276F9C"/>
    <w:rsid w:val="381402C8"/>
    <w:rsid w:val="39447B32"/>
    <w:rsid w:val="395B4E7C"/>
    <w:rsid w:val="39B32F0A"/>
    <w:rsid w:val="3A4122C4"/>
    <w:rsid w:val="3A4523EC"/>
    <w:rsid w:val="3A654204"/>
    <w:rsid w:val="3A7C359E"/>
    <w:rsid w:val="3A8D5509"/>
    <w:rsid w:val="3B8161B9"/>
    <w:rsid w:val="3BE21884"/>
    <w:rsid w:val="3C097A00"/>
    <w:rsid w:val="3C241E9D"/>
    <w:rsid w:val="3C4340D1"/>
    <w:rsid w:val="3C8E284B"/>
    <w:rsid w:val="3CED6733"/>
    <w:rsid w:val="3D1553DB"/>
    <w:rsid w:val="3D584C3D"/>
    <w:rsid w:val="3D595B76"/>
    <w:rsid w:val="3D9A2417"/>
    <w:rsid w:val="3E481E73"/>
    <w:rsid w:val="3EBA2649"/>
    <w:rsid w:val="3FDD6172"/>
    <w:rsid w:val="3FED4F6D"/>
    <w:rsid w:val="40F65123"/>
    <w:rsid w:val="41B62D25"/>
    <w:rsid w:val="4348021F"/>
    <w:rsid w:val="438147D1"/>
    <w:rsid w:val="442D1A71"/>
    <w:rsid w:val="447F5EC2"/>
    <w:rsid w:val="44DF1057"/>
    <w:rsid w:val="45CD0A54"/>
    <w:rsid w:val="46C866F6"/>
    <w:rsid w:val="476B4E24"/>
    <w:rsid w:val="47871694"/>
    <w:rsid w:val="47D429C9"/>
    <w:rsid w:val="47E66258"/>
    <w:rsid w:val="47E86CBB"/>
    <w:rsid w:val="47FA0BDD"/>
    <w:rsid w:val="49593FA0"/>
    <w:rsid w:val="49867CF3"/>
    <w:rsid w:val="499F0DB5"/>
    <w:rsid w:val="49B54134"/>
    <w:rsid w:val="4A5F3BCC"/>
    <w:rsid w:val="4BDC6081"/>
    <w:rsid w:val="4C69403F"/>
    <w:rsid w:val="4CC21042"/>
    <w:rsid w:val="4D1D0A5F"/>
    <w:rsid w:val="4E010709"/>
    <w:rsid w:val="4E3917D8"/>
    <w:rsid w:val="509947B0"/>
    <w:rsid w:val="50AF5D81"/>
    <w:rsid w:val="50F9524E"/>
    <w:rsid w:val="50FD4E06"/>
    <w:rsid w:val="511B6F73"/>
    <w:rsid w:val="51B31BC1"/>
    <w:rsid w:val="52162767"/>
    <w:rsid w:val="52611934"/>
    <w:rsid w:val="52B417C7"/>
    <w:rsid w:val="52CF2938"/>
    <w:rsid w:val="531E7A45"/>
    <w:rsid w:val="539B439B"/>
    <w:rsid w:val="552C5BF2"/>
    <w:rsid w:val="55387588"/>
    <w:rsid w:val="55BB2AD2"/>
    <w:rsid w:val="565969E5"/>
    <w:rsid w:val="56E524FD"/>
    <w:rsid w:val="573C35C9"/>
    <w:rsid w:val="575013A1"/>
    <w:rsid w:val="5875340D"/>
    <w:rsid w:val="58ED5175"/>
    <w:rsid w:val="59D95C1D"/>
    <w:rsid w:val="5A6C6A91"/>
    <w:rsid w:val="5A787F10"/>
    <w:rsid w:val="5B6641ED"/>
    <w:rsid w:val="5C013209"/>
    <w:rsid w:val="5C166CB5"/>
    <w:rsid w:val="5C983B6D"/>
    <w:rsid w:val="5D026789"/>
    <w:rsid w:val="5D543665"/>
    <w:rsid w:val="5E6617A9"/>
    <w:rsid w:val="5F7A2286"/>
    <w:rsid w:val="5F917744"/>
    <w:rsid w:val="602120CC"/>
    <w:rsid w:val="602364FC"/>
    <w:rsid w:val="61461FA8"/>
    <w:rsid w:val="61D13B33"/>
    <w:rsid w:val="61FE0917"/>
    <w:rsid w:val="624125B1"/>
    <w:rsid w:val="624B51DE"/>
    <w:rsid w:val="625F0BCD"/>
    <w:rsid w:val="62A06426"/>
    <w:rsid w:val="62D41677"/>
    <w:rsid w:val="64836EB1"/>
    <w:rsid w:val="649C0675"/>
    <w:rsid w:val="64A07A63"/>
    <w:rsid w:val="64FD020B"/>
    <w:rsid w:val="658824B6"/>
    <w:rsid w:val="65FE49D8"/>
    <w:rsid w:val="660B3D1D"/>
    <w:rsid w:val="668E00B5"/>
    <w:rsid w:val="66A240CC"/>
    <w:rsid w:val="674F5770"/>
    <w:rsid w:val="68A51AEC"/>
    <w:rsid w:val="696C260A"/>
    <w:rsid w:val="698B4480"/>
    <w:rsid w:val="699C3992"/>
    <w:rsid w:val="6A5512F0"/>
    <w:rsid w:val="6A8F2708"/>
    <w:rsid w:val="6AD541DF"/>
    <w:rsid w:val="6B60619E"/>
    <w:rsid w:val="6BFB1A23"/>
    <w:rsid w:val="6C150EE6"/>
    <w:rsid w:val="6C507FC1"/>
    <w:rsid w:val="6C5F20A2"/>
    <w:rsid w:val="6CF7043C"/>
    <w:rsid w:val="6D183A32"/>
    <w:rsid w:val="6D4D62AE"/>
    <w:rsid w:val="6D947F8B"/>
    <w:rsid w:val="6FDE58E3"/>
    <w:rsid w:val="70AB3BE8"/>
    <w:rsid w:val="70C66AA3"/>
    <w:rsid w:val="70ED2282"/>
    <w:rsid w:val="71016B88"/>
    <w:rsid w:val="71AF05F5"/>
    <w:rsid w:val="72874010"/>
    <w:rsid w:val="72AC0553"/>
    <w:rsid w:val="73505624"/>
    <w:rsid w:val="73B7063C"/>
    <w:rsid w:val="7411165B"/>
    <w:rsid w:val="7428537F"/>
    <w:rsid w:val="743B2FB6"/>
    <w:rsid w:val="749B50F4"/>
    <w:rsid w:val="750A09BD"/>
    <w:rsid w:val="751A15A2"/>
    <w:rsid w:val="75232716"/>
    <w:rsid w:val="753E1665"/>
    <w:rsid w:val="75F60CA4"/>
    <w:rsid w:val="76452218"/>
    <w:rsid w:val="78394CB2"/>
    <w:rsid w:val="7846246B"/>
    <w:rsid w:val="79490272"/>
    <w:rsid w:val="79654980"/>
    <w:rsid w:val="7A124B07"/>
    <w:rsid w:val="7A8E3997"/>
    <w:rsid w:val="7ADF6568"/>
    <w:rsid w:val="7B260758"/>
    <w:rsid w:val="7B4A02D1"/>
    <w:rsid w:val="7B9E6925"/>
    <w:rsid w:val="7BAF2C7A"/>
    <w:rsid w:val="7C713B8D"/>
    <w:rsid w:val="7DA1329F"/>
    <w:rsid w:val="7DDA3B8E"/>
    <w:rsid w:val="7E3F39F1"/>
    <w:rsid w:val="7EFB200E"/>
    <w:rsid w:val="7EFC7B34"/>
    <w:rsid w:val="7F083346"/>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footer"/>
    <w:basedOn w:val="1"/>
    <w:link w:val="12"/>
    <w:autoRedefine/>
    <w:qFormat/>
    <w:uiPriority w:val="0"/>
    <w:pPr>
      <w:tabs>
        <w:tab w:val="center" w:pos="4153"/>
        <w:tab w:val="right" w:pos="8306"/>
      </w:tabs>
      <w:snapToGrid w:val="0"/>
      <w:jc w:val="left"/>
    </w:pPr>
    <w:rPr>
      <w:sz w:val="18"/>
      <w:szCs w:val="18"/>
    </w:rPr>
  </w:style>
  <w:style w:type="paragraph" w:styleId="5">
    <w:name w:val="header"/>
    <w:basedOn w:val="1"/>
    <w:link w:val="11"/>
    <w:autoRedefine/>
    <w:qFormat/>
    <w:uiPriority w:val="0"/>
    <w:pP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rFonts w:cs="Times New Roman"/>
      <w:kern w:val="0"/>
      <w:sz w:val="24"/>
    </w:rPr>
  </w:style>
  <w:style w:type="character" w:styleId="9">
    <w:name w:val="Strong"/>
    <w:basedOn w:val="8"/>
    <w:autoRedefine/>
    <w:qFormat/>
    <w:uiPriority w:val="0"/>
    <w:rPr>
      <w:b/>
    </w:rPr>
  </w:style>
  <w:style w:type="character" w:styleId="10">
    <w:name w:val="Emphasis"/>
    <w:basedOn w:val="8"/>
    <w:autoRedefine/>
    <w:qFormat/>
    <w:uiPriority w:val="0"/>
    <w:rPr>
      <w:i/>
    </w:rPr>
  </w:style>
  <w:style w:type="character" w:customStyle="1" w:styleId="11">
    <w:name w:val="页眉 字符"/>
    <w:basedOn w:val="8"/>
    <w:link w:val="5"/>
    <w:autoRedefine/>
    <w:qFormat/>
    <w:uiPriority w:val="0"/>
    <w:rPr>
      <w:rFonts w:asciiTheme="minorHAnsi" w:hAnsiTheme="minorHAnsi" w:eastAsiaTheme="minorEastAsia" w:cstheme="minorBidi"/>
      <w:kern w:val="2"/>
      <w:sz w:val="18"/>
      <w:szCs w:val="18"/>
    </w:rPr>
  </w:style>
  <w:style w:type="character" w:customStyle="1" w:styleId="12">
    <w:name w:val="页脚 字符"/>
    <w:basedOn w:val="8"/>
    <w:link w:val="4"/>
    <w:autoRedefine/>
    <w:qFormat/>
    <w:uiPriority w:val="0"/>
    <w:rPr>
      <w:rFonts w:asciiTheme="minorHAnsi" w:hAnsiTheme="minorHAnsi" w:eastAsiaTheme="minorEastAsia" w:cstheme="minorBidi"/>
      <w:kern w:val="2"/>
      <w:sz w:val="18"/>
      <w:szCs w:val="18"/>
    </w:rPr>
  </w:style>
  <w:style w:type="character" w:customStyle="1" w:styleId="13">
    <w:name w:val="font41"/>
    <w:basedOn w:val="8"/>
    <w:qFormat/>
    <w:uiPriority w:val="0"/>
    <w:rPr>
      <w:rFonts w:hint="eastAsia" w:ascii="宋体" w:hAnsi="宋体" w:eastAsia="宋体" w:cs="宋体"/>
      <w:b/>
      <w:bCs/>
      <w:color w:val="000000"/>
      <w:sz w:val="22"/>
      <w:szCs w:val="22"/>
      <w:u w:val="none"/>
    </w:rPr>
  </w:style>
  <w:style w:type="character" w:customStyle="1" w:styleId="14">
    <w:name w:val="font31"/>
    <w:basedOn w:val="8"/>
    <w:qFormat/>
    <w:uiPriority w:val="0"/>
    <w:rPr>
      <w:rFonts w:hint="eastAsia" w:ascii="宋体" w:hAnsi="宋体" w:eastAsia="宋体" w:cs="宋体"/>
      <w:color w:val="000000"/>
      <w:sz w:val="22"/>
      <w:szCs w:val="22"/>
      <w:u w:val="none"/>
    </w:rPr>
  </w:style>
  <w:style w:type="character" w:customStyle="1" w:styleId="15">
    <w:name w:val="font21"/>
    <w:basedOn w:val="8"/>
    <w:qFormat/>
    <w:uiPriority w:val="0"/>
    <w:rPr>
      <w:rFonts w:hint="default" w:ascii="Times New Roman" w:hAnsi="Times New Roman" w:cs="Times New Roman"/>
      <w:color w:val="000000"/>
      <w:sz w:val="22"/>
      <w:szCs w:val="22"/>
      <w:u w:val="none"/>
    </w:rPr>
  </w:style>
  <w:style w:type="character" w:customStyle="1" w:styleId="16">
    <w:name w:val="font51"/>
    <w:basedOn w:val="8"/>
    <w:qFormat/>
    <w:uiPriority w:val="0"/>
    <w:rPr>
      <w:rFonts w:hint="eastAsia" w:ascii="宋体" w:hAnsi="宋体" w:eastAsia="宋体" w:cs="宋体"/>
      <w:b/>
      <w:bCs/>
      <w:color w:val="000000"/>
      <w:sz w:val="22"/>
      <w:szCs w:val="22"/>
      <w:u w:val="none"/>
    </w:rPr>
  </w:style>
  <w:style w:type="character" w:customStyle="1" w:styleId="17">
    <w:name w:val="font6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3</Pages>
  <Words>2100</Words>
  <Characters>2325</Characters>
  <Lines>56</Lines>
  <Paragraphs>43</Paragraphs>
  <TotalTime>142</TotalTime>
  <ScaleCrop>false</ScaleCrop>
  <LinksUpToDate>false</LinksUpToDate>
  <CharactersWithSpaces>2478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2025-08-21T10:32:00Z</dcterms:created>
  <dc:creator>张尊睿</dc:creator>
  <cp:lastModifiedBy>张尊睿</cp:lastModifiedBy>
  <cp:lastPrinted>2025-09-18T09:48:00Z</cp:lastPrinted>
  <dcterms:modified xsi:type="dcterms:W3CDTF">2026-09-18T10:02:30Z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A5CF3FC8CA284D4ABF3A70396BE2D877_13</vt:lpwstr>
  </property>
  <property fmtid="{D5CDD505-2E9C-101B-9397-08002B2CF9AE}" pid="4" name="KSOTemplateDocerSaveRecord">
    <vt:lpwstr>eyJoZGlkIjoiOTZhN2FhNjJiOGQwOGUyOWUxYjBiMDhkMmY4NjgyMzMiLCJ1c2VySWQiOiIxMDczODMxODQxIn0=</vt:lpwstr>
  </property>
</Properties>
</file>