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400" w:lineRule="exact"/>
        <w:jc w:val="left"/>
        <w:rPr>
          <w:b/>
          <w:iCs/>
          <w:color w:val="000000"/>
          <w:sz w:val="24"/>
        </w:rPr>
      </w:pPr>
      <w:r>
        <w:rPr>
          <w:rFonts w:hint="eastAsia"/>
          <w:b/>
          <w:iCs/>
          <w:color w:val="000000"/>
          <w:sz w:val="24"/>
        </w:rPr>
        <w:t>证券代码： 688805                                     证券简称：健信超导</w:t>
      </w:r>
    </w:p>
    <w:p>
      <w:pPr>
        <w:spacing w:before="156" w:beforeLines="50" w:after="156" w:afterLines="50" w:line="400" w:lineRule="exact"/>
        <w:jc w:val="center"/>
        <w:rPr>
          <w:b/>
          <w:bCs/>
          <w:iCs/>
          <w:color w:val="000000"/>
          <w:sz w:val="32"/>
          <w:szCs w:val="32"/>
        </w:rPr>
      </w:pPr>
    </w:p>
    <w:p>
      <w:pPr>
        <w:spacing w:before="156" w:beforeLines="50" w:after="156" w:afterLines="50" w:line="400" w:lineRule="exact"/>
        <w:jc w:val="center"/>
        <w:rPr>
          <w:b/>
          <w:bCs/>
          <w:iCs/>
          <w:color w:val="000000"/>
          <w:sz w:val="32"/>
          <w:szCs w:val="32"/>
        </w:rPr>
      </w:pPr>
      <w:r>
        <w:rPr>
          <w:rFonts w:hint="eastAsia"/>
          <w:b/>
          <w:bCs/>
          <w:iCs/>
          <w:color w:val="000000"/>
          <w:sz w:val="32"/>
          <w:szCs w:val="32"/>
        </w:rPr>
        <w:t>宁波健信超导科技股份有限公司</w:t>
      </w:r>
    </w:p>
    <w:p>
      <w:pPr>
        <w:spacing w:before="156" w:beforeLines="50" w:after="156" w:afterLines="50" w:line="400" w:lineRule="exact"/>
        <w:jc w:val="center"/>
        <w:rPr>
          <w:b/>
          <w:bCs/>
          <w:iCs/>
          <w:color w:val="000000"/>
          <w:sz w:val="32"/>
          <w:szCs w:val="32"/>
        </w:rPr>
      </w:pPr>
      <w:r>
        <w:rPr>
          <w:rFonts w:hint="eastAsia"/>
          <w:b/>
          <w:bCs/>
          <w:iCs/>
          <w:color w:val="000000"/>
          <w:sz w:val="32"/>
          <w:szCs w:val="32"/>
        </w:rPr>
        <w:t>投资者关系活动记录表</w:t>
      </w:r>
    </w:p>
    <w:p>
      <w:pPr>
        <w:spacing w:line="400" w:lineRule="exact"/>
        <w:jc w:val="right"/>
        <w:rPr>
          <w:rFonts w:hint="eastAsia" w:eastAsia="宋体"/>
          <w:bCs/>
          <w:iCs/>
          <w:color w:val="000000"/>
          <w:sz w:val="24"/>
          <w:highlight w:val="none"/>
          <w:lang w:val="en-US" w:eastAsia="zh-CN"/>
        </w:rPr>
      </w:pPr>
      <w:r>
        <w:rPr>
          <w:rFonts w:hint="eastAsia"/>
          <w:bCs/>
          <w:iCs/>
          <w:color w:val="000000"/>
          <w:sz w:val="24"/>
        </w:rPr>
        <w:t xml:space="preserve">                                             编号：</w:t>
      </w:r>
      <w:r>
        <w:rPr>
          <w:rFonts w:hint="eastAsia"/>
          <w:bCs/>
          <w:iCs/>
          <w:color w:val="000000"/>
          <w:sz w:val="24"/>
          <w:highlight w:val="none"/>
        </w:rPr>
        <w:t>2026-00</w:t>
      </w:r>
      <w:r>
        <w:rPr>
          <w:rFonts w:hint="eastAsia"/>
          <w:bCs/>
          <w:iCs/>
          <w:color w:val="000000"/>
          <w:sz w:val="24"/>
          <w:highlight w:val="none"/>
          <w:lang w:val="en-US" w:eastAsia="zh-CN"/>
        </w:rPr>
        <w:t>5</w:t>
      </w:r>
    </w:p>
    <w:tbl>
      <w:tblPr>
        <w:tblStyle w:val="21"/>
        <w:tblW w:w="9654"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7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1914"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投资者关系</w:t>
            </w:r>
          </w:p>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活动类别</w:t>
            </w:r>
          </w:p>
        </w:tc>
        <w:tc>
          <w:tcPr>
            <w:tcW w:w="7740" w:type="dxa"/>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ascii="Times New Roman Regular" w:hAnsi="Times New Roman Regular" w:cs="Times New Roman Regular"/>
                <w:bCs/>
                <w:iCs/>
                <w:color w:val="000000"/>
                <w:kern w:val="0"/>
                <w:sz w:val="24"/>
              </w:rPr>
            </w:pPr>
            <w:r>
              <w:rPr>
                <w:rFonts w:ascii="Times New Roman Regular" w:hAnsi="Times New Roman Regular" w:cs="Times New Roman Regular"/>
                <w:bCs/>
                <w:iCs/>
                <w:color w:val="000000"/>
                <w:kern w:val="0"/>
                <w:sz w:val="24"/>
              </w:rPr>
              <w:sym w:font="Wingdings 2" w:char="0052"/>
            </w:r>
            <w:r>
              <w:rPr>
                <w:rFonts w:ascii="Times New Roman Regular" w:hAnsi="Times New Roman Regular" w:cs="Times New Roman Regular"/>
                <w:bCs/>
                <w:iCs/>
                <w:color w:val="000000"/>
                <w:kern w:val="0"/>
                <w:sz w:val="24"/>
              </w:rPr>
              <w:t xml:space="preserve">特定对象调研        </w:t>
            </w: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分析师会议</w:t>
            </w:r>
          </w:p>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ascii="Times New Roman Regular" w:hAnsi="Times New Roman Regular" w:cs="Times New Roman Regular"/>
                <w:bCs/>
                <w:iCs/>
                <w:color w:val="000000"/>
                <w:kern w:val="0"/>
                <w:sz w:val="24"/>
              </w:rPr>
            </w:pP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 xml:space="preserve">媒体采访            </w:t>
            </w: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业绩说明会</w:t>
            </w:r>
          </w:p>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ascii="Times New Roman Regular" w:hAnsi="Times New Roman Regular" w:cs="Times New Roman Regular"/>
                <w:bCs/>
                <w:iCs/>
                <w:color w:val="000000"/>
                <w:kern w:val="0"/>
                <w:sz w:val="24"/>
              </w:rPr>
            </w:pP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 xml:space="preserve">新闻发布会          </w:t>
            </w:r>
            <w:r>
              <w:rPr>
                <w:rFonts w:ascii="Times New Roman Regular" w:hAnsi="Times New Roman Regular" w:cs="Times New Roman Regular"/>
                <w:bCs/>
                <w:iCs/>
                <w:color w:val="000000"/>
                <w:kern w:val="0"/>
                <w:sz w:val="24"/>
              </w:rPr>
              <w:sym w:font="Wingdings 2" w:char="00A3"/>
            </w:r>
            <w:r>
              <w:rPr>
                <w:rFonts w:ascii="Times New Roman Regular" w:hAnsi="Times New Roman Regular" w:cs="Times New Roman Regular"/>
                <w:bCs/>
                <w:iCs/>
                <w:color w:val="000000"/>
                <w:kern w:val="0"/>
                <w:sz w:val="24"/>
              </w:rPr>
              <w:t>路演活动</w:t>
            </w:r>
          </w:p>
          <w:p>
            <w:pPr>
              <w:keepNext w:val="0"/>
              <w:keepLines w:val="0"/>
              <w:pageBreakBefore w:val="0"/>
              <w:widowControl w:val="0"/>
              <w:tabs>
                <w:tab w:val="left" w:pos="3045"/>
                <w:tab w:val="center" w:pos="3199"/>
              </w:tabs>
              <w:kinsoku/>
              <w:wordWrap/>
              <w:overflowPunct/>
              <w:topLinePunct w:val="0"/>
              <w:autoSpaceDE/>
              <w:autoSpaceDN/>
              <w:bidi w:val="0"/>
              <w:adjustRightInd/>
              <w:snapToGrid/>
              <w:spacing w:before="79" w:beforeLines="25" w:after="79" w:afterLines="25" w:line="240" w:lineRule="auto"/>
              <w:textAlignment w:val="auto"/>
              <w:rPr>
                <w:rFonts w:hint="eastAsia" w:ascii="Times New Roman Regular" w:hAnsi="Times New Roman Regular" w:eastAsia="宋体" w:cs="Times New Roman Regular"/>
                <w:kern w:val="0"/>
                <w:sz w:val="28"/>
                <w:szCs w:val="28"/>
                <w:lang w:eastAsia="zh-CN"/>
              </w:rPr>
            </w:pPr>
            <w:r>
              <w:rPr>
                <w:rFonts w:ascii="Times New Roman Regular" w:hAnsi="Times New Roman Regular" w:cs="Times New Roman Regular"/>
                <w:bCs/>
                <w:iCs/>
                <w:color w:val="000000"/>
                <w:kern w:val="0"/>
                <w:sz w:val="24"/>
              </w:rPr>
              <w:sym w:font="Wingdings 2" w:char="0052"/>
            </w:r>
            <w:r>
              <w:rPr>
                <w:rFonts w:ascii="Times New Roman Regular" w:hAnsi="Times New Roman Regular" w:cs="Times New Roman Regular"/>
                <w:bCs/>
                <w:iCs/>
                <w:color w:val="000000"/>
                <w:kern w:val="0"/>
                <w:sz w:val="24"/>
              </w:rPr>
              <w:t>现场参观</w:t>
            </w:r>
            <w:r>
              <w:rPr>
                <w:rFonts w:hint="eastAsia" w:ascii="Times New Roman Regular" w:hAnsi="Times New Roman Regular" w:cs="Times New Roman Regular"/>
                <w:bCs/>
                <w:iCs/>
                <w:color w:val="000000"/>
                <w:kern w:val="0"/>
                <w:sz w:val="24"/>
                <w:lang w:val="en-US" w:eastAsia="zh-CN"/>
              </w:rPr>
              <w:t xml:space="preserve">            </w:t>
            </w:r>
            <w:r>
              <w:rPr>
                <w:rFonts w:ascii="Times New Roman Regular" w:hAnsi="Times New Roman Regular" w:cs="Times New Roman Regular"/>
                <w:bCs/>
                <w:iCs/>
                <w:color w:val="000000"/>
                <w:kern w:val="0"/>
                <w:sz w:val="24"/>
              </w:rPr>
              <w:sym w:font="Wingdings 2" w:char="0052"/>
            </w:r>
            <w:r>
              <w:rPr>
                <w:rFonts w:ascii="Times New Roman Regular" w:hAnsi="Times New Roman Regular" w:cs="Times New Roman Regular"/>
                <w:bCs/>
                <w:iCs/>
                <w:color w:val="000000"/>
                <w:kern w:val="0"/>
                <w:sz w:val="24"/>
              </w:rPr>
              <w:t>其他</w:t>
            </w:r>
            <w:r>
              <w:rPr>
                <w:rFonts w:hint="eastAsia" w:ascii="Times New Roman Regular" w:hAnsi="Times New Roman Regular" w:cs="Times New Roman Regular"/>
                <w:bCs/>
                <w:iCs/>
                <w:color w:val="000000"/>
                <w:kern w:val="0"/>
                <w:sz w:val="24"/>
                <w:lang w:eastAsia="zh-CN"/>
              </w:rPr>
              <w:t>（</w:t>
            </w:r>
            <w:r>
              <w:rPr>
                <w:rFonts w:hint="eastAsia" w:ascii="Times New Roman Regular" w:hAnsi="Times New Roman Regular" w:cs="Times New Roman Regular"/>
                <w:bCs/>
                <w:iCs/>
                <w:color w:val="000000"/>
                <w:kern w:val="0"/>
                <w:sz w:val="24"/>
                <w:lang w:val="en-US" w:eastAsia="zh-CN"/>
              </w:rPr>
              <w:t>电话会议</w:t>
            </w:r>
            <w:r>
              <w:rPr>
                <w:rFonts w:hint="eastAsia" w:ascii="Times New Roman Regular" w:hAnsi="Times New Roman Regular" w:cs="Times New Roman Regular"/>
                <w:bCs/>
                <w:iCs/>
                <w:color w:val="000000"/>
                <w:kern w:val="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914"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jc w:val="center"/>
              <w:textAlignment w:val="auto"/>
              <w:rPr>
                <w:rFonts w:ascii="Times New Roman" w:hAnsi="Times New Roman" w:cs="Times New Roman"/>
                <w:b/>
                <w:bCs/>
                <w:iCs/>
                <w:color w:val="000000"/>
                <w:kern w:val="0"/>
                <w:sz w:val="24"/>
              </w:rPr>
            </w:pPr>
            <w:r>
              <w:rPr>
                <w:rFonts w:ascii="Times New Roman" w:hAnsi="Times New Roman" w:cs="Times New Roman"/>
                <w:b/>
                <w:bCs/>
                <w:iCs/>
                <w:color w:val="000000"/>
                <w:kern w:val="0"/>
                <w:sz w:val="24"/>
              </w:rPr>
              <w:t>参与单位名称</w:t>
            </w:r>
          </w:p>
        </w:tc>
        <w:tc>
          <w:tcPr>
            <w:tcW w:w="7740"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hint="default" w:ascii="Times New Roman" w:hAnsi="Times New Roman"/>
                <w:color w:val="000000"/>
                <w:kern w:val="0"/>
                <w:sz w:val="24"/>
                <w:lang w:val="en-US" w:eastAsia="zh-CN"/>
              </w:rPr>
            </w:pPr>
            <w:r>
              <w:rPr>
                <w:rFonts w:hint="eastAsia"/>
                <w:sz w:val="24"/>
              </w:rPr>
              <w:t>HSBC Global Asset Management (Hong Kong) Limited</w:t>
            </w:r>
            <w:r>
              <w:rPr>
                <w:rFonts w:hint="eastAsia"/>
                <w:sz w:val="24"/>
                <w:lang w:eastAsia="zh-CN"/>
              </w:rPr>
              <w:t>（</w:t>
            </w:r>
            <w:r>
              <w:rPr>
                <w:rFonts w:hint="eastAsia"/>
                <w:sz w:val="24"/>
              </w:rPr>
              <w:t>汇丰环球投资管理(香港)有限公司</w:t>
            </w:r>
            <w:r>
              <w:rPr>
                <w:rFonts w:hint="eastAsia"/>
                <w:sz w:val="24"/>
                <w:lang w:eastAsia="zh-CN"/>
              </w:rPr>
              <w:t>）</w:t>
            </w:r>
            <w:r>
              <w:rPr>
                <w:rFonts w:hint="eastAsia"/>
                <w:sz w:val="24"/>
                <w:vertAlign w:val="baseline"/>
                <w:lang w:val="en-US" w:eastAsia="zh-CN"/>
              </w:rPr>
              <w:t>、</w:t>
            </w:r>
            <w:r>
              <w:rPr>
                <w:rFonts w:hint="eastAsia"/>
                <w:sz w:val="24"/>
              </w:rPr>
              <w:t>Morgan Stanley Investment Management Company</w:t>
            </w:r>
            <w:r>
              <w:rPr>
                <w:rFonts w:hint="eastAsia"/>
                <w:sz w:val="24"/>
                <w:vertAlign w:val="baseline"/>
                <w:lang w:val="en-US" w:eastAsia="zh-CN"/>
              </w:rPr>
              <w:t>、博远基金、长城基金、</w:t>
            </w:r>
            <w:bookmarkStart w:id="0" w:name="OLE_LINK1"/>
            <w:r>
              <w:rPr>
                <w:rFonts w:hint="eastAsia"/>
                <w:sz w:val="24"/>
                <w:vertAlign w:val="baseline"/>
                <w:lang w:val="en-US" w:eastAsia="zh-CN"/>
              </w:rPr>
              <w:t>东北证券</w:t>
            </w:r>
            <w:bookmarkEnd w:id="0"/>
            <w:r>
              <w:rPr>
                <w:rFonts w:hint="eastAsia"/>
                <w:sz w:val="24"/>
                <w:vertAlign w:val="baseline"/>
                <w:lang w:val="en-US" w:eastAsia="zh-CN"/>
              </w:rPr>
              <w:t>、东方阿尔法</w:t>
            </w:r>
            <w:r>
              <w:rPr>
                <w:rFonts w:hint="eastAsia"/>
                <w:sz w:val="24"/>
              </w:rPr>
              <w:t>基金</w:t>
            </w:r>
            <w:r>
              <w:rPr>
                <w:rFonts w:hint="eastAsia"/>
                <w:sz w:val="24"/>
                <w:vertAlign w:val="baseline"/>
                <w:lang w:val="en-US" w:eastAsia="zh-CN"/>
              </w:rPr>
              <w:t>、东方红资管、高毅资产、光大证券、广发基金、广发资管、国泰基金、国投瑞银、和谐汇一资产、</w:t>
            </w:r>
            <w:r>
              <w:rPr>
                <w:rFonts w:hint="eastAsia"/>
                <w:sz w:val="24"/>
                <w:highlight w:val="none"/>
                <w:vertAlign w:val="baseline"/>
                <w:lang w:val="en-US" w:eastAsia="zh-CN"/>
              </w:rPr>
              <w:t>泓德基金、</w:t>
            </w:r>
            <w:r>
              <w:rPr>
                <w:rFonts w:hint="eastAsia"/>
                <w:sz w:val="24"/>
              </w:rPr>
              <w:t>湖南源乘私募基金</w:t>
            </w:r>
            <w:r>
              <w:rPr>
                <w:rFonts w:hint="eastAsia"/>
                <w:sz w:val="24"/>
                <w:vertAlign w:val="baseline"/>
                <w:lang w:val="en-US" w:eastAsia="zh-CN"/>
              </w:rPr>
              <w:t>、华安基金、华宝基金、华富基金、华夏基金、华夏理财、汇丰晋信、汇添富基金、嘉实基金、建信基金、交银施罗德、巨杉资产、开源证券、宽</w:t>
            </w:r>
            <w:bookmarkStart w:id="1" w:name="_GoBack"/>
            <w:bookmarkEnd w:id="1"/>
            <w:r>
              <w:rPr>
                <w:rFonts w:hint="eastAsia"/>
                <w:sz w:val="24"/>
                <w:vertAlign w:val="baseline"/>
                <w:lang w:val="en-US" w:eastAsia="zh-CN"/>
              </w:rPr>
              <w:t>潭资本、龙马国际家族办公室、明汯投资、宁波浩越资管、宁波三登投资、宁波右峰资管、宁波泽添投资、农银汇理、平安养老保险、前海开源基金、上海丰琰投资、上海蓝墨投资、</w:t>
            </w:r>
            <w:r>
              <w:rPr>
                <w:rFonts w:hint="eastAsia"/>
                <w:sz w:val="24"/>
              </w:rPr>
              <w:t>上海益和源资管</w:t>
            </w:r>
            <w:r>
              <w:rPr>
                <w:rFonts w:hint="eastAsia"/>
                <w:sz w:val="24"/>
                <w:vertAlign w:val="baseline"/>
                <w:lang w:val="en-US" w:eastAsia="zh-CN"/>
              </w:rPr>
              <w:t>、申万菱信基金、太平养老保险、天治基金、通用技术投资、温州鹿城农商银行、信达澳亚、新华资管、银河基金、圆信永丰、</w:t>
            </w:r>
            <w:r>
              <w:rPr>
                <w:rFonts w:hint="eastAsia"/>
                <w:sz w:val="24"/>
              </w:rPr>
              <w:t>粤民投</w:t>
            </w:r>
            <w:r>
              <w:rPr>
                <w:rFonts w:hint="eastAsia"/>
                <w:sz w:val="24"/>
                <w:vertAlign w:val="baseline"/>
                <w:lang w:val="en-US" w:eastAsia="zh-CN"/>
              </w:rPr>
              <w:t>、招商基金、招银理财、浙江金永信投资、</w:t>
            </w:r>
            <w:r>
              <w:rPr>
                <w:rFonts w:hint="eastAsia"/>
                <w:sz w:val="24"/>
              </w:rPr>
              <w:t>浙江益恒</w:t>
            </w:r>
            <w:r>
              <w:rPr>
                <w:rFonts w:hint="eastAsia"/>
                <w:sz w:val="24"/>
                <w:lang w:val="en-US" w:eastAsia="zh-CN"/>
              </w:rPr>
              <w:t>投资</w:t>
            </w:r>
            <w:r>
              <w:rPr>
                <w:rFonts w:hint="eastAsia"/>
                <w:sz w:val="24"/>
                <w:vertAlign w:val="baseline"/>
                <w:lang w:val="en-US" w:eastAsia="zh-CN"/>
              </w:rPr>
              <w:t>、浙商资管、中国人寿养老保险、中信建投证券、中信证券、卓戴资本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914"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时间</w:t>
            </w:r>
          </w:p>
        </w:tc>
        <w:tc>
          <w:tcPr>
            <w:tcW w:w="7740"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hint="default" w:ascii="Times New Roman Regular" w:hAnsi="Times New Roman Regular" w:eastAsia="宋体"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rPr>
              <w:t>2026年</w:t>
            </w:r>
            <w:r>
              <w:rPr>
                <w:rFonts w:hint="eastAsia" w:ascii="Times New Roman Regular" w:hAnsi="Times New Roman Regular" w:cs="Times New Roman Regular"/>
                <w:bCs/>
                <w:iCs/>
                <w:color w:val="000000"/>
                <w:kern w:val="0"/>
                <w:sz w:val="24"/>
                <w:lang w:val="en-US" w:eastAsia="zh-CN"/>
              </w:rPr>
              <w:t>9</w:t>
            </w:r>
            <w:r>
              <w:rPr>
                <w:rFonts w:hint="eastAsia" w:ascii="Times New Roman Regular" w:hAnsi="Times New Roman Regular" w:cs="Times New Roman Regular"/>
                <w:bCs/>
                <w:iCs/>
                <w:color w:val="000000"/>
                <w:kern w:val="0"/>
                <w:sz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914"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地点</w:t>
            </w:r>
          </w:p>
        </w:tc>
        <w:tc>
          <w:tcPr>
            <w:tcW w:w="7740"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hint="default" w:ascii="Times New Roman Regular" w:hAnsi="Times New Roman Regular" w:eastAsia="宋体"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rPr>
              <w:t>公司会议室</w:t>
            </w:r>
            <w:r>
              <w:rPr>
                <w:rFonts w:hint="eastAsia" w:ascii="Times New Roman Regular" w:hAnsi="Times New Roman Regular" w:cs="Times New Roman Regular"/>
                <w:bCs/>
                <w:iCs/>
                <w:color w:val="000000"/>
                <w:kern w:val="0"/>
                <w:sz w:val="24"/>
                <w:lang w:eastAsia="zh-CN"/>
              </w:rPr>
              <w:t>，</w:t>
            </w:r>
            <w:r>
              <w:rPr>
                <w:rFonts w:hint="eastAsia" w:ascii="Times New Roman Regular" w:hAnsi="Times New Roman Regular" w:cs="Times New Roman Regular"/>
                <w:bCs/>
                <w:iCs/>
                <w:color w:val="000000"/>
                <w:kern w:val="0"/>
                <w:sz w:val="24"/>
                <w:lang w:val="en-US" w:eastAsia="zh-CN"/>
              </w:rPr>
              <w:t>现场及线上电话会议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914"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上市公司接待</w:t>
            </w:r>
          </w:p>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jc w:val="center"/>
              <w:textAlignment w:val="auto"/>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人员姓名</w:t>
            </w:r>
          </w:p>
        </w:tc>
        <w:tc>
          <w:tcPr>
            <w:tcW w:w="7740" w:type="dxa"/>
            <w:vAlign w:val="center"/>
          </w:tcPr>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hint="default" w:ascii="Times New Roman Regular" w:hAnsi="Times New Roman Regular" w:eastAsia="宋体"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lang w:val="en-US" w:eastAsia="zh-CN"/>
              </w:rPr>
              <w:t>董事、总经理：姚海锋先生</w:t>
            </w:r>
          </w:p>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ascii="Times New Roman Regular" w:hAnsi="Times New Roman Regular" w:cs="Times New Roman Regular"/>
                <w:bCs/>
                <w:iCs/>
                <w:color w:val="000000"/>
                <w:kern w:val="0"/>
                <w:sz w:val="24"/>
              </w:rPr>
            </w:pPr>
            <w:r>
              <w:rPr>
                <w:rFonts w:hint="eastAsia" w:ascii="Times New Roman Regular" w:hAnsi="Times New Roman Regular" w:cs="Times New Roman Regular"/>
                <w:bCs/>
                <w:iCs/>
                <w:color w:val="000000"/>
                <w:kern w:val="0"/>
                <w:sz w:val="24"/>
              </w:rPr>
              <w:t>董事、董事会秘书、副总经理：许卉女士</w:t>
            </w:r>
          </w:p>
          <w:p>
            <w:pPr>
              <w:keepNext w:val="0"/>
              <w:keepLines w:val="0"/>
              <w:pageBreakBefore w:val="0"/>
              <w:widowControl w:val="0"/>
              <w:kinsoku/>
              <w:wordWrap/>
              <w:overflowPunct/>
              <w:topLinePunct w:val="0"/>
              <w:autoSpaceDE/>
              <w:autoSpaceDN/>
              <w:bidi w:val="0"/>
              <w:adjustRightInd/>
              <w:snapToGrid/>
              <w:spacing w:before="79" w:beforeLines="25" w:after="79" w:afterLines="25" w:line="240" w:lineRule="auto"/>
              <w:textAlignment w:val="auto"/>
              <w:rPr>
                <w:rFonts w:ascii="Times New Roman Regular" w:hAnsi="Times New Roman Regular" w:cs="Times New Roman Regular"/>
                <w:bCs/>
                <w:iCs/>
                <w:color w:val="000000"/>
                <w:kern w:val="0"/>
                <w:sz w:val="24"/>
              </w:rPr>
            </w:pPr>
            <w:r>
              <w:rPr>
                <w:rFonts w:hint="eastAsia" w:ascii="Times New Roman Regular" w:hAnsi="Times New Roman Regular" w:cs="Times New Roman Regular"/>
                <w:bCs/>
                <w:iCs/>
                <w:color w:val="000000"/>
                <w:kern w:val="0"/>
                <w:sz w:val="24"/>
              </w:rPr>
              <w:t>证券事务代表：苏齐怡女士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914" w:type="dxa"/>
            <w:vAlign w:val="center"/>
          </w:tcPr>
          <w:p>
            <w:pPr>
              <w:spacing w:line="240" w:lineRule="auto"/>
              <w:jc w:val="center"/>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投资者关系活动主要内容介绍</w:t>
            </w:r>
          </w:p>
        </w:tc>
        <w:tc>
          <w:tcPr>
            <w:tcW w:w="7740" w:type="dxa"/>
          </w:tcPr>
          <w:p>
            <w:pPr>
              <w:keepNext w:val="0"/>
              <w:keepLines w:val="0"/>
              <w:suppressLineNumbers w:val="0"/>
              <w:spacing w:before="0" w:beforeAutospacing="0" w:after="0" w:afterAutospacing="0" w:line="480" w:lineRule="exact"/>
              <w:ind w:left="0" w:right="0"/>
              <w:rPr>
                <w:rFonts w:hint="default" w:ascii="Times New Roman" w:hAnsi="Times New Roman" w:eastAsia="宋体" w:cs="Times New Roman"/>
                <w:b/>
                <w:bCs/>
                <w:iCs/>
                <w:kern w:val="0"/>
                <w:sz w:val="24"/>
                <w:szCs w:val="24"/>
              </w:rPr>
            </w:pPr>
            <w:r>
              <w:rPr>
                <w:rFonts w:hint="default" w:ascii="Times New Roman" w:hAnsi="Times New Roman" w:eastAsia="宋体" w:cs="Times New Roman"/>
                <w:b/>
                <w:bCs/>
                <w:iCs/>
                <w:kern w:val="0"/>
                <w:sz w:val="24"/>
                <w:szCs w:val="24"/>
              </w:rPr>
              <w:t>（一）参观公司。</w:t>
            </w:r>
          </w:p>
          <w:p>
            <w:pPr>
              <w:keepNext w:val="0"/>
              <w:keepLines w:val="0"/>
              <w:suppressLineNumbers w:val="0"/>
              <w:spacing w:before="0" w:beforeAutospacing="0" w:after="0" w:afterAutospacing="0" w:line="480" w:lineRule="exact"/>
              <w:ind w:left="0" w:right="0"/>
              <w:rPr>
                <w:rFonts w:hint="default" w:ascii="Times New Roman" w:hAnsi="Times New Roman" w:eastAsia="宋体" w:cs="Times New Roman"/>
                <w:b/>
                <w:bCs/>
                <w:iCs/>
                <w:kern w:val="0"/>
                <w:sz w:val="24"/>
                <w:szCs w:val="24"/>
              </w:rPr>
            </w:pPr>
            <w:r>
              <w:rPr>
                <w:rFonts w:hint="default" w:ascii="Times New Roman" w:hAnsi="Times New Roman" w:eastAsia="宋体" w:cs="Times New Roman"/>
                <w:b/>
                <w:bCs/>
                <w:iCs/>
                <w:kern w:val="0"/>
                <w:sz w:val="24"/>
                <w:szCs w:val="24"/>
              </w:rPr>
              <w:t>（二）由</w:t>
            </w:r>
            <w:r>
              <w:rPr>
                <w:rFonts w:hint="default" w:ascii="Times New Roman" w:hAnsi="Times New Roman" w:eastAsia="宋体" w:cs="Times New Roman"/>
                <w:b/>
                <w:bCs/>
                <w:iCs/>
                <w:kern w:val="0"/>
                <w:sz w:val="24"/>
                <w:szCs w:val="24"/>
                <w:lang w:val="en-US" w:eastAsia="zh-CN"/>
              </w:rPr>
              <w:t>许卉</w:t>
            </w:r>
            <w:r>
              <w:rPr>
                <w:rFonts w:hint="eastAsia" w:cs="Times New Roman"/>
                <w:b/>
                <w:bCs/>
                <w:iCs/>
                <w:kern w:val="0"/>
                <w:sz w:val="24"/>
                <w:szCs w:val="24"/>
                <w:lang w:val="en-US" w:eastAsia="zh-CN"/>
              </w:rPr>
              <w:t>女士</w:t>
            </w:r>
            <w:r>
              <w:rPr>
                <w:rFonts w:hint="default" w:ascii="Times New Roman" w:hAnsi="Times New Roman" w:eastAsia="宋体" w:cs="Times New Roman"/>
                <w:b/>
                <w:bCs/>
                <w:iCs/>
                <w:kern w:val="0"/>
                <w:sz w:val="24"/>
                <w:szCs w:val="24"/>
              </w:rPr>
              <w:t>对公司基本情况进行介绍，包括公司主营业务、竞争优势</w:t>
            </w:r>
            <w:r>
              <w:rPr>
                <w:rFonts w:hint="default" w:ascii="Times New Roman" w:hAnsi="Times New Roman" w:eastAsia="宋体" w:cs="Times New Roman"/>
                <w:b/>
                <w:bCs/>
                <w:iCs/>
                <w:kern w:val="0"/>
                <w:sz w:val="24"/>
                <w:szCs w:val="24"/>
                <w:lang w:eastAsia="zh-CN"/>
              </w:rPr>
              <w:t>、</w:t>
            </w:r>
            <w:r>
              <w:rPr>
                <w:rFonts w:hint="default" w:ascii="Times New Roman" w:hAnsi="Times New Roman" w:eastAsia="宋体" w:cs="Times New Roman"/>
                <w:b/>
                <w:bCs/>
                <w:iCs/>
                <w:kern w:val="0"/>
                <w:sz w:val="24"/>
                <w:szCs w:val="24"/>
              </w:rPr>
              <w:t>发展规划</w:t>
            </w:r>
            <w:r>
              <w:rPr>
                <w:rFonts w:hint="default" w:ascii="Times New Roman" w:hAnsi="Times New Roman" w:eastAsia="宋体" w:cs="Times New Roman"/>
                <w:b/>
                <w:bCs/>
                <w:iCs/>
                <w:kern w:val="0"/>
                <w:sz w:val="24"/>
                <w:szCs w:val="24"/>
                <w:lang w:val="en-US" w:eastAsia="zh-CN"/>
              </w:rPr>
              <w:t>以及2026年上半年业绩</w:t>
            </w:r>
            <w:r>
              <w:rPr>
                <w:rFonts w:hint="default" w:ascii="Times New Roman" w:hAnsi="Times New Roman" w:eastAsia="宋体" w:cs="Times New Roman"/>
                <w:b/>
                <w:bCs/>
                <w:iCs/>
                <w:kern w:val="0"/>
                <w:sz w:val="24"/>
                <w:szCs w:val="24"/>
              </w:rPr>
              <w:t>情况等。</w:t>
            </w:r>
          </w:p>
          <w:p>
            <w:pPr>
              <w:keepNext w:val="0"/>
              <w:keepLines w:val="0"/>
              <w:suppressLineNumbers w:val="0"/>
              <w:spacing w:before="0" w:beforeAutospacing="0" w:after="0" w:afterAutospacing="0" w:line="480" w:lineRule="exact"/>
              <w:ind w:left="0" w:right="0"/>
              <w:rPr>
                <w:rFonts w:hint="default" w:ascii="Times New Roman" w:hAnsi="Times New Roman" w:eastAsia="宋体" w:cs="Times New Roman"/>
                <w:b/>
                <w:iCs/>
                <w:kern w:val="0"/>
                <w:sz w:val="24"/>
                <w:szCs w:val="24"/>
              </w:rPr>
            </w:pPr>
            <w:r>
              <w:rPr>
                <w:rFonts w:hint="default" w:ascii="Times New Roman" w:hAnsi="Times New Roman" w:eastAsia="宋体" w:cs="Times New Roman"/>
                <w:b/>
                <w:bCs/>
                <w:iCs/>
                <w:kern w:val="0"/>
                <w:sz w:val="24"/>
                <w:szCs w:val="24"/>
              </w:rPr>
              <w:t>（三）投资者交流</w:t>
            </w:r>
          </w:p>
          <w:p>
            <w:pPr>
              <w:numPr>
                <w:ilvl w:val="0"/>
                <w:numId w:val="1"/>
              </w:numPr>
              <w:spacing w:line="480" w:lineRule="exact"/>
              <w:rPr>
                <w:rFonts w:hint="default" w:ascii="Times New Roman" w:hAnsi="Times New Roman" w:eastAsia="宋体" w:cs="Times New Roman"/>
                <w:b/>
                <w:iCs/>
                <w:kern w:val="0"/>
                <w:sz w:val="24"/>
                <w:szCs w:val="24"/>
              </w:rPr>
            </w:pPr>
            <w:r>
              <w:rPr>
                <w:rFonts w:hint="default" w:ascii="Times New Roman" w:hAnsi="Times New Roman" w:eastAsia="宋体" w:cs="Times New Roman"/>
                <w:b/>
                <w:iCs/>
                <w:kern w:val="0"/>
                <w:sz w:val="24"/>
                <w:szCs w:val="24"/>
              </w:rPr>
              <w:t>公司2026年上半年收入、毛利率增长的原因有哪些？公司全年营业收入会保持2026年上半年的增长速度吗？</w:t>
            </w:r>
          </w:p>
          <w:p>
            <w:pPr>
              <w:spacing w:line="480" w:lineRule="exact"/>
              <w:rPr>
                <w:rFonts w:hint="default" w:ascii="Times New Roman" w:hAnsi="Times New Roman" w:eastAsia="宋体" w:cs="Times New Roman"/>
                <w:sz w:val="24"/>
                <w:szCs w:val="24"/>
                <w:lang w:val="en-US" w:eastAsia="zh-CN"/>
              </w:rPr>
            </w:pPr>
            <w:r>
              <w:rPr>
                <w:rFonts w:hint="eastAsia" w:ascii="Times New Roman Regular" w:hAnsi="Times New Roman Regular" w:cs="Times New Roman Regular"/>
                <w:iCs/>
                <w:kern w:val="0"/>
                <w:sz w:val="24"/>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公司</w:t>
            </w:r>
            <w:r>
              <w:rPr>
                <w:rFonts w:hint="default" w:ascii="Times New Roman Regular" w:hAnsi="Times New Roman Regular" w:cs="Times New Roman Regular"/>
                <w:iCs/>
                <w:kern w:val="0"/>
                <w:sz w:val="24"/>
                <w:szCs w:val="24"/>
                <w:lang w:val="en-US" w:eastAsia="zh-CN"/>
              </w:rPr>
              <w:t>2026年上半年营业收入、毛利率较上年同期均实现增长。</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营业收入增长主要得益于无液氦产品持续增长，以及全球化布局效益开始呈现；毛利率增长主要得益于产品结构的变化和新产品的进一步放量，后续随着1.5T大孔径无液氦超导磁体</w:t>
            </w:r>
            <w:r>
              <w:rPr>
                <w:rFonts w:hint="eastAsia" w:ascii="Times New Roman Regular" w:hAnsi="Times New Roman Regular" w:cs="Times New Roman Regular"/>
                <w:iCs/>
                <w:kern w:val="0"/>
                <w:sz w:val="24"/>
                <w:szCs w:val="24"/>
                <w:lang w:val="en-US" w:eastAsia="zh-CN"/>
              </w:rPr>
              <w:t>、</w:t>
            </w:r>
            <w:r>
              <w:rPr>
                <w:rFonts w:hint="default" w:ascii="Times New Roman Regular" w:hAnsi="Times New Roman Regular" w:cs="Times New Roman Regular"/>
                <w:iCs/>
                <w:kern w:val="0"/>
                <w:sz w:val="24"/>
                <w:szCs w:val="24"/>
                <w:lang w:val="en-US" w:eastAsia="zh-CN"/>
              </w:rPr>
              <w:t>3.0T零挥发少液氦超导磁体等新产品进入销售，公司毛利率有望继续提升。</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公司预计2026年全年营业收入将会保持增长趋势。无液氦产品持续增长、全球化布局效益显现以及新产品的放量，均对全年业绩产生积极影响。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p>
          <w:p>
            <w:pPr>
              <w:numPr>
                <w:ilvl w:val="0"/>
                <w:numId w:val="1"/>
              </w:numPr>
              <w:spacing w:line="480" w:lineRule="exact"/>
              <w:rPr>
                <w:rFonts w:hint="default" w:ascii="Times New Roman" w:hAnsi="Times New Roman" w:eastAsia="宋体" w:cs="Times New Roman"/>
                <w:b/>
                <w:iCs/>
                <w:kern w:val="0"/>
                <w:sz w:val="24"/>
                <w:szCs w:val="24"/>
                <w:lang w:val="en-US" w:eastAsia="zh-CN"/>
              </w:rPr>
            </w:pPr>
            <w:r>
              <w:rPr>
                <w:rFonts w:hint="default" w:ascii="Times New Roman" w:hAnsi="Times New Roman" w:eastAsia="宋体" w:cs="Times New Roman"/>
                <w:b/>
                <w:iCs/>
                <w:kern w:val="0"/>
                <w:sz w:val="24"/>
                <w:szCs w:val="24"/>
                <w:lang w:val="en-US" w:eastAsia="zh-CN"/>
              </w:rPr>
              <w:t>上半年公司无液氦收入实现较高增长，增长的主要动力是什么？目前下游客户对无液氦超导磁体的需求是什么样的趋势？公司对下半年及2027年的增长是否有预期？</w:t>
            </w:r>
          </w:p>
          <w:p>
            <w:pPr>
              <w:spacing w:line="480" w:lineRule="exact"/>
              <w:rPr>
                <w:rFonts w:hint="eastAsia" w:ascii="Times New Roman Regular" w:hAnsi="Times New Roman Regular" w:cs="Times New Roman Regular"/>
                <w:iCs/>
                <w:kern w:val="0"/>
                <w:sz w:val="24"/>
                <w:lang w:val="en-US" w:eastAsia="zh-CN"/>
              </w:rPr>
            </w:pPr>
            <w:r>
              <w:rPr>
                <w:rFonts w:hint="eastAsia" w:ascii="Times New Roman Regular" w:hAnsi="Times New Roman Regular" w:cs="Times New Roman Regular"/>
                <w:iCs/>
                <w:kern w:val="0"/>
                <w:sz w:val="24"/>
                <w:lang w:val="en-US" w:eastAsia="zh-CN"/>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无液氦收入增长主要来自两个方面：</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（1）</w:t>
            </w:r>
            <w:r>
              <w:rPr>
                <w:rFonts w:hint="default" w:ascii="Times New Roman Regular" w:hAnsi="Times New Roman Regular" w:cs="Times New Roman Regular"/>
                <w:iCs/>
                <w:kern w:val="0"/>
                <w:sz w:val="24"/>
                <w:szCs w:val="24"/>
                <w:lang w:val="en-US" w:eastAsia="zh-CN"/>
              </w:rPr>
              <w:t>客户在获得基于无液氦超导磁体的注册证后的市场拓展成效显现；</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eastAsia" w:ascii="Times New Roman Regular" w:hAnsi="Times New Roman Regular" w:cs="Times New Roman Regular"/>
                <w:iCs/>
                <w:kern w:val="0"/>
                <w:sz w:val="24"/>
                <w:szCs w:val="24"/>
                <w:lang w:val="en-US" w:eastAsia="zh-CN"/>
              </w:rPr>
              <w:t>（2）</w:t>
            </w:r>
            <w:r>
              <w:rPr>
                <w:rFonts w:hint="default" w:ascii="Times New Roman Regular" w:hAnsi="Times New Roman Regular" w:cs="Times New Roman Regular"/>
                <w:iCs/>
                <w:kern w:val="0"/>
                <w:sz w:val="24"/>
                <w:szCs w:val="24"/>
                <w:lang w:val="en-US" w:eastAsia="zh-CN"/>
              </w:rPr>
              <w:t>产品特性决定产品销售空间：在欧美日等发达国家</w:t>
            </w:r>
            <w:r>
              <w:rPr>
                <w:rFonts w:hint="eastAsia" w:ascii="Times New Roman Regular" w:hAnsi="Times New Roman Regular" w:cs="Times New Roman Regular"/>
                <w:iCs/>
                <w:kern w:val="0"/>
                <w:sz w:val="24"/>
                <w:szCs w:val="24"/>
                <w:lang w:val="en-US" w:eastAsia="zh-CN"/>
              </w:rPr>
              <w:t>，</w:t>
            </w:r>
            <w:r>
              <w:rPr>
                <w:rFonts w:hint="default" w:ascii="Times New Roman Regular" w:hAnsi="Times New Roman Regular" w:cs="Times New Roman Regular"/>
                <w:iCs/>
                <w:kern w:val="0"/>
                <w:sz w:val="24"/>
                <w:szCs w:val="24"/>
                <w:lang w:val="en-US" w:eastAsia="zh-CN"/>
              </w:rPr>
              <w:t>无液氦超导磁体符合这些国家、地区的资源可持续的政策，同时氦气属于不可再生战略资源，医疗机构出于供应链安全考量，会更多考虑摆脱外部液氦补给的设备方案</w:t>
            </w:r>
            <w:r>
              <w:rPr>
                <w:rFonts w:hint="eastAsia" w:ascii="Times New Roman Regular" w:hAnsi="Times New Roman Regular" w:cs="Times New Roman Regular"/>
                <w:iCs/>
                <w:kern w:val="0"/>
                <w:sz w:val="24"/>
                <w:szCs w:val="24"/>
                <w:lang w:val="en-US" w:eastAsia="zh-CN"/>
              </w:rPr>
              <w:t>。</w:t>
            </w:r>
            <w:r>
              <w:rPr>
                <w:rFonts w:hint="default" w:ascii="Times New Roman Regular" w:hAnsi="Times New Roman Regular" w:cs="Times New Roman Regular"/>
                <w:iCs/>
                <w:kern w:val="0"/>
                <w:sz w:val="24"/>
                <w:szCs w:val="24"/>
                <w:lang w:val="en-US" w:eastAsia="zh-CN"/>
              </w:rPr>
              <w:t>在新兴市场国家、地区</w:t>
            </w:r>
            <w:r>
              <w:rPr>
                <w:rFonts w:hint="eastAsia" w:ascii="Times New Roman Regular" w:hAnsi="Times New Roman Regular" w:cs="Times New Roman Regular"/>
                <w:iCs/>
                <w:kern w:val="0"/>
                <w:sz w:val="24"/>
                <w:szCs w:val="24"/>
                <w:lang w:val="en-US" w:eastAsia="zh-CN"/>
              </w:rPr>
              <w:t>，</w:t>
            </w:r>
            <w:r>
              <w:rPr>
                <w:rFonts w:hint="default" w:ascii="Times New Roman Regular" w:hAnsi="Times New Roman Regular" w:cs="Times New Roman Regular"/>
                <w:iCs/>
                <w:kern w:val="0"/>
                <w:sz w:val="24"/>
                <w:szCs w:val="24"/>
                <w:lang w:val="en-US" w:eastAsia="zh-CN"/>
              </w:rPr>
              <w:t>无液氦超导磁体具有无需液氦、停电后没有液氦挥发损失，失超后可自动恢复、可远程智能控制与维护的技术特点，相比较零挥发超导磁体更适应于在液氦稀缺、电网不稳定、售后维护能力不足的新兴市场国家、地区安装使用。</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就客户对无液氦超导磁体的需求，从全球趋势看：目前具备无液氦磁共振设备批量生产能力的其他2家公司，飞利浦医疗在其2026年第一季度业绩报告中提到其在2025年交付的磁共振设备中75%为无液氦磁共振设备；西门子医疗于2023年公开展望至2030年其磁共振设备产品将全面无液氦化，并于2026年第二季度业绩说明电话会披露公司全球交付磁共振设备中近半数采用无液氦磁体，同时采用无液氦磁体的设备市场占比仍在持续提升。</w:t>
            </w:r>
            <w:r>
              <w:rPr>
                <w:rFonts w:hint="eastAsia" w:ascii="Times New Roman Regular" w:hAnsi="Times New Roman Regular" w:cs="Times New Roman Regular"/>
                <w:iCs/>
                <w:kern w:val="0"/>
                <w:sz w:val="24"/>
                <w:szCs w:val="24"/>
                <w:lang w:val="en-US" w:eastAsia="zh-CN"/>
              </w:rPr>
              <w:t>所以由此看来，我们认为</w:t>
            </w:r>
            <w:r>
              <w:rPr>
                <w:rFonts w:hint="default" w:ascii="Times New Roman Regular" w:hAnsi="Times New Roman Regular" w:cs="Times New Roman Regular"/>
                <w:iCs/>
                <w:kern w:val="0"/>
                <w:sz w:val="24"/>
                <w:szCs w:val="24"/>
                <w:lang w:val="en-US" w:eastAsia="zh-CN"/>
              </w:rPr>
              <w:t>超导磁共振无液氦化是当前行业发展的趋势。</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健信超导下半年在基于全球市场拓展以及全球氦气供应链遭遇严峻冲击的影响下，进一步推动无液氦磁体的渗透速度，无液氦超导磁体需求会继续增长。</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当前公司海内外业务拓展保持良好态势，市场需求持续释放，但在手订单受客户预算、项目立项、交付周期等多重因素影响，会发生动态调整，订单向收入转化存在不确定性。部分项目受客户商业保密约束，不便披露具体规模。公司预计下半年以及2027年可继续保持增长。</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p>
          <w:p>
            <w:pPr>
              <w:numPr>
                <w:ilvl w:val="0"/>
                <w:numId w:val="1"/>
              </w:numPr>
              <w:spacing w:line="480" w:lineRule="exact"/>
              <w:rPr>
                <w:rFonts w:hint="default" w:ascii="Times New Roman" w:hAnsi="Times New Roman" w:eastAsia="宋体" w:cs="Times New Roman"/>
                <w:b/>
                <w:iCs/>
                <w:kern w:val="0"/>
                <w:sz w:val="24"/>
                <w:szCs w:val="24"/>
                <w:lang w:val="en-US" w:eastAsia="zh-CN"/>
              </w:rPr>
            </w:pPr>
            <w:r>
              <w:rPr>
                <w:rFonts w:hint="default" w:ascii="Times New Roman" w:hAnsi="Times New Roman" w:eastAsia="宋体" w:cs="Times New Roman"/>
                <w:b/>
                <w:iCs/>
                <w:kern w:val="0"/>
                <w:sz w:val="24"/>
                <w:szCs w:val="24"/>
                <w:lang w:val="en-US" w:eastAsia="zh-CN"/>
              </w:rPr>
              <w:t>液氦价格与供应链波动加剧，公司的液氦采购渠道是否稳定，是否会出现缺氦情况？液氦涨价是否对公司毛利率有影响？价格持续高位的情景下，无液氦产品对零挥发产品的替代节奏是否会加快？</w:t>
            </w:r>
          </w:p>
          <w:p>
            <w:pPr>
              <w:spacing w:line="480" w:lineRule="exact"/>
              <w:rPr>
                <w:rFonts w:hint="eastAsia" w:ascii="Times New Roman Regular" w:hAnsi="Times New Roman Regular" w:cs="Times New Roman Regular"/>
                <w:iCs/>
                <w:kern w:val="0"/>
                <w:sz w:val="24"/>
                <w:lang w:val="en-US" w:eastAsia="zh-CN"/>
              </w:rPr>
            </w:pPr>
            <w:r>
              <w:rPr>
                <w:rFonts w:hint="eastAsia" w:ascii="Times New Roman Regular" w:hAnsi="Times New Roman Regular" w:cs="Times New Roman Regular"/>
                <w:iCs/>
                <w:kern w:val="0"/>
                <w:sz w:val="24"/>
                <w:lang w:val="en-US" w:eastAsia="zh-CN"/>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公司液氦可保持稳定供应，目前看近期不会出现液氦短缺情况。</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我们与供应商有长期合作，也会根据市场情况向客户传导价格，对公司无液氦超导磁体的毛利率影响较弱。</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液氦价格上涨在逻辑上对促进无液氦超导磁体的销售增长有积极正面的影响，但磁共振这样的大型设备，客户成单周期较长，液氦涨价或缺氦对拉动无液氦超导磁体的增长有滞后性，上半年的无液氦产品收入增长来自</w:t>
            </w:r>
            <w:r>
              <w:rPr>
                <w:rFonts w:hint="eastAsia" w:ascii="Times New Roman Regular" w:hAnsi="Times New Roman Regular" w:cs="Times New Roman Regular"/>
                <w:iCs/>
                <w:kern w:val="0"/>
                <w:sz w:val="24"/>
                <w:szCs w:val="24"/>
                <w:lang w:val="en-US" w:eastAsia="zh-CN"/>
              </w:rPr>
              <w:t>既有在手</w:t>
            </w:r>
            <w:r>
              <w:rPr>
                <w:rFonts w:hint="default" w:ascii="Times New Roman Regular" w:hAnsi="Times New Roman Regular" w:cs="Times New Roman Regular"/>
                <w:iCs/>
                <w:kern w:val="0"/>
                <w:sz w:val="24"/>
                <w:szCs w:val="24"/>
                <w:lang w:val="en-US" w:eastAsia="zh-CN"/>
              </w:rPr>
              <w:t>订单。长远看，这一轮地缘冲突引起的液氦的短缺和价格上涨，在无液氦自身快速渗透、代际切换的进程中，成了进一步加速的助推剂。</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p>
          <w:p>
            <w:pPr>
              <w:numPr>
                <w:ilvl w:val="0"/>
                <w:numId w:val="1"/>
              </w:numPr>
              <w:spacing w:line="480" w:lineRule="exact"/>
              <w:rPr>
                <w:rFonts w:hint="default" w:ascii="Times New Roman" w:hAnsi="Times New Roman" w:eastAsia="宋体" w:cs="Times New Roman"/>
                <w:b/>
                <w:iCs/>
                <w:kern w:val="0"/>
                <w:sz w:val="24"/>
                <w:szCs w:val="24"/>
                <w:lang w:val="en-US" w:eastAsia="zh-CN"/>
              </w:rPr>
            </w:pPr>
            <w:r>
              <w:rPr>
                <w:rFonts w:hint="default" w:ascii="Times New Roman" w:hAnsi="Times New Roman" w:eastAsia="宋体" w:cs="Times New Roman"/>
                <w:b/>
                <w:iCs/>
                <w:kern w:val="0"/>
                <w:sz w:val="24"/>
                <w:szCs w:val="24"/>
                <w:lang w:val="en-US" w:eastAsia="zh-CN"/>
              </w:rPr>
              <w:t>未来海外交付中心的复制节奏及重点区域如何规划？</w:t>
            </w:r>
          </w:p>
          <w:p>
            <w:pPr>
              <w:spacing w:line="480" w:lineRule="exact"/>
              <w:rPr>
                <w:rFonts w:hint="eastAsia" w:ascii="Times New Roman Regular" w:hAnsi="Times New Roman Regular" w:cs="Times New Roman Regular"/>
                <w:iCs/>
                <w:kern w:val="0"/>
                <w:sz w:val="24"/>
                <w:lang w:val="en-US" w:eastAsia="zh-CN"/>
              </w:rPr>
            </w:pPr>
            <w:r>
              <w:rPr>
                <w:rFonts w:hint="eastAsia" w:ascii="Times New Roman Regular" w:hAnsi="Times New Roman Regular" w:cs="Times New Roman Regular"/>
                <w:iCs/>
                <w:kern w:val="0"/>
                <w:sz w:val="24"/>
                <w:lang w:val="en-US" w:eastAsia="zh-CN"/>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目前公司正有序推进巴西交付中心的筹建工作，已围绕当地市场需求、客户分布及供应链配套等关键要素完成系统调研，预计于今年下半年至明年上半年完成初步建设。在此基础上，公司将结合全球市场拓展节奏，对后续海外交付中心的选址与建设路径持续进行论证与规划，尤其是对于海外新兴市场。</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p>
          <w:p>
            <w:pPr>
              <w:numPr>
                <w:ilvl w:val="0"/>
                <w:numId w:val="1"/>
              </w:numPr>
              <w:spacing w:line="480" w:lineRule="exact"/>
              <w:rPr>
                <w:rFonts w:hint="default" w:ascii="Times New Roman" w:hAnsi="Times New Roman" w:eastAsia="宋体" w:cs="Times New Roman"/>
                <w:b/>
                <w:iCs/>
                <w:kern w:val="0"/>
                <w:sz w:val="24"/>
                <w:szCs w:val="24"/>
                <w:lang w:val="en-US" w:eastAsia="zh-CN"/>
              </w:rPr>
            </w:pPr>
            <w:r>
              <w:rPr>
                <w:rFonts w:hint="default" w:ascii="Times New Roman" w:hAnsi="Times New Roman" w:eastAsia="宋体" w:cs="Times New Roman"/>
                <w:b/>
                <w:iCs/>
                <w:kern w:val="0"/>
                <w:sz w:val="24"/>
                <w:szCs w:val="24"/>
                <w:lang w:val="en-US" w:eastAsia="zh-CN"/>
              </w:rPr>
              <w:t>2026年半年度报告显示前五名客户销售占比高达89.02%，客户集中度较高是否有风险？主要客户合作的粘性如何？下半年到明年，新客户拓展的预期？客户结构是否有逐步多元化的趋势？</w:t>
            </w:r>
          </w:p>
          <w:p>
            <w:pPr>
              <w:spacing w:line="480" w:lineRule="exact"/>
              <w:rPr>
                <w:rFonts w:hint="eastAsia" w:ascii="Times New Roman Regular" w:hAnsi="Times New Roman Regular" w:cs="Times New Roman Regular"/>
                <w:iCs/>
                <w:kern w:val="0"/>
                <w:sz w:val="24"/>
                <w:lang w:val="en-US" w:eastAsia="zh-CN"/>
              </w:rPr>
            </w:pPr>
            <w:r>
              <w:rPr>
                <w:rFonts w:hint="eastAsia" w:ascii="Times New Roman Regular" w:hAnsi="Times New Roman Regular" w:cs="Times New Roman Regular"/>
                <w:iCs/>
                <w:kern w:val="0"/>
                <w:sz w:val="24"/>
                <w:lang w:val="en-US" w:eastAsia="zh-CN"/>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pPr>
            <w:r>
              <w:rPr>
                <w:rFonts w:hint="default" w:ascii="Times New Roman Regular" w:hAnsi="Times New Roman Regular" w:cs="Times New Roman Regular"/>
                <w:iCs/>
                <w:kern w:val="0"/>
                <w:sz w:val="24"/>
                <w:szCs w:val="24"/>
                <w:lang w:val="en-US" w:eastAsia="zh-CN"/>
              </w:rPr>
              <w:t>公司客户集中度较高是下游行业准入门槛与集中度较高所致。MRI设备系高端医疗设备，技术复杂、准入门槛高，仅有少数企业可参与市场竞争</w:t>
            </w:r>
            <w:r>
              <w:rPr>
                <w:rFonts w:hint="eastAsia" w:ascii="Times New Roman Regular" w:hAnsi="Times New Roman Regular" w:cs="Times New Roman Regular"/>
                <w:iCs/>
                <w:kern w:val="0"/>
                <w:sz w:val="24"/>
                <w:szCs w:val="24"/>
                <w:lang w:val="en-US" w:eastAsia="zh-CN"/>
              </w:rPr>
              <w:t>。</w:t>
            </w:r>
            <w:r>
              <w:rPr>
                <w:rFonts w:hint="default" w:ascii="Times New Roman Regular" w:hAnsi="Times New Roman Regular" w:cs="Times New Roman Regular"/>
                <w:iCs/>
                <w:kern w:val="0"/>
                <w:sz w:val="24"/>
                <w:szCs w:val="24"/>
                <w:lang w:val="en-US" w:eastAsia="zh-CN"/>
              </w:rPr>
              <w:t>在超导磁共振领域，头部</w:t>
            </w:r>
            <w:r>
              <w:rPr>
                <w:rFonts w:hint="eastAsia" w:ascii="Times New Roman Regular" w:hAnsi="Times New Roman Regular" w:cs="Times New Roman Regular"/>
                <w:iCs/>
                <w:kern w:val="0"/>
                <w:sz w:val="24"/>
                <w:szCs w:val="24"/>
                <w:lang w:val="en-US" w:eastAsia="zh-CN"/>
              </w:rPr>
              <w:t>整机</w:t>
            </w:r>
            <w:r>
              <w:rPr>
                <w:rFonts w:hint="default" w:ascii="Times New Roman Regular" w:hAnsi="Times New Roman Regular" w:cs="Times New Roman Regular"/>
                <w:iCs/>
                <w:kern w:val="0"/>
                <w:sz w:val="24"/>
                <w:szCs w:val="24"/>
                <w:lang w:val="en-US" w:eastAsia="zh-CN"/>
              </w:rPr>
              <w:t>厂商GPS及联影医疗占据了80%以上的市场份额，包括富士胶片集团、万东医疗、深圳安科等公司客户在内的前十名企业几乎占据了全部市场份额；在永磁磁共振领域，富士胶片集团及百胜医疗占据了50%以上的市场份额。公司提供的磁体在技术参数、成本、整体解决方案上均有优势，帮助客户提升综合竞争力，推动了主要客户相关收入持续快速增长。此外，公司</w:t>
            </w:r>
            <w:r>
              <w:rPr>
                <w:rFonts w:hint="eastAsia" w:ascii="Times New Roman Regular" w:hAnsi="Times New Roman Regular" w:cs="Times New Roman Regular"/>
                <w:iCs/>
                <w:kern w:val="0"/>
                <w:sz w:val="24"/>
                <w:szCs w:val="24"/>
                <w:lang w:val="en-US" w:eastAsia="zh-CN"/>
              </w:rPr>
              <w:t>营业收入规模</w:t>
            </w:r>
            <w:r>
              <w:rPr>
                <w:rFonts w:hint="default" w:ascii="Times New Roman Regular" w:hAnsi="Times New Roman Regular" w:cs="Times New Roman Regular"/>
                <w:iCs/>
                <w:kern w:val="0"/>
                <w:sz w:val="24"/>
                <w:szCs w:val="24"/>
                <w:lang w:val="en-US" w:eastAsia="zh-CN"/>
              </w:rPr>
              <w:t>相对较小，</w:t>
            </w:r>
            <w:r>
              <w:rPr>
                <w:rFonts w:ascii="Segoe UI" w:hAnsi="Segoe UI" w:eastAsia="Segoe UI" w:cs="Segoe UI"/>
                <w:i w:val="0"/>
                <w:iCs w:val="0"/>
                <w:caps w:val="0"/>
                <w:spacing w:val="0"/>
                <w:sz w:val="24"/>
                <w:szCs w:val="24"/>
                <w:shd w:val="clear" w:fill="FFFFFF"/>
              </w:rPr>
              <w:t>如未来</w:t>
            </w:r>
            <w:r>
              <w:rPr>
                <w:rFonts w:hint="default" w:ascii="Times New Roman Regular" w:hAnsi="Times New Roman Regular" w:cs="Times New Roman Regular"/>
                <w:iCs/>
                <w:kern w:val="0"/>
                <w:sz w:val="24"/>
                <w:szCs w:val="24"/>
                <w:highlight w:val="none"/>
                <w:lang w:val="en-US" w:eastAsia="zh-CN"/>
              </w:rPr>
              <w:t>对主</w:t>
            </w:r>
            <w:r>
              <w:rPr>
                <w:rFonts w:hint="default" w:ascii="Times New Roman Regular" w:hAnsi="Times New Roman Regular" w:cs="Times New Roman Regular"/>
                <w:iCs/>
                <w:kern w:val="0"/>
                <w:sz w:val="24"/>
                <w:szCs w:val="24"/>
                <w:lang w:val="en-US" w:eastAsia="zh-CN"/>
              </w:rPr>
              <w:t>要客户</w:t>
            </w:r>
            <w:r>
              <w:rPr>
                <w:rFonts w:hint="eastAsia" w:ascii="Times New Roman Regular" w:hAnsi="Times New Roman Regular" w:cs="Times New Roman Regular"/>
                <w:iCs/>
                <w:kern w:val="0"/>
                <w:sz w:val="24"/>
                <w:szCs w:val="24"/>
                <w:lang w:val="en-US" w:eastAsia="zh-CN"/>
              </w:rPr>
              <w:t>的</w:t>
            </w:r>
            <w:r>
              <w:rPr>
                <w:rFonts w:hint="default" w:ascii="Times New Roman Regular" w:hAnsi="Times New Roman Regular" w:cs="Times New Roman Regular"/>
                <w:iCs/>
                <w:kern w:val="0"/>
                <w:sz w:val="24"/>
                <w:szCs w:val="24"/>
                <w:lang w:val="en-US" w:eastAsia="zh-CN"/>
              </w:rPr>
              <w:t>销售收入</w:t>
            </w:r>
            <w:r>
              <w:rPr>
                <w:rFonts w:hint="eastAsia" w:ascii="Times New Roman Regular" w:hAnsi="Times New Roman Regular" w:cs="Times New Roman Regular"/>
                <w:iCs/>
                <w:kern w:val="0"/>
                <w:sz w:val="24"/>
                <w:szCs w:val="24"/>
                <w:lang w:val="en-US" w:eastAsia="zh-CN"/>
              </w:rPr>
              <w:t>继续提升，</w:t>
            </w:r>
            <w:r>
              <w:rPr>
                <w:rFonts w:hint="default" w:ascii="Times New Roman Regular" w:hAnsi="Times New Roman Regular" w:cs="Times New Roman Regular"/>
                <w:iCs/>
                <w:kern w:val="0"/>
                <w:sz w:val="24"/>
                <w:szCs w:val="24"/>
                <w:lang w:val="en-US" w:eastAsia="zh-CN"/>
              </w:rPr>
              <w:t>客户集中度</w:t>
            </w:r>
            <w:r>
              <w:rPr>
                <w:rFonts w:hint="eastAsia" w:ascii="Times New Roman Regular" w:hAnsi="Times New Roman Regular" w:cs="Times New Roman Regular"/>
                <w:iCs/>
                <w:kern w:val="0"/>
                <w:sz w:val="24"/>
                <w:szCs w:val="24"/>
                <w:lang w:val="en-US" w:eastAsia="zh-CN"/>
              </w:rPr>
              <w:t>会</w:t>
            </w:r>
            <w:r>
              <w:rPr>
                <w:rFonts w:hint="default" w:ascii="Times New Roman Regular" w:hAnsi="Times New Roman Regular" w:cs="Times New Roman Regular"/>
                <w:iCs/>
                <w:kern w:val="0"/>
                <w:sz w:val="24"/>
                <w:szCs w:val="24"/>
                <w:lang w:val="en-US" w:eastAsia="zh-CN"/>
              </w:rPr>
              <w:t>进一步提高。</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公司与客户是互赢互利的关系，除GE外，其他主要客户所需的磁体主要由公司供应，GE与公司合作的一款1.5T零挥发超导磁体已向全球销售。</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公司将充分发挥无液氦超导磁体无失超风险、维护便捷等优势，开拓各区域本土厂商，并有效、快速地</w:t>
            </w:r>
            <w:r>
              <w:rPr>
                <w:rFonts w:hint="eastAsia" w:ascii="Times New Roman Regular" w:hAnsi="Times New Roman Regular" w:cs="Times New Roman Regular"/>
                <w:iCs/>
                <w:kern w:val="0"/>
                <w:sz w:val="24"/>
                <w:szCs w:val="24"/>
                <w:lang w:val="en-US" w:eastAsia="zh-CN"/>
              </w:rPr>
              <w:t>拓展</w:t>
            </w:r>
            <w:r>
              <w:rPr>
                <w:rFonts w:hint="default" w:ascii="Times New Roman Regular" w:hAnsi="Times New Roman Regular" w:cs="Times New Roman Regular"/>
                <w:iCs/>
                <w:kern w:val="0"/>
                <w:sz w:val="24"/>
                <w:szCs w:val="24"/>
                <w:lang w:val="en-US" w:eastAsia="zh-CN"/>
              </w:rPr>
              <w:t>市场。现阶段，产品验证、注册需要时间，新客户对下半年到明年的收入影响较弱，但后续客户结构会趋于多元化。</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p>
          <w:p>
            <w:pPr>
              <w:numPr>
                <w:ilvl w:val="0"/>
                <w:numId w:val="1"/>
              </w:numPr>
              <w:spacing w:line="480" w:lineRule="exact"/>
              <w:rPr>
                <w:rFonts w:hint="default" w:ascii="Times New Roman" w:hAnsi="Times New Roman" w:eastAsia="宋体" w:cs="Times New Roman"/>
                <w:b/>
                <w:iCs/>
                <w:kern w:val="0"/>
                <w:sz w:val="24"/>
                <w:szCs w:val="24"/>
                <w:lang w:val="en-US" w:eastAsia="zh-CN"/>
              </w:rPr>
            </w:pPr>
            <w:r>
              <w:rPr>
                <w:rFonts w:hint="default" w:ascii="Times New Roman" w:hAnsi="Times New Roman" w:eastAsia="宋体" w:cs="Times New Roman"/>
                <w:b/>
                <w:iCs/>
                <w:kern w:val="0"/>
                <w:sz w:val="24"/>
                <w:szCs w:val="24"/>
                <w:lang w:val="en-US" w:eastAsia="zh-CN"/>
              </w:rPr>
              <w:t>超导风力发电项目进展如何？商业化应用预计需要多久？公司是否已与潜在客户进行前期接触？</w:t>
            </w:r>
          </w:p>
          <w:p>
            <w:pPr>
              <w:spacing w:line="480" w:lineRule="exact"/>
              <w:rPr>
                <w:rFonts w:hint="eastAsia" w:ascii="Times New Roman Regular" w:hAnsi="Times New Roman Regular" w:cs="Times New Roman Regular"/>
                <w:iCs/>
                <w:kern w:val="0"/>
                <w:sz w:val="24"/>
                <w:lang w:val="en-US" w:eastAsia="zh-CN"/>
              </w:rPr>
            </w:pPr>
            <w:r>
              <w:rPr>
                <w:rFonts w:hint="eastAsia" w:ascii="Times New Roman Regular" w:hAnsi="Times New Roman Regular" w:cs="Times New Roman Regular"/>
                <w:iCs/>
                <w:kern w:val="0"/>
                <w:sz w:val="24"/>
                <w:lang w:val="en-US" w:eastAsia="zh-CN"/>
              </w:rPr>
              <w:t>回复：</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default" w:ascii="Times New Roman Regular" w:hAnsi="Times New Roman Regular" w:cs="Times New Roman Regular"/>
                <w:iCs/>
                <w:kern w:val="0"/>
                <w:sz w:val="24"/>
                <w:szCs w:val="24"/>
                <w:lang w:val="en-US" w:eastAsia="zh-CN"/>
              </w:rPr>
            </w:pPr>
            <w:r>
              <w:rPr>
                <w:rFonts w:hint="default" w:ascii="Times New Roman Regular" w:hAnsi="Times New Roman Regular" w:cs="Times New Roman Regular"/>
                <w:iCs/>
                <w:kern w:val="0"/>
                <w:sz w:val="24"/>
                <w:szCs w:val="24"/>
                <w:lang w:val="en-US" w:eastAsia="zh-CN"/>
              </w:rPr>
              <w:t>低温超导技术在风力发电领域的应用在原理上已得到验证，在成本可控的前提下具备技术可行性。目前公司已完成风力发电原理样机的研制并将在2026年度完成测试，2027年将开展大功率风电产品的预研。此后仍需经过样机开发、验证、工程化等阶段，距离产业化应用仍需一定时间。</w:t>
            </w:r>
          </w:p>
          <w:p>
            <w:pPr>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lang w:val="en-US" w:eastAsia="zh-CN"/>
              </w:rPr>
            </w:pPr>
            <w:r>
              <w:rPr>
                <w:rFonts w:hint="default" w:ascii="Times New Roman Regular" w:hAnsi="Times New Roman Regular" w:cs="Times New Roman Regular"/>
                <w:iCs/>
                <w:kern w:val="0"/>
                <w:sz w:val="24"/>
                <w:szCs w:val="24"/>
                <w:lang w:val="en-US" w:eastAsia="zh-CN"/>
              </w:rPr>
              <w:t>公司在项目预研前已与下游客户接洽，探讨超导风力发电的产业化可行性以及行业需求。目前研发尚处于早期阶段，公司会保持与下游用户的进一步接触与技术交流，了解客户需求，从而实现后续产品的商业化。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914" w:type="dxa"/>
            <w:vAlign w:val="center"/>
          </w:tcPr>
          <w:p>
            <w:pPr>
              <w:spacing w:line="240" w:lineRule="auto"/>
              <w:jc w:val="center"/>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附件清单</w:t>
            </w:r>
          </w:p>
          <w:p>
            <w:pPr>
              <w:spacing w:line="240" w:lineRule="auto"/>
              <w:jc w:val="center"/>
              <w:rPr>
                <w:rFonts w:ascii="Times New Roman Regular" w:hAnsi="Times New Roman Regular" w:cs="Times New Roman Regular"/>
                <w:b/>
                <w:bCs/>
                <w:iCs/>
                <w:color w:val="000000"/>
                <w:kern w:val="0"/>
                <w:sz w:val="24"/>
              </w:rPr>
            </w:pPr>
            <w:r>
              <w:rPr>
                <w:rFonts w:ascii="Times New Roman Regular" w:hAnsi="Times New Roman Regular" w:cs="Times New Roman Regular"/>
                <w:b/>
                <w:bCs/>
                <w:iCs/>
                <w:color w:val="000000"/>
                <w:kern w:val="0"/>
                <w:sz w:val="24"/>
              </w:rPr>
              <w:t>（如有）</w:t>
            </w:r>
          </w:p>
        </w:tc>
        <w:tc>
          <w:tcPr>
            <w:tcW w:w="7740" w:type="dxa"/>
          </w:tcPr>
          <w:p>
            <w:pPr>
              <w:spacing w:line="480" w:lineRule="atLeast"/>
              <w:rPr>
                <w:rFonts w:hint="default" w:ascii="Times New Roman Regular" w:hAnsi="Times New Roman Regular" w:eastAsia="宋体" w:cs="Times New Roman Regular"/>
                <w:bCs/>
                <w:iCs/>
                <w:color w:val="000000"/>
                <w:kern w:val="0"/>
                <w:sz w:val="24"/>
                <w:lang w:val="en-US" w:eastAsia="zh-CN"/>
              </w:rPr>
            </w:pPr>
            <w:r>
              <w:rPr>
                <w:rFonts w:hint="eastAsia" w:ascii="Times New Roman Regular" w:hAnsi="Times New Roman Regular" w:cs="Times New Roman Regular"/>
                <w:bCs/>
                <w:iCs/>
                <w:color w:val="000000"/>
                <w:kern w:val="0"/>
                <w:sz w:val="24"/>
                <w:lang w:val="en-US" w:eastAsia="zh-CN"/>
              </w:rPr>
              <w:t>无</w:t>
            </w:r>
          </w:p>
        </w:tc>
      </w:tr>
    </w:tbl>
    <w:p>
      <w:pPr>
        <w:rPr>
          <w:rFonts w:hint="eastAsia"/>
        </w:rPr>
      </w:pPr>
      <w:r>
        <w:rPr>
          <w:rFonts w:hint="eastAsia"/>
        </w:rPr>
        <w:t>注：公司严格遵守信息披露相关规则与投资者进行交流，如涉及公司战略规划等意向性目标，不能视为公司或管理层对公司业绩的保证或承诺，敬请广大投资者注意投资风险。</w:t>
      </w:r>
    </w:p>
    <w:p>
      <w:pPr>
        <w:rPr>
          <w:rFonts w:hint="eastAsia"/>
          <w:lang w:val="en-US" w:eastAsia="zh-CN"/>
        </w:rPr>
      </w:pPr>
    </w:p>
    <w:sectPr>
      <w:footerReference r:id="rId3" w:type="default"/>
      <w:pgSz w:w="11906" w:h="16838"/>
      <w:pgMar w:top="1418" w:right="1588" w:bottom="1418" w:left="1588" w:header="737" w:footer="73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 New Roman Regular">
    <w:altName w:val="Times New Roman"/>
    <w:panose1 w:val="00000000000000000000"/>
    <w:charset w:val="00"/>
    <w:family w:val="auto"/>
    <w:pitch w:val="default"/>
    <w:sig w:usb0="00000000" w:usb1="00000000" w:usb2="00000001" w:usb3="00000000" w:csb0="400001BF" w:csb1="DFF7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749084"/>
    </w:sdtPr>
    <w:sdtContent>
      <w:p>
        <w:pPr>
          <w:pStyle w:val="14"/>
          <w:jc w:val="center"/>
        </w:pPr>
        <w:r>
          <w:fldChar w:fldCharType="begin"/>
        </w:r>
        <w:r>
          <w:instrText xml:space="preserve">PAGE   \* MERGEFORMAT</w:instrText>
        </w:r>
        <w:r>
          <w:fldChar w:fldCharType="separate"/>
        </w:r>
        <w:r>
          <w:rPr>
            <w:lang w:val="zh-CN"/>
          </w:rPr>
          <w:t>8</w:t>
        </w:r>
        <w:r>
          <w:rPr>
            <w:lang w:val="zh-CN"/>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A03F3"/>
    <w:multiLevelType w:val="singleLevel"/>
    <w:tmpl w:val="2AFA03F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6C7"/>
    <w:rsid w:val="00004FC7"/>
    <w:rsid w:val="00006B9E"/>
    <w:rsid w:val="00010D6C"/>
    <w:rsid w:val="00011067"/>
    <w:rsid w:val="00012411"/>
    <w:rsid w:val="00014AAC"/>
    <w:rsid w:val="00015ECF"/>
    <w:rsid w:val="00017DD3"/>
    <w:rsid w:val="00022441"/>
    <w:rsid w:val="00022AC0"/>
    <w:rsid w:val="00027F1A"/>
    <w:rsid w:val="00030A1E"/>
    <w:rsid w:val="00032012"/>
    <w:rsid w:val="00032385"/>
    <w:rsid w:val="0003382A"/>
    <w:rsid w:val="00036F4F"/>
    <w:rsid w:val="00042867"/>
    <w:rsid w:val="00042B4B"/>
    <w:rsid w:val="00042BFF"/>
    <w:rsid w:val="000432FC"/>
    <w:rsid w:val="00043502"/>
    <w:rsid w:val="0004413F"/>
    <w:rsid w:val="00044AFF"/>
    <w:rsid w:val="00051503"/>
    <w:rsid w:val="0005420E"/>
    <w:rsid w:val="00055894"/>
    <w:rsid w:val="00055B7C"/>
    <w:rsid w:val="000609C2"/>
    <w:rsid w:val="00063CCD"/>
    <w:rsid w:val="0006540A"/>
    <w:rsid w:val="00065BB2"/>
    <w:rsid w:val="00071061"/>
    <w:rsid w:val="000725DE"/>
    <w:rsid w:val="000734C0"/>
    <w:rsid w:val="000735EB"/>
    <w:rsid w:val="0007415D"/>
    <w:rsid w:val="000768B5"/>
    <w:rsid w:val="00077C64"/>
    <w:rsid w:val="00087991"/>
    <w:rsid w:val="00091177"/>
    <w:rsid w:val="00096876"/>
    <w:rsid w:val="0009747A"/>
    <w:rsid w:val="000A2B56"/>
    <w:rsid w:val="000A3993"/>
    <w:rsid w:val="000A44C8"/>
    <w:rsid w:val="000A7740"/>
    <w:rsid w:val="000A7E76"/>
    <w:rsid w:val="000A7F2A"/>
    <w:rsid w:val="000B0D1E"/>
    <w:rsid w:val="000B5782"/>
    <w:rsid w:val="000B7C9F"/>
    <w:rsid w:val="000B7D7F"/>
    <w:rsid w:val="000C004D"/>
    <w:rsid w:val="000C1F26"/>
    <w:rsid w:val="000C31F3"/>
    <w:rsid w:val="000C50A5"/>
    <w:rsid w:val="000C715B"/>
    <w:rsid w:val="000C73A6"/>
    <w:rsid w:val="000D1D29"/>
    <w:rsid w:val="000D24EC"/>
    <w:rsid w:val="000D2E9C"/>
    <w:rsid w:val="000D3019"/>
    <w:rsid w:val="000D46BF"/>
    <w:rsid w:val="000D632C"/>
    <w:rsid w:val="000D75D2"/>
    <w:rsid w:val="000E3251"/>
    <w:rsid w:val="000E3D61"/>
    <w:rsid w:val="000E7489"/>
    <w:rsid w:val="000F150C"/>
    <w:rsid w:val="000F6CC0"/>
    <w:rsid w:val="000F7B8F"/>
    <w:rsid w:val="001000F8"/>
    <w:rsid w:val="00100E6F"/>
    <w:rsid w:val="001040C8"/>
    <w:rsid w:val="001103FC"/>
    <w:rsid w:val="0011041C"/>
    <w:rsid w:val="0011137E"/>
    <w:rsid w:val="001114FA"/>
    <w:rsid w:val="00112B2D"/>
    <w:rsid w:val="00113E8C"/>
    <w:rsid w:val="00114547"/>
    <w:rsid w:val="00116063"/>
    <w:rsid w:val="001170AE"/>
    <w:rsid w:val="0011799B"/>
    <w:rsid w:val="00125121"/>
    <w:rsid w:val="001263DD"/>
    <w:rsid w:val="001266AE"/>
    <w:rsid w:val="00127582"/>
    <w:rsid w:val="00130A4A"/>
    <w:rsid w:val="001315E2"/>
    <w:rsid w:val="001339B9"/>
    <w:rsid w:val="00133B97"/>
    <w:rsid w:val="00135560"/>
    <w:rsid w:val="00142D61"/>
    <w:rsid w:val="00143091"/>
    <w:rsid w:val="001462B5"/>
    <w:rsid w:val="00146D76"/>
    <w:rsid w:val="00153F8D"/>
    <w:rsid w:val="001540E5"/>
    <w:rsid w:val="001571F7"/>
    <w:rsid w:val="00157813"/>
    <w:rsid w:val="00162052"/>
    <w:rsid w:val="00163FF4"/>
    <w:rsid w:val="001722FA"/>
    <w:rsid w:val="0017312A"/>
    <w:rsid w:val="0017337A"/>
    <w:rsid w:val="001741BD"/>
    <w:rsid w:val="0018061E"/>
    <w:rsid w:val="00182FEA"/>
    <w:rsid w:val="001846E4"/>
    <w:rsid w:val="00185DE2"/>
    <w:rsid w:val="0018795E"/>
    <w:rsid w:val="0019197C"/>
    <w:rsid w:val="00193697"/>
    <w:rsid w:val="001936B3"/>
    <w:rsid w:val="00197171"/>
    <w:rsid w:val="001A0861"/>
    <w:rsid w:val="001A1777"/>
    <w:rsid w:val="001A1E7C"/>
    <w:rsid w:val="001B0B2A"/>
    <w:rsid w:val="001B26D2"/>
    <w:rsid w:val="001B793B"/>
    <w:rsid w:val="001B7FE2"/>
    <w:rsid w:val="001C1BE6"/>
    <w:rsid w:val="001C36CB"/>
    <w:rsid w:val="001C6C78"/>
    <w:rsid w:val="001C70CF"/>
    <w:rsid w:val="001D1166"/>
    <w:rsid w:val="001D14B1"/>
    <w:rsid w:val="001D2E33"/>
    <w:rsid w:val="001D5755"/>
    <w:rsid w:val="001D5DC9"/>
    <w:rsid w:val="001E2B23"/>
    <w:rsid w:val="001E4A65"/>
    <w:rsid w:val="001E570E"/>
    <w:rsid w:val="001F48A2"/>
    <w:rsid w:val="001F5038"/>
    <w:rsid w:val="001F542C"/>
    <w:rsid w:val="001F6503"/>
    <w:rsid w:val="001F79E9"/>
    <w:rsid w:val="00200E38"/>
    <w:rsid w:val="00204195"/>
    <w:rsid w:val="002064F1"/>
    <w:rsid w:val="00207E26"/>
    <w:rsid w:val="00210871"/>
    <w:rsid w:val="00210A68"/>
    <w:rsid w:val="00211AC6"/>
    <w:rsid w:val="00212000"/>
    <w:rsid w:val="00216191"/>
    <w:rsid w:val="002168A6"/>
    <w:rsid w:val="00221531"/>
    <w:rsid w:val="00221976"/>
    <w:rsid w:val="00222AB0"/>
    <w:rsid w:val="00223D7D"/>
    <w:rsid w:val="002241F6"/>
    <w:rsid w:val="00224BB3"/>
    <w:rsid w:val="0022542F"/>
    <w:rsid w:val="002275EF"/>
    <w:rsid w:val="00227F02"/>
    <w:rsid w:val="00232E2E"/>
    <w:rsid w:val="00233604"/>
    <w:rsid w:val="0023419A"/>
    <w:rsid w:val="00235BF3"/>
    <w:rsid w:val="00235FC8"/>
    <w:rsid w:val="00237F41"/>
    <w:rsid w:val="00241D77"/>
    <w:rsid w:val="0024436C"/>
    <w:rsid w:val="00244CF2"/>
    <w:rsid w:val="00244DF7"/>
    <w:rsid w:val="00245EC3"/>
    <w:rsid w:val="00247308"/>
    <w:rsid w:val="0025085A"/>
    <w:rsid w:val="002548DF"/>
    <w:rsid w:val="00260393"/>
    <w:rsid w:val="002629A4"/>
    <w:rsid w:val="00263F1D"/>
    <w:rsid w:val="0026507A"/>
    <w:rsid w:val="00265AE8"/>
    <w:rsid w:val="0027073E"/>
    <w:rsid w:val="002749B2"/>
    <w:rsid w:val="00276D48"/>
    <w:rsid w:val="0027743C"/>
    <w:rsid w:val="00283161"/>
    <w:rsid w:val="00284B1A"/>
    <w:rsid w:val="002874D4"/>
    <w:rsid w:val="00287B0D"/>
    <w:rsid w:val="00287CA7"/>
    <w:rsid w:val="00291D56"/>
    <w:rsid w:val="00294FD1"/>
    <w:rsid w:val="002976E2"/>
    <w:rsid w:val="00297F85"/>
    <w:rsid w:val="002A2757"/>
    <w:rsid w:val="002A2E36"/>
    <w:rsid w:val="002A547D"/>
    <w:rsid w:val="002A7A74"/>
    <w:rsid w:val="002C0ADA"/>
    <w:rsid w:val="002C2B0F"/>
    <w:rsid w:val="002C4561"/>
    <w:rsid w:val="002C486B"/>
    <w:rsid w:val="002C7D7F"/>
    <w:rsid w:val="002D2329"/>
    <w:rsid w:val="002D2780"/>
    <w:rsid w:val="002D3ED8"/>
    <w:rsid w:val="002D53D5"/>
    <w:rsid w:val="002D54A4"/>
    <w:rsid w:val="002D577E"/>
    <w:rsid w:val="002D5E29"/>
    <w:rsid w:val="002D6782"/>
    <w:rsid w:val="002D733F"/>
    <w:rsid w:val="002D7F7A"/>
    <w:rsid w:val="002E0649"/>
    <w:rsid w:val="002E17EE"/>
    <w:rsid w:val="002E2069"/>
    <w:rsid w:val="002E4028"/>
    <w:rsid w:val="002E5506"/>
    <w:rsid w:val="002E6290"/>
    <w:rsid w:val="002F0E34"/>
    <w:rsid w:val="003030F8"/>
    <w:rsid w:val="00303817"/>
    <w:rsid w:val="003039CC"/>
    <w:rsid w:val="003114E7"/>
    <w:rsid w:val="00311742"/>
    <w:rsid w:val="00311867"/>
    <w:rsid w:val="0031235D"/>
    <w:rsid w:val="0031245B"/>
    <w:rsid w:val="00316805"/>
    <w:rsid w:val="0032119F"/>
    <w:rsid w:val="00322D64"/>
    <w:rsid w:val="00324BD4"/>
    <w:rsid w:val="00330EA3"/>
    <w:rsid w:val="00332490"/>
    <w:rsid w:val="00333D14"/>
    <w:rsid w:val="00335139"/>
    <w:rsid w:val="00337B46"/>
    <w:rsid w:val="00340EA1"/>
    <w:rsid w:val="0034217C"/>
    <w:rsid w:val="00344810"/>
    <w:rsid w:val="003469EA"/>
    <w:rsid w:val="00346B24"/>
    <w:rsid w:val="0035008D"/>
    <w:rsid w:val="00350BC4"/>
    <w:rsid w:val="00352867"/>
    <w:rsid w:val="003549D9"/>
    <w:rsid w:val="0035765A"/>
    <w:rsid w:val="00360BF3"/>
    <w:rsid w:val="0037125C"/>
    <w:rsid w:val="00373D4B"/>
    <w:rsid w:val="003770F0"/>
    <w:rsid w:val="00377E26"/>
    <w:rsid w:val="0038206D"/>
    <w:rsid w:val="00382B27"/>
    <w:rsid w:val="003859C6"/>
    <w:rsid w:val="003955FD"/>
    <w:rsid w:val="003965FC"/>
    <w:rsid w:val="003975A5"/>
    <w:rsid w:val="003A0CDF"/>
    <w:rsid w:val="003A30A9"/>
    <w:rsid w:val="003A4978"/>
    <w:rsid w:val="003A4EDD"/>
    <w:rsid w:val="003A5D67"/>
    <w:rsid w:val="003A5D9D"/>
    <w:rsid w:val="003B09A2"/>
    <w:rsid w:val="003B19CB"/>
    <w:rsid w:val="003B2B35"/>
    <w:rsid w:val="003B34E3"/>
    <w:rsid w:val="003B540C"/>
    <w:rsid w:val="003B7FA5"/>
    <w:rsid w:val="003C025D"/>
    <w:rsid w:val="003C1320"/>
    <w:rsid w:val="003C159A"/>
    <w:rsid w:val="003C3E78"/>
    <w:rsid w:val="003C52BE"/>
    <w:rsid w:val="003C7A2D"/>
    <w:rsid w:val="003D49DA"/>
    <w:rsid w:val="003D702D"/>
    <w:rsid w:val="003E0A56"/>
    <w:rsid w:val="003E273B"/>
    <w:rsid w:val="003E488E"/>
    <w:rsid w:val="003F06CF"/>
    <w:rsid w:val="003F1430"/>
    <w:rsid w:val="003F5879"/>
    <w:rsid w:val="003F7B52"/>
    <w:rsid w:val="00400B58"/>
    <w:rsid w:val="004018D9"/>
    <w:rsid w:val="00401C1A"/>
    <w:rsid w:val="00404662"/>
    <w:rsid w:val="004101BA"/>
    <w:rsid w:val="00410B88"/>
    <w:rsid w:val="00412971"/>
    <w:rsid w:val="00412F02"/>
    <w:rsid w:val="0041304B"/>
    <w:rsid w:val="0041409C"/>
    <w:rsid w:val="0041416E"/>
    <w:rsid w:val="00415AEE"/>
    <w:rsid w:val="00432AC5"/>
    <w:rsid w:val="00432AC9"/>
    <w:rsid w:val="00432C0F"/>
    <w:rsid w:val="0043321B"/>
    <w:rsid w:val="004335BE"/>
    <w:rsid w:val="004369BC"/>
    <w:rsid w:val="0044341F"/>
    <w:rsid w:val="00443CF8"/>
    <w:rsid w:val="00444D47"/>
    <w:rsid w:val="00444E8E"/>
    <w:rsid w:val="00445378"/>
    <w:rsid w:val="00446522"/>
    <w:rsid w:val="00450C6A"/>
    <w:rsid w:val="00453A4C"/>
    <w:rsid w:val="0045706E"/>
    <w:rsid w:val="0045770B"/>
    <w:rsid w:val="0045774D"/>
    <w:rsid w:val="004613FF"/>
    <w:rsid w:val="004618DB"/>
    <w:rsid w:val="00461A3D"/>
    <w:rsid w:val="00461D60"/>
    <w:rsid w:val="00465A28"/>
    <w:rsid w:val="00466045"/>
    <w:rsid w:val="00466243"/>
    <w:rsid w:val="0046729A"/>
    <w:rsid w:val="00467D0E"/>
    <w:rsid w:val="00471A41"/>
    <w:rsid w:val="0047246A"/>
    <w:rsid w:val="00472FB6"/>
    <w:rsid w:val="00473987"/>
    <w:rsid w:val="004757D1"/>
    <w:rsid w:val="004768F1"/>
    <w:rsid w:val="004769E3"/>
    <w:rsid w:val="00476F1C"/>
    <w:rsid w:val="00481493"/>
    <w:rsid w:val="004858F3"/>
    <w:rsid w:val="00486017"/>
    <w:rsid w:val="00486E5A"/>
    <w:rsid w:val="004922B8"/>
    <w:rsid w:val="00493CC4"/>
    <w:rsid w:val="00494B08"/>
    <w:rsid w:val="00495C4B"/>
    <w:rsid w:val="00496CC9"/>
    <w:rsid w:val="004A0DFB"/>
    <w:rsid w:val="004A43EF"/>
    <w:rsid w:val="004A5D3A"/>
    <w:rsid w:val="004A6EB7"/>
    <w:rsid w:val="004A6F19"/>
    <w:rsid w:val="004A7A11"/>
    <w:rsid w:val="004B0D49"/>
    <w:rsid w:val="004B198C"/>
    <w:rsid w:val="004B4D36"/>
    <w:rsid w:val="004B4D48"/>
    <w:rsid w:val="004B6530"/>
    <w:rsid w:val="004C219C"/>
    <w:rsid w:val="004C30A3"/>
    <w:rsid w:val="004C3FCA"/>
    <w:rsid w:val="004C421C"/>
    <w:rsid w:val="004C4FF6"/>
    <w:rsid w:val="004C5CB6"/>
    <w:rsid w:val="004D39A2"/>
    <w:rsid w:val="004D3A92"/>
    <w:rsid w:val="004D5CF0"/>
    <w:rsid w:val="004D6AE2"/>
    <w:rsid w:val="004D77BE"/>
    <w:rsid w:val="004E08EF"/>
    <w:rsid w:val="004E589F"/>
    <w:rsid w:val="004E75CF"/>
    <w:rsid w:val="004F0CE6"/>
    <w:rsid w:val="004F2D32"/>
    <w:rsid w:val="004F48B6"/>
    <w:rsid w:val="004F67A2"/>
    <w:rsid w:val="004F7C45"/>
    <w:rsid w:val="005009BC"/>
    <w:rsid w:val="00501107"/>
    <w:rsid w:val="0050415C"/>
    <w:rsid w:val="00506349"/>
    <w:rsid w:val="00510837"/>
    <w:rsid w:val="00517C3F"/>
    <w:rsid w:val="0052245C"/>
    <w:rsid w:val="005241CB"/>
    <w:rsid w:val="005248F4"/>
    <w:rsid w:val="00526855"/>
    <w:rsid w:val="00527132"/>
    <w:rsid w:val="00533FDB"/>
    <w:rsid w:val="00536C7D"/>
    <w:rsid w:val="00540C55"/>
    <w:rsid w:val="005414C7"/>
    <w:rsid w:val="00541F52"/>
    <w:rsid w:val="00546551"/>
    <w:rsid w:val="00551C3D"/>
    <w:rsid w:val="00553C7F"/>
    <w:rsid w:val="00554FEB"/>
    <w:rsid w:val="00555E39"/>
    <w:rsid w:val="00557E53"/>
    <w:rsid w:val="005649C3"/>
    <w:rsid w:val="00566A4A"/>
    <w:rsid w:val="00570763"/>
    <w:rsid w:val="0057198A"/>
    <w:rsid w:val="0057420B"/>
    <w:rsid w:val="005762F5"/>
    <w:rsid w:val="005777FB"/>
    <w:rsid w:val="00580DD9"/>
    <w:rsid w:val="005813EC"/>
    <w:rsid w:val="0059549D"/>
    <w:rsid w:val="00595874"/>
    <w:rsid w:val="005A2500"/>
    <w:rsid w:val="005B167A"/>
    <w:rsid w:val="005B3291"/>
    <w:rsid w:val="005B5AE6"/>
    <w:rsid w:val="005D15A6"/>
    <w:rsid w:val="005D16AB"/>
    <w:rsid w:val="005D1A11"/>
    <w:rsid w:val="005D2070"/>
    <w:rsid w:val="005D2775"/>
    <w:rsid w:val="005D4DA8"/>
    <w:rsid w:val="005D65A0"/>
    <w:rsid w:val="005E005B"/>
    <w:rsid w:val="005E01D9"/>
    <w:rsid w:val="005E0E87"/>
    <w:rsid w:val="005E21E6"/>
    <w:rsid w:val="005E36FD"/>
    <w:rsid w:val="005F118E"/>
    <w:rsid w:val="005F7BEC"/>
    <w:rsid w:val="006011CB"/>
    <w:rsid w:val="006032B1"/>
    <w:rsid w:val="00604C8E"/>
    <w:rsid w:val="00612CE5"/>
    <w:rsid w:val="00614210"/>
    <w:rsid w:val="006143E0"/>
    <w:rsid w:val="00616AC1"/>
    <w:rsid w:val="00617BE6"/>
    <w:rsid w:val="0062539C"/>
    <w:rsid w:val="00625D1E"/>
    <w:rsid w:val="00627291"/>
    <w:rsid w:val="006311BF"/>
    <w:rsid w:val="00632B85"/>
    <w:rsid w:val="00633974"/>
    <w:rsid w:val="00633D79"/>
    <w:rsid w:val="00641022"/>
    <w:rsid w:val="006436EE"/>
    <w:rsid w:val="00644344"/>
    <w:rsid w:val="006525ED"/>
    <w:rsid w:val="0065407F"/>
    <w:rsid w:val="0065446F"/>
    <w:rsid w:val="00655885"/>
    <w:rsid w:val="006565D2"/>
    <w:rsid w:val="00656FE3"/>
    <w:rsid w:val="00657B59"/>
    <w:rsid w:val="00660842"/>
    <w:rsid w:val="006618AB"/>
    <w:rsid w:val="00661CC4"/>
    <w:rsid w:val="006647AE"/>
    <w:rsid w:val="00666B90"/>
    <w:rsid w:val="006718DD"/>
    <w:rsid w:val="006733A8"/>
    <w:rsid w:val="006737C0"/>
    <w:rsid w:val="006743BA"/>
    <w:rsid w:val="00681F0E"/>
    <w:rsid w:val="00692A30"/>
    <w:rsid w:val="00692D3F"/>
    <w:rsid w:val="0069425B"/>
    <w:rsid w:val="00694C4F"/>
    <w:rsid w:val="00695012"/>
    <w:rsid w:val="006959E6"/>
    <w:rsid w:val="00695B9C"/>
    <w:rsid w:val="006A5466"/>
    <w:rsid w:val="006A7A18"/>
    <w:rsid w:val="006B496D"/>
    <w:rsid w:val="006B5164"/>
    <w:rsid w:val="006B602A"/>
    <w:rsid w:val="006C2166"/>
    <w:rsid w:val="006C2C5E"/>
    <w:rsid w:val="006C45F8"/>
    <w:rsid w:val="006C6039"/>
    <w:rsid w:val="006C7B12"/>
    <w:rsid w:val="006D68F5"/>
    <w:rsid w:val="006D7B9F"/>
    <w:rsid w:val="006E02FF"/>
    <w:rsid w:val="006E23E1"/>
    <w:rsid w:val="006E2660"/>
    <w:rsid w:val="006E2835"/>
    <w:rsid w:val="006F5E01"/>
    <w:rsid w:val="006F67F5"/>
    <w:rsid w:val="00704112"/>
    <w:rsid w:val="00705B55"/>
    <w:rsid w:val="00711783"/>
    <w:rsid w:val="00712F81"/>
    <w:rsid w:val="00715CEE"/>
    <w:rsid w:val="00716E6B"/>
    <w:rsid w:val="00720D9A"/>
    <w:rsid w:val="007265C7"/>
    <w:rsid w:val="00726652"/>
    <w:rsid w:val="00727721"/>
    <w:rsid w:val="007309CF"/>
    <w:rsid w:val="0073342E"/>
    <w:rsid w:val="007346C0"/>
    <w:rsid w:val="007359BC"/>
    <w:rsid w:val="00735F12"/>
    <w:rsid w:val="00741477"/>
    <w:rsid w:val="00741C38"/>
    <w:rsid w:val="00750BB9"/>
    <w:rsid w:val="00751C2D"/>
    <w:rsid w:val="00752ECD"/>
    <w:rsid w:val="00754210"/>
    <w:rsid w:val="0075433A"/>
    <w:rsid w:val="00754FF9"/>
    <w:rsid w:val="007557F0"/>
    <w:rsid w:val="00755F19"/>
    <w:rsid w:val="00756C2B"/>
    <w:rsid w:val="00760935"/>
    <w:rsid w:val="00765C2B"/>
    <w:rsid w:val="007748C4"/>
    <w:rsid w:val="00775FCE"/>
    <w:rsid w:val="00776FE0"/>
    <w:rsid w:val="007824D3"/>
    <w:rsid w:val="007869CD"/>
    <w:rsid w:val="00787D2F"/>
    <w:rsid w:val="0079271D"/>
    <w:rsid w:val="00796124"/>
    <w:rsid w:val="00796694"/>
    <w:rsid w:val="00797DF3"/>
    <w:rsid w:val="007A133C"/>
    <w:rsid w:val="007A2F84"/>
    <w:rsid w:val="007A4F7F"/>
    <w:rsid w:val="007A52C7"/>
    <w:rsid w:val="007A7145"/>
    <w:rsid w:val="007B117B"/>
    <w:rsid w:val="007B206B"/>
    <w:rsid w:val="007B2F87"/>
    <w:rsid w:val="007B4455"/>
    <w:rsid w:val="007B528C"/>
    <w:rsid w:val="007B6543"/>
    <w:rsid w:val="007B7277"/>
    <w:rsid w:val="007C0347"/>
    <w:rsid w:val="007C14EE"/>
    <w:rsid w:val="007C46B6"/>
    <w:rsid w:val="007C49F1"/>
    <w:rsid w:val="007C7276"/>
    <w:rsid w:val="007C72BF"/>
    <w:rsid w:val="007C749B"/>
    <w:rsid w:val="007D25F6"/>
    <w:rsid w:val="007D441D"/>
    <w:rsid w:val="007E0EE4"/>
    <w:rsid w:val="007E5865"/>
    <w:rsid w:val="007E5C88"/>
    <w:rsid w:val="007E6147"/>
    <w:rsid w:val="007E6507"/>
    <w:rsid w:val="007E6B1C"/>
    <w:rsid w:val="007F079C"/>
    <w:rsid w:val="007F08DB"/>
    <w:rsid w:val="007F0B3C"/>
    <w:rsid w:val="007F1FC6"/>
    <w:rsid w:val="007F2893"/>
    <w:rsid w:val="007F4006"/>
    <w:rsid w:val="007F68C1"/>
    <w:rsid w:val="00800585"/>
    <w:rsid w:val="008058CE"/>
    <w:rsid w:val="00806259"/>
    <w:rsid w:val="00806B10"/>
    <w:rsid w:val="00811BA2"/>
    <w:rsid w:val="00812705"/>
    <w:rsid w:val="008145BE"/>
    <w:rsid w:val="00817587"/>
    <w:rsid w:val="00817948"/>
    <w:rsid w:val="00822BE2"/>
    <w:rsid w:val="00824522"/>
    <w:rsid w:val="00824DFB"/>
    <w:rsid w:val="00825188"/>
    <w:rsid w:val="008265EA"/>
    <w:rsid w:val="0082739F"/>
    <w:rsid w:val="0083239E"/>
    <w:rsid w:val="0083450E"/>
    <w:rsid w:val="008573C9"/>
    <w:rsid w:val="00861D31"/>
    <w:rsid w:val="008656BA"/>
    <w:rsid w:val="0086664A"/>
    <w:rsid w:val="00866BA9"/>
    <w:rsid w:val="00870394"/>
    <w:rsid w:val="008703F6"/>
    <w:rsid w:val="00873123"/>
    <w:rsid w:val="008735C4"/>
    <w:rsid w:val="0087458A"/>
    <w:rsid w:val="00880714"/>
    <w:rsid w:val="00882758"/>
    <w:rsid w:val="008868A4"/>
    <w:rsid w:val="0088770C"/>
    <w:rsid w:val="00890CB0"/>
    <w:rsid w:val="008916E3"/>
    <w:rsid w:val="00895ABA"/>
    <w:rsid w:val="008A3A15"/>
    <w:rsid w:val="008A6148"/>
    <w:rsid w:val="008B7541"/>
    <w:rsid w:val="008B7ECB"/>
    <w:rsid w:val="008C38D3"/>
    <w:rsid w:val="008C7CEB"/>
    <w:rsid w:val="008D01AE"/>
    <w:rsid w:val="008D3224"/>
    <w:rsid w:val="008D4572"/>
    <w:rsid w:val="008D6B41"/>
    <w:rsid w:val="008E1E7E"/>
    <w:rsid w:val="008E34CB"/>
    <w:rsid w:val="008E4946"/>
    <w:rsid w:val="008E5F30"/>
    <w:rsid w:val="008E6B1D"/>
    <w:rsid w:val="008F0296"/>
    <w:rsid w:val="008F3797"/>
    <w:rsid w:val="009008A9"/>
    <w:rsid w:val="00902217"/>
    <w:rsid w:val="00904413"/>
    <w:rsid w:val="0090606C"/>
    <w:rsid w:val="00911261"/>
    <w:rsid w:val="0091320A"/>
    <w:rsid w:val="0091320B"/>
    <w:rsid w:val="00913539"/>
    <w:rsid w:val="00923509"/>
    <w:rsid w:val="00932EE8"/>
    <w:rsid w:val="009330B1"/>
    <w:rsid w:val="00935AB4"/>
    <w:rsid w:val="00935AFE"/>
    <w:rsid w:val="0093774E"/>
    <w:rsid w:val="00940D52"/>
    <w:rsid w:val="009412C9"/>
    <w:rsid w:val="00941DB1"/>
    <w:rsid w:val="009469DC"/>
    <w:rsid w:val="00947F30"/>
    <w:rsid w:val="00950B8B"/>
    <w:rsid w:val="009533A4"/>
    <w:rsid w:val="00954DAB"/>
    <w:rsid w:val="00957000"/>
    <w:rsid w:val="009613ED"/>
    <w:rsid w:val="00963576"/>
    <w:rsid w:val="00963C06"/>
    <w:rsid w:val="009646CA"/>
    <w:rsid w:val="009652F7"/>
    <w:rsid w:val="00966F7B"/>
    <w:rsid w:val="00970BB2"/>
    <w:rsid w:val="009720C1"/>
    <w:rsid w:val="00973A80"/>
    <w:rsid w:val="00974333"/>
    <w:rsid w:val="00975D52"/>
    <w:rsid w:val="009768C3"/>
    <w:rsid w:val="00980A6A"/>
    <w:rsid w:val="00980DB5"/>
    <w:rsid w:val="00981E2F"/>
    <w:rsid w:val="00982EEC"/>
    <w:rsid w:val="00985E39"/>
    <w:rsid w:val="00995815"/>
    <w:rsid w:val="00995BD7"/>
    <w:rsid w:val="009A3A7E"/>
    <w:rsid w:val="009A4D41"/>
    <w:rsid w:val="009A629A"/>
    <w:rsid w:val="009A6C89"/>
    <w:rsid w:val="009A7478"/>
    <w:rsid w:val="009B15FA"/>
    <w:rsid w:val="009B3617"/>
    <w:rsid w:val="009B7E2D"/>
    <w:rsid w:val="009C176E"/>
    <w:rsid w:val="009C21D9"/>
    <w:rsid w:val="009C4415"/>
    <w:rsid w:val="009C7F6C"/>
    <w:rsid w:val="009D0AD0"/>
    <w:rsid w:val="009D2554"/>
    <w:rsid w:val="009D3D78"/>
    <w:rsid w:val="009D5286"/>
    <w:rsid w:val="009E3BCF"/>
    <w:rsid w:val="009E6FF1"/>
    <w:rsid w:val="009E70BB"/>
    <w:rsid w:val="009F05CE"/>
    <w:rsid w:val="009F129A"/>
    <w:rsid w:val="009F13EC"/>
    <w:rsid w:val="009F2B0E"/>
    <w:rsid w:val="009F54AA"/>
    <w:rsid w:val="009F5AFF"/>
    <w:rsid w:val="00A01593"/>
    <w:rsid w:val="00A01664"/>
    <w:rsid w:val="00A02C60"/>
    <w:rsid w:val="00A04165"/>
    <w:rsid w:val="00A1119E"/>
    <w:rsid w:val="00A11450"/>
    <w:rsid w:val="00A15218"/>
    <w:rsid w:val="00A16205"/>
    <w:rsid w:val="00A16A62"/>
    <w:rsid w:val="00A21D2B"/>
    <w:rsid w:val="00A22A49"/>
    <w:rsid w:val="00A23F24"/>
    <w:rsid w:val="00A24FC0"/>
    <w:rsid w:val="00A259C7"/>
    <w:rsid w:val="00A26A19"/>
    <w:rsid w:val="00A3288D"/>
    <w:rsid w:val="00A333A2"/>
    <w:rsid w:val="00A34BDE"/>
    <w:rsid w:val="00A35496"/>
    <w:rsid w:val="00A35B0D"/>
    <w:rsid w:val="00A37975"/>
    <w:rsid w:val="00A41D52"/>
    <w:rsid w:val="00A4200F"/>
    <w:rsid w:val="00A433F8"/>
    <w:rsid w:val="00A43A02"/>
    <w:rsid w:val="00A44836"/>
    <w:rsid w:val="00A44E57"/>
    <w:rsid w:val="00A45486"/>
    <w:rsid w:val="00A46007"/>
    <w:rsid w:val="00A469E0"/>
    <w:rsid w:val="00A478F0"/>
    <w:rsid w:val="00A51357"/>
    <w:rsid w:val="00A53E38"/>
    <w:rsid w:val="00A56393"/>
    <w:rsid w:val="00A61113"/>
    <w:rsid w:val="00A620D2"/>
    <w:rsid w:val="00A6256E"/>
    <w:rsid w:val="00A62AF2"/>
    <w:rsid w:val="00A636E1"/>
    <w:rsid w:val="00A63762"/>
    <w:rsid w:val="00A66694"/>
    <w:rsid w:val="00A67700"/>
    <w:rsid w:val="00A677BA"/>
    <w:rsid w:val="00A71128"/>
    <w:rsid w:val="00A74EDB"/>
    <w:rsid w:val="00A75791"/>
    <w:rsid w:val="00A75A98"/>
    <w:rsid w:val="00A75D06"/>
    <w:rsid w:val="00A8032F"/>
    <w:rsid w:val="00A82AA3"/>
    <w:rsid w:val="00A854B1"/>
    <w:rsid w:val="00A9163D"/>
    <w:rsid w:val="00A95211"/>
    <w:rsid w:val="00A952B3"/>
    <w:rsid w:val="00AA320E"/>
    <w:rsid w:val="00AA496C"/>
    <w:rsid w:val="00AA5B51"/>
    <w:rsid w:val="00AA6F5B"/>
    <w:rsid w:val="00AB297A"/>
    <w:rsid w:val="00AB35C6"/>
    <w:rsid w:val="00AB36FB"/>
    <w:rsid w:val="00AB38D1"/>
    <w:rsid w:val="00AC2971"/>
    <w:rsid w:val="00AC4A3F"/>
    <w:rsid w:val="00AC56F3"/>
    <w:rsid w:val="00AC7094"/>
    <w:rsid w:val="00AD0A31"/>
    <w:rsid w:val="00AD3C96"/>
    <w:rsid w:val="00AD4093"/>
    <w:rsid w:val="00AD4A8C"/>
    <w:rsid w:val="00AD4C90"/>
    <w:rsid w:val="00AD7E53"/>
    <w:rsid w:val="00AE353B"/>
    <w:rsid w:val="00AF6AEB"/>
    <w:rsid w:val="00B02EA6"/>
    <w:rsid w:val="00B03888"/>
    <w:rsid w:val="00B0457F"/>
    <w:rsid w:val="00B04A5C"/>
    <w:rsid w:val="00B05CC2"/>
    <w:rsid w:val="00B076CC"/>
    <w:rsid w:val="00B07A5E"/>
    <w:rsid w:val="00B07A93"/>
    <w:rsid w:val="00B10379"/>
    <w:rsid w:val="00B11F62"/>
    <w:rsid w:val="00B12832"/>
    <w:rsid w:val="00B17100"/>
    <w:rsid w:val="00B17128"/>
    <w:rsid w:val="00B21815"/>
    <w:rsid w:val="00B302E5"/>
    <w:rsid w:val="00B31FD5"/>
    <w:rsid w:val="00B332D9"/>
    <w:rsid w:val="00B33D54"/>
    <w:rsid w:val="00B33EAA"/>
    <w:rsid w:val="00B344FA"/>
    <w:rsid w:val="00B44456"/>
    <w:rsid w:val="00B45384"/>
    <w:rsid w:val="00B52FB5"/>
    <w:rsid w:val="00B623C1"/>
    <w:rsid w:val="00B64645"/>
    <w:rsid w:val="00B6585E"/>
    <w:rsid w:val="00B65E51"/>
    <w:rsid w:val="00B661F8"/>
    <w:rsid w:val="00B70E35"/>
    <w:rsid w:val="00B73E0F"/>
    <w:rsid w:val="00B74383"/>
    <w:rsid w:val="00B746DA"/>
    <w:rsid w:val="00B764C4"/>
    <w:rsid w:val="00B76646"/>
    <w:rsid w:val="00B76D0A"/>
    <w:rsid w:val="00B77DDC"/>
    <w:rsid w:val="00B77F8E"/>
    <w:rsid w:val="00B82B31"/>
    <w:rsid w:val="00B82C4C"/>
    <w:rsid w:val="00B839B4"/>
    <w:rsid w:val="00B8526D"/>
    <w:rsid w:val="00B852B5"/>
    <w:rsid w:val="00B8619B"/>
    <w:rsid w:val="00B9072C"/>
    <w:rsid w:val="00B95E0D"/>
    <w:rsid w:val="00BA20A3"/>
    <w:rsid w:val="00BA3832"/>
    <w:rsid w:val="00BA3AF6"/>
    <w:rsid w:val="00BA678B"/>
    <w:rsid w:val="00BA73F9"/>
    <w:rsid w:val="00BA7B38"/>
    <w:rsid w:val="00BB003D"/>
    <w:rsid w:val="00BB0949"/>
    <w:rsid w:val="00BB0B90"/>
    <w:rsid w:val="00BB0E4D"/>
    <w:rsid w:val="00BB1A55"/>
    <w:rsid w:val="00BB28D5"/>
    <w:rsid w:val="00BB3116"/>
    <w:rsid w:val="00BB54AC"/>
    <w:rsid w:val="00BB604A"/>
    <w:rsid w:val="00BB6482"/>
    <w:rsid w:val="00BB6CF4"/>
    <w:rsid w:val="00BC0FEF"/>
    <w:rsid w:val="00BC5095"/>
    <w:rsid w:val="00BC5D24"/>
    <w:rsid w:val="00BC7258"/>
    <w:rsid w:val="00BD0E87"/>
    <w:rsid w:val="00BD0FA2"/>
    <w:rsid w:val="00BD2589"/>
    <w:rsid w:val="00BD2A21"/>
    <w:rsid w:val="00BD3EEF"/>
    <w:rsid w:val="00BD6B99"/>
    <w:rsid w:val="00BF0408"/>
    <w:rsid w:val="00BF1025"/>
    <w:rsid w:val="00BF2082"/>
    <w:rsid w:val="00BF3A13"/>
    <w:rsid w:val="00C03CBD"/>
    <w:rsid w:val="00C047B6"/>
    <w:rsid w:val="00C05CF1"/>
    <w:rsid w:val="00C05FAA"/>
    <w:rsid w:val="00C06B80"/>
    <w:rsid w:val="00C11CFA"/>
    <w:rsid w:val="00C12231"/>
    <w:rsid w:val="00C12CC5"/>
    <w:rsid w:val="00C1303D"/>
    <w:rsid w:val="00C14C83"/>
    <w:rsid w:val="00C154A4"/>
    <w:rsid w:val="00C1605C"/>
    <w:rsid w:val="00C17196"/>
    <w:rsid w:val="00C21383"/>
    <w:rsid w:val="00C21A14"/>
    <w:rsid w:val="00C236ED"/>
    <w:rsid w:val="00C236FB"/>
    <w:rsid w:val="00C260EC"/>
    <w:rsid w:val="00C370D0"/>
    <w:rsid w:val="00C37B7E"/>
    <w:rsid w:val="00C40E3D"/>
    <w:rsid w:val="00C41997"/>
    <w:rsid w:val="00C439E6"/>
    <w:rsid w:val="00C45804"/>
    <w:rsid w:val="00C46630"/>
    <w:rsid w:val="00C5111E"/>
    <w:rsid w:val="00C520A2"/>
    <w:rsid w:val="00C533E8"/>
    <w:rsid w:val="00C53C00"/>
    <w:rsid w:val="00C576D1"/>
    <w:rsid w:val="00C60C52"/>
    <w:rsid w:val="00C61AB3"/>
    <w:rsid w:val="00C674C7"/>
    <w:rsid w:val="00C67ABA"/>
    <w:rsid w:val="00C701B1"/>
    <w:rsid w:val="00C708A5"/>
    <w:rsid w:val="00C73721"/>
    <w:rsid w:val="00C75BEC"/>
    <w:rsid w:val="00C76632"/>
    <w:rsid w:val="00C77963"/>
    <w:rsid w:val="00C802B6"/>
    <w:rsid w:val="00C80AC5"/>
    <w:rsid w:val="00C816C6"/>
    <w:rsid w:val="00C84372"/>
    <w:rsid w:val="00C91E5B"/>
    <w:rsid w:val="00C91E64"/>
    <w:rsid w:val="00C923B5"/>
    <w:rsid w:val="00C9566C"/>
    <w:rsid w:val="00C95DC3"/>
    <w:rsid w:val="00C97514"/>
    <w:rsid w:val="00CA0E25"/>
    <w:rsid w:val="00CA19E2"/>
    <w:rsid w:val="00CA3BB7"/>
    <w:rsid w:val="00CA6069"/>
    <w:rsid w:val="00CA7FCC"/>
    <w:rsid w:val="00CB1470"/>
    <w:rsid w:val="00CB2613"/>
    <w:rsid w:val="00CB2C66"/>
    <w:rsid w:val="00CB480C"/>
    <w:rsid w:val="00CC25CD"/>
    <w:rsid w:val="00CC4666"/>
    <w:rsid w:val="00CC5102"/>
    <w:rsid w:val="00CD1B47"/>
    <w:rsid w:val="00CD2FB0"/>
    <w:rsid w:val="00CD4715"/>
    <w:rsid w:val="00CD4F24"/>
    <w:rsid w:val="00CD78AE"/>
    <w:rsid w:val="00CD7DC0"/>
    <w:rsid w:val="00CE0B6F"/>
    <w:rsid w:val="00CE101E"/>
    <w:rsid w:val="00CE10A4"/>
    <w:rsid w:val="00CE6B3D"/>
    <w:rsid w:val="00CF1A7D"/>
    <w:rsid w:val="00CF36DA"/>
    <w:rsid w:val="00CF474A"/>
    <w:rsid w:val="00CF4AEC"/>
    <w:rsid w:val="00CF5034"/>
    <w:rsid w:val="00D02F29"/>
    <w:rsid w:val="00D0323C"/>
    <w:rsid w:val="00D03AA3"/>
    <w:rsid w:val="00D03ED9"/>
    <w:rsid w:val="00D0401C"/>
    <w:rsid w:val="00D069B7"/>
    <w:rsid w:val="00D1254B"/>
    <w:rsid w:val="00D13707"/>
    <w:rsid w:val="00D1576B"/>
    <w:rsid w:val="00D15C35"/>
    <w:rsid w:val="00D16122"/>
    <w:rsid w:val="00D1642E"/>
    <w:rsid w:val="00D170FB"/>
    <w:rsid w:val="00D2013D"/>
    <w:rsid w:val="00D20488"/>
    <w:rsid w:val="00D20BD4"/>
    <w:rsid w:val="00D22F06"/>
    <w:rsid w:val="00D23015"/>
    <w:rsid w:val="00D25D52"/>
    <w:rsid w:val="00D27415"/>
    <w:rsid w:val="00D27E65"/>
    <w:rsid w:val="00D32E03"/>
    <w:rsid w:val="00D33955"/>
    <w:rsid w:val="00D33E2A"/>
    <w:rsid w:val="00D375DA"/>
    <w:rsid w:val="00D40ED8"/>
    <w:rsid w:val="00D457AA"/>
    <w:rsid w:val="00D45B1E"/>
    <w:rsid w:val="00D47F37"/>
    <w:rsid w:val="00D5008F"/>
    <w:rsid w:val="00D565C2"/>
    <w:rsid w:val="00D60864"/>
    <w:rsid w:val="00D621E5"/>
    <w:rsid w:val="00D63899"/>
    <w:rsid w:val="00D74F73"/>
    <w:rsid w:val="00D75605"/>
    <w:rsid w:val="00D761EA"/>
    <w:rsid w:val="00D76839"/>
    <w:rsid w:val="00D804E0"/>
    <w:rsid w:val="00D805C8"/>
    <w:rsid w:val="00D82AE5"/>
    <w:rsid w:val="00D83520"/>
    <w:rsid w:val="00D84168"/>
    <w:rsid w:val="00D84439"/>
    <w:rsid w:val="00D848FE"/>
    <w:rsid w:val="00D84E61"/>
    <w:rsid w:val="00D901B2"/>
    <w:rsid w:val="00D91D19"/>
    <w:rsid w:val="00D944A4"/>
    <w:rsid w:val="00D97A9E"/>
    <w:rsid w:val="00DA2C55"/>
    <w:rsid w:val="00DA5D68"/>
    <w:rsid w:val="00DB20EC"/>
    <w:rsid w:val="00DB25CC"/>
    <w:rsid w:val="00DB3D74"/>
    <w:rsid w:val="00DB5BA9"/>
    <w:rsid w:val="00DC4302"/>
    <w:rsid w:val="00DC4BC9"/>
    <w:rsid w:val="00DD103D"/>
    <w:rsid w:val="00DD198E"/>
    <w:rsid w:val="00DD1B01"/>
    <w:rsid w:val="00DD719D"/>
    <w:rsid w:val="00DE219E"/>
    <w:rsid w:val="00DE705E"/>
    <w:rsid w:val="00DE7A67"/>
    <w:rsid w:val="00DF3A48"/>
    <w:rsid w:val="00DF4833"/>
    <w:rsid w:val="00DF72BD"/>
    <w:rsid w:val="00E00760"/>
    <w:rsid w:val="00E03AF6"/>
    <w:rsid w:val="00E04274"/>
    <w:rsid w:val="00E05FF8"/>
    <w:rsid w:val="00E0640C"/>
    <w:rsid w:val="00E07174"/>
    <w:rsid w:val="00E11464"/>
    <w:rsid w:val="00E12BA5"/>
    <w:rsid w:val="00E145BF"/>
    <w:rsid w:val="00E14E3F"/>
    <w:rsid w:val="00E15793"/>
    <w:rsid w:val="00E23535"/>
    <w:rsid w:val="00E246FD"/>
    <w:rsid w:val="00E250DD"/>
    <w:rsid w:val="00E32663"/>
    <w:rsid w:val="00E328B1"/>
    <w:rsid w:val="00E33B4F"/>
    <w:rsid w:val="00E33FB7"/>
    <w:rsid w:val="00E35B6C"/>
    <w:rsid w:val="00E40905"/>
    <w:rsid w:val="00E415BB"/>
    <w:rsid w:val="00E4342B"/>
    <w:rsid w:val="00E448D3"/>
    <w:rsid w:val="00E456C7"/>
    <w:rsid w:val="00E460D6"/>
    <w:rsid w:val="00E465C5"/>
    <w:rsid w:val="00E5202A"/>
    <w:rsid w:val="00E5266A"/>
    <w:rsid w:val="00E533E1"/>
    <w:rsid w:val="00E621F9"/>
    <w:rsid w:val="00E62A17"/>
    <w:rsid w:val="00E656D0"/>
    <w:rsid w:val="00E67CE2"/>
    <w:rsid w:val="00E714EB"/>
    <w:rsid w:val="00E76E5F"/>
    <w:rsid w:val="00E76FCE"/>
    <w:rsid w:val="00E80148"/>
    <w:rsid w:val="00E812A0"/>
    <w:rsid w:val="00E840D9"/>
    <w:rsid w:val="00E84601"/>
    <w:rsid w:val="00E84736"/>
    <w:rsid w:val="00E849AF"/>
    <w:rsid w:val="00E9248B"/>
    <w:rsid w:val="00E92818"/>
    <w:rsid w:val="00E96452"/>
    <w:rsid w:val="00E966F9"/>
    <w:rsid w:val="00E97546"/>
    <w:rsid w:val="00EA29AA"/>
    <w:rsid w:val="00EA38CF"/>
    <w:rsid w:val="00EA7A6B"/>
    <w:rsid w:val="00EB0A7E"/>
    <w:rsid w:val="00EB449B"/>
    <w:rsid w:val="00EC45B4"/>
    <w:rsid w:val="00EC4C72"/>
    <w:rsid w:val="00EC612E"/>
    <w:rsid w:val="00EC6A5B"/>
    <w:rsid w:val="00ED0D1B"/>
    <w:rsid w:val="00ED1185"/>
    <w:rsid w:val="00ED3F3F"/>
    <w:rsid w:val="00ED6A85"/>
    <w:rsid w:val="00EE2A8D"/>
    <w:rsid w:val="00EE4017"/>
    <w:rsid w:val="00EF0485"/>
    <w:rsid w:val="00EF099E"/>
    <w:rsid w:val="00EF223E"/>
    <w:rsid w:val="00EF3704"/>
    <w:rsid w:val="00EF3C9D"/>
    <w:rsid w:val="00F00739"/>
    <w:rsid w:val="00F02D27"/>
    <w:rsid w:val="00F10090"/>
    <w:rsid w:val="00F12690"/>
    <w:rsid w:val="00F13A3B"/>
    <w:rsid w:val="00F1567D"/>
    <w:rsid w:val="00F16DD6"/>
    <w:rsid w:val="00F1778D"/>
    <w:rsid w:val="00F20439"/>
    <w:rsid w:val="00F20AD4"/>
    <w:rsid w:val="00F23F44"/>
    <w:rsid w:val="00F26ACF"/>
    <w:rsid w:val="00F301B3"/>
    <w:rsid w:val="00F31BC2"/>
    <w:rsid w:val="00F3241A"/>
    <w:rsid w:val="00F348C1"/>
    <w:rsid w:val="00F349A5"/>
    <w:rsid w:val="00F35D7E"/>
    <w:rsid w:val="00F363CA"/>
    <w:rsid w:val="00F36D21"/>
    <w:rsid w:val="00F37D85"/>
    <w:rsid w:val="00F40DEA"/>
    <w:rsid w:val="00F4115A"/>
    <w:rsid w:val="00F41AD4"/>
    <w:rsid w:val="00F44174"/>
    <w:rsid w:val="00F442BF"/>
    <w:rsid w:val="00F462B6"/>
    <w:rsid w:val="00F4649E"/>
    <w:rsid w:val="00F5033B"/>
    <w:rsid w:val="00F50D34"/>
    <w:rsid w:val="00F51D87"/>
    <w:rsid w:val="00F5433B"/>
    <w:rsid w:val="00F57E15"/>
    <w:rsid w:val="00F612F4"/>
    <w:rsid w:val="00F615C5"/>
    <w:rsid w:val="00F6313E"/>
    <w:rsid w:val="00F652A6"/>
    <w:rsid w:val="00F66E23"/>
    <w:rsid w:val="00F67AB3"/>
    <w:rsid w:val="00F70A78"/>
    <w:rsid w:val="00F72CDD"/>
    <w:rsid w:val="00F743FE"/>
    <w:rsid w:val="00F74663"/>
    <w:rsid w:val="00F76122"/>
    <w:rsid w:val="00F76BBB"/>
    <w:rsid w:val="00F80AC4"/>
    <w:rsid w:val="00F81FF4"/>
    <w:rsid w:val="00F85382"/>
    <w:rsid w:val="00F87E72"/>
    <w:rsid w:val="00F913BF"/>
    <w:rsid w:val="00F93860"/>
    <w:rsid w:val="00F952C5"/>
    <w:rsid w:val="00F954D1"/>
    <w:rsid w:val="00FA0E5F"/>
    <w:rsid w:val="00FA3503"/>
    <w:rsid w:val="00FA5F19"/>
    <w:rsid w:val="00FA79CF"/>
    <w:rsid w:val="00FA7A3B"/>
    <w:rsid w:val="00FB0F40"/>
    <w:rsid w:val="00FB1247"/>
    <w:rsid w:val="00FB2DAB"/>
    <w:rsid w:val="00FB71C8"/>
    <w:rsid w:val="00FB72CC"/>
    <w:rsid w:val="00FB73DC"/>
    <w:rsid w:val="00FB7522"/>
    <w:rsid w:val="00FC002D"/>
    <w:rsid w:val="00FC5282"/>
    <w:rsid w:val="00FC6A58"/>
    <w:rsid w:val="00FD0097"/>
    <w:rsid w:val="00FD2388"/>
    <w:rsid w:val="00FD3177"/>
    <w:rsid w:val="00FD40D3"/>
    <w:rsid w:val="00FD70CD"/>
    <w:rsid w:val="00FD7BB5"/>
    <w:rsid w:val="00FE0171"/>
    <w:rsid w:val="00FE0416"/>
    <w:rsid w:val="00FE0649"/>
    <w:rsid w:val="00FE1A1D"/>
    <w:rsid w:val="00FE5450"/>
    <w:rsid w:val="00FE7BE4"/>
    <w:rsid w:val="00FF3DCD"/>
    <w:rsid w:val="00FF4941"/>
    <w:rsid w:val="01233A65"/>
    <w:rsid w:val="012706E7"/>
    <w:rsid w:val="0134538E"/>
    <w:rsid w:val="017509EB"/>
    <w:rsid w:val="01910D44"/>
    <w:rsid w:val="01AA3877"/>
    <w:rsid w:val="01C50AA2"/>
    <w:rsid w:val="01EE7B64"/>
    <w:rsid w:val="020F1F2D"/>
    <w:rsid w:val="022C02C9"/>
    <w:rsid w:val="024B5D18"/>
    <w:rsid w:val="02511061"/>
    <w:rsid w:val="025917E9"/>
    <w:rsid w:val="025C0DB5"/>
    <w:rsid w:val="027D2D3A"/>
    <w:rsid w:val="02F809F6"/>
    <w:rsid w:val="03055D89"/>
    <w:rsid w:val="030B3C81"/>
    <w:rsid w:val="036E59D8"/>
    <w:rsid w:val="037E7D78"/>
    <w:rsid w:val="038F6262"/>
    <w:rsid w:val="039C18DA"/>
    <w:rsid w:val="03A92AE1"/>
    <w:rsid w:val="03B27BA6"/>
    <w:rsid w:val="03EC1635"/>
    <w:rsid w:val="04010B76"/>
    <w:rsid w:val="043278BC"/>
    <w:rsid w:val="045236BB"/>
    <w:rsid w:val="048807BF"/>
    <w:rsid w:val="04B81BE8"/>
    <w:rsid w:val="04C151AF"/>
    <w:rsid w:val="04C93D38"/>
    <w:rsid w:val="05261EE6"/>
    <w:rsid w:val="052B1294"/>
    <w:rsid w:val="054D3128"/>
    <w:rsid w:val="05606502"/>
    <w:rsid w:val="05732EC0"/>
    <w:rsid w:val="05772978"/>
    <w:rsid w:val="05A660D6"/>
    <w:rsid w:val="05AC55D6"/>
    <w:rsid w:val="05D95B7C"/>
    <w:rsid w:val="05E64BA5"/>
    <w:rsid w:val="060F1584"/>
    <w:rsid w:val="0639166E"/>
    <w:rsid w:val="067508F4"/>
    <w:rsid w:val="06875B84"/>
    <w:rsid w:val="068C7B3B"/>
    <w:rsid w:val="068D4C05"/>
    <w:rsid w:val="06C81F29"/>
    <w:rsid w:val="06D1464F"/>
    <w:rsid w:val="06D53145"/>
    <w:rsid w:val="074528E8"/>
    <w:rsid w:val="074E2304"/>
    <w:rsid w:val="077614EF"/>
    <w:rsid w:val="07850D62"/>
    <w:rsid w:val="07BE4B3F"/>
    <w:rsid w:val="07C06B1B"/>
    <w:rsid w:val="07F2151D"/>
    <w:rsid w:val="08030A9F"/>
    <w:rsid w:val="081A4F87"/>
    <w:rsid w:val="081B0650"/>
    <w:rsid w:val="08492CC4"/>
    <w:rsid w:val="085A2CD2"/>
    <w:rsid w:val="08845B81"/>
    <w:rsid w:val="08A661BA"/>
    <w:rsid w:val="08C23DF8"/>
    <w:rsid w:val="08C3509A"/>
    <w:rsid w:val="08EC3E2C"/>
    <w:rsid w:val="09391DB0"/>
    <w:rsid w:val="099D013D"/>
    <w:rsid w:val="09A808A7"/>
    <w:rsid w:val="0A196F1B"/>
    <w:rsid w:val="0A3710B9"/>
    <w:rsid w:val="0A430D0D"/>
    <w:rsid w:val="0A504F28"/>
    <w:rsid w:val="0B09171F"/>
    <w:rsid w:val="0B4678A6"/>
    <w:rsid w:val="0B50536F"/>
    <w:rsid w:val="0B5F0AC8"/>
    <w:rsid w:val="0BA03C33"/>
    <w:rsid w:val="0BD54A82"/>
    <w:rsid w:val="0BF778F7"/>
    <w:rsid w:val="0C183765"/>
    <w:rsid w:val="0C930E36"/>
    <w:rsid w:val="0CEF4D03"/>
    <w:rsid w:val="0D493A27"/>
    <w:rsid w:val="0D821309"/>
    <w:rsid w:val="0D9F31AC"/>
    <w:rsid w:val="0DB43F3D"/>
    <w:rsid w:val="0DD545F9"/>
    <w:rsid w:val="0DE173BA"/>
    <w:rsid w:val="0DE334FF"/>
    <w:rsid w:val="0DEB76F2"/>
    <w:rsid w:val="0DF06AB6"/>
    <w:rsid w:val="0E546C61"/>
    <w:rsid w:val="0E706A73"/>
    <w:rsid w:val="0E9A08E5"/>
    <w:rsid w:val="0EEF1515"/>
    <w:rsid w:val="0F0166D2"/>
    <w:rsid w:val="0F1B20C2"/>
    <w:rsid w:val="0F5417D7"/>
    <w:rsid w:val="0F5D1529"/>
    <w:rsid w:val="0F6E35EA"/>
    <w:rsid w:val="0FD81FB7"/>
    <w:rsid w:val="0FDA4974"/>
    <w:rsid w:val="0FF8501B"/>
    <w:rsid w:val="10C31D0C"/>
    <w:rsid w:val="10DD3144"/>
    <w:rsid w:val="10E5748D"/>
    <w:rsid w:val="10F57A30"/>
    <w:rsid w:val="11317E8E"/>
    <w:rsid w:val="119A0C80"/>
    <w:rsid w:val="119F3B9E"/>
    <w:rsid w:val="11A27511"/>
    <w:rsid w:val="11AA40EE"/>
    <w:rsid w:val="11AB537B"/>
    <w:rsid w:val="11AC1D7C"/>
    <w:rsid w:val="12174F59"/>
    <w:rsid w:val="121D23B2"/>
    <w:rsid w:val="12734157"/>
    <w:rsid w:val="127E5710"/>
    <w:rsid w:val="128D1FEE"/>
    <w:rsid w:val="12D00680"/>
    <w:rsid w:val="12E52F40"/>
    <w:rsid w:val="134A0798"/>
    <w:rsid w:val="137D68B1"/>
    <w:rsid w:val="14380A75"/>
    <w:rsid w:val="143D5890"/>
    <w:rsid w:val="1441502F"/>
    <w:rsid w:val="149D0B47"/>
    <w:rsid w:val="14D26F15"/>
    <w:rsid w:val="14DA1941"/>
    <w:rsid w:val="14F079B6"/>
    <w:rsid w:val="15076601"/>
    <w:rsid w:val="15096BD6"/>
    <w:rsid w:val="15117A1C"/>
    <w:rsid w:val="154047C7"/>
    <w:rsid w:val="15457C6A"/>
    <w:rsid w:val="156B3DDA"/>
    <w:rsid w:val="159373D2"/>
    <w:rsid w:val="15CB48DA"/>
    <w:rsid w:val="15F23DFA"/>
    <w:rsid w:val="161700C9"/>
    <w:rsid w:val="162E6FCA"/>
    <w:rsid w:val="16471778"/>
    <w:rsid w:val="164A7250"/>
    <w:rsid w:val="167A1613"/>
    <w:rsid w:val="16C40EDF"/>
    <w:rsid w:val="16FB1664"/>
    <w:rsid w:val="172701C5"/>
    <w:rsid w:val="172D1C00"/>
    <w:rsid w:val="17525B3B"/>
    <w:rsid w:val="175E7107"/>
    <w:rsid w:val="176759F5"/>
    <w:rsid w:val="17810CAE"/>
    <w:rsid w:val="17B611F0"/>
    <w:rsid w:val="17C43C1A"/>
    <w:rsid w:val="18180780"/>
    <w:rsid w:val="182C78BA"/>
    <w:rsid w:val="1832359D"/>
    <w:rsid w:val="18735478"/>
    <w:rsid w:val="18F11634"/>
    <w:rsid w:val="19087285"/>
    <w:rsid w:val="190A14B4"/>
    <w:rsid w:val="19201E5D"/>
    <w:rsid w:val="19292A5C"/>
    <w:rsid w:val="19706118"/>
    <w:rsid w:val="19A60D94"/>
    <w:rsid w:val="19C76073"/>
    <w:rsid w:val="19C92FDD"/>
    <w:rsid w:val="19E33973"/>
    <w:rsid w:val="19F055ED"/>
    <w:rsid w:val="1A18065F"/>
    <w:rsid w:val="1A340CCE"/>
    <w:rsid w:val="1A5265D1"/>
    <w:rsid w:val="1A661213"/>
    <w:rsid w:val="1A7150FB"/>
    <w:rsid w:val="1A821906"/>
    <w:rsid w:val="1A8D3536"/>
    <w:rsid w:val="1A972217"/>
    <w:rsid w:val="1AE93489"/>
    <w:rsid w:val="1AF50A11"/>
    <w:rsid w:val="1B057B16"/>
    <w:rsid w:val="1B0B0CA4"/>
    <w:rsid w:val="1B1B2104"/>
    <w:rsid w:val="1B1C3115"/>
    <w:rsid w:val="1B681D71"/>
    <w:rsid w:val="1B70067D"/>
    <w:rsid w:val="1BA31359"/>
    <w:rsid w:val="1BA33DE8"/>
    <w:rsid w:val="1BBF1AC2"/>
    <w:rsid w:val="1BC412FB"/>
    <w:rsid w:val="1BD97B72"/>
    <w:rsid w:val="1BDC23A4"/>
    <w:rsid w:val="1C3901DA"/>
    <w:rsid w:val="1C496557"/>
    <w:rsid w:val="1C4D323B"/>
    <w:rsid w:val="1C557715"/>
    <w:rsid w:val="1C650896"/>
    <w:rsid w:val="1C6F4EE8"/>
    <w:rsid w:val="1C705B42"/>
    <w:rsid w:val="1CB236E8"/>
    <w:rsid w:val="1CBF5E2A"/>
    <w:rsid w:val="1CDC7E92"/>
    <w:rsid w:val="1D1323BA"/>
    <w:rsid w:val="1D60736C"/>
    <w:rsid w:val="1D695479"/>
    <w:rsid w:val="1D753908"/>
    <w:rsid w:val="1D7C631D"/>
    <w:rsid w:val="1DB931D9"/>
    <w:rsid w:val="1E400403"/>
    <w:rsid w:val="1E401074"/>
    <w:rsid w:val="1E87324B"/>
    <w:rsid w:val="1ED70ADD"/>
    <w:rsid w:val="1ED71FFD"/>
    <w:rsid w:val="1F38660B"/>
    <w:rsid w:val="1F7220FA"/>
    <w:rsid w:val="1F7B5A44"/>
    <w:rsid w:val="1F937CCF"/>
    <w:rsid w:val="1FA43B31"/>
    <w:rsid w:val="1FC36677"/>
    <w:rsid w:val="1FD016E2"/>
    <w:rsid w:val="1FE721BA"/>
    <w:rsid w:val="1FF35C4F"/>
    <w:rsid w:val="20103731"/>
    <w:rsid w:val="20325B8F"/>
    <w:rsid w:val="20364A5C"/>
    <w:rsid w:val="204653F2"/>
    <w:rsid w:val="20684BD2"/>
    <w:rsid w:val="208701F9"/>
    <w:rsid w:val="20AD5B79"/>
    <w:rsid w:val="20D2760E"/>
    <w:rsid w:val="20EC0337"/>
    <w:rsid w:val="210D5818"/>
    <w:rsid w:val="21173078"/>
    <w:rsid w:val="214F2E92"/>
    <w:rsid w:val="218C0902"/>
    <w:rsid w:val="21F911B5"/>
    <w:rsid w:val="226F7733"/>
    <w:rsid w:val="22A93BB6"/>
    <w:rsid w:val="22B470BC"/>
    <w:rsid w:val="22C2143A"/>
    <w:rsid w:val="22CA0DEA"/>
    <w:rsid w:val="22E43FC1"/>
    <w:rsid w:val="22FD7801"/>
    <w:rsid w:val="23580F2E"/>
    <w:rsid w:val="23651905"/>
    <w:rsid w:val="237C7080"/>
    <w:rsid w:val="238411EC"/>
    <w:rsid w:val="23A53ED6"/>
    <w:rsid w:val="23B955CC"/>
    <w:rsid w:val="23E2031E"/>
    <w:rsid w:val="23F9307D"/>
    <w:rsid w:val="23FE1BC6"/>
    <w:rsid w:val="243730C6"/>
    <w:rsid w:val="24444AE2"/>
    <w:rsid w:val="249046CB"/>
    <w:rsid w:val="24A13951"/>
    <w:rsid w:val="24AC2EA7"/>
    <w:rsid w:val="24B24F2D"/>
    <w:rsid w:val="24CB21A5"/>
    <w:rsid w:val="24E51B2E"/>
    <w:rsid w:val="2524195B"/>
    <w:rsid w:val="252C55B6"/>
    <w:rsid w:val="25C43C76"/>
    <w:rsid w:val="25CA43A7"/>
    <w:rsid w:val="25D520AE"/>
    <w:rsid w:val="25D55FEE"/>
    <w:rsid w:val="25F928AF"/>
    <w:rsid w:val="26005850"/>
    <w:rsid w:val="261E7C93"/>
    <w:rsid w:val="26632F8D"/>
    <w:rsid w:val="268703B4"/>
    <w:rsid w:val="269F5FA2"/>
    <w:rsid w:val="26B3157F"/>
    <w:rsid w:val="26DD4914"/>
    <w:rsid w:val="26E30614"/>
    <w:rsid w:val="26F64673"/>
    <w:rsid w:val="27140296"/>
    <w:rsid w:val="273029FF"/>
    <w:rsid w:val="2759240E"/>
    <w:rsid w:val="276F0EA7"/>
    <w:rsid w:val="27750C32"/>
    <w:rsid w:val="2783609E"/>
    <w:rsid w:val="27AB0C54"/>
    <w:rsid w:val="27BC5F2F"/>
    <w:rsid w:val="27CA1930"/>
    <w:rsid w:val="27FF0950"/>
    <w:rsid w:val="27FF653A"/>
    <w:rsid w:val="280F7257"/>
    <w:rsid w:val="282E350B"/>
    <w:rsid w:val="28345DA1"/>
    <w:rsid w:val="283628CA"/>
    <w:rsid w:val="283C55AA"/>
    <w:rsid w:val="285520D6"/>
    <w:rsid w:val="28825938"/>
    <w:rsid w:val="289546D1"/>
    <w:rsid w:val="28BF2117"/>
    <w:rsid w:val="28FE0B15"/>
    <w:rsid w:val="2915709D"/>
    <w:rsid w:val="291B12EA"/>
    <w:rsid w:val="29516F53"/>
    <w:rsid w:val="297607C1"/>
    <w:rsid w:val="2982047C"/>
    <w:rsid w:val="298B4306"/>
    <w:rsid w:val="29915AA5"/>
    <w:rsid w:val="29AE7906"/>
    <w:rsid w:val="29C535B3"/>
    <w:rsid w:val="29D457BB"/>
    <w:rsid w:val="2A00330A"/>
    <w:rsid w:val="2A2C279D"/>
    <w:rsid w:val="2A32500A"/>
    <w:rsid w:val="2A48451A"/>
    <w:rsid w:val="2A6678DA"/>
    <w:rsid w:val="2A674891"/>
    <w:rsid w:val="2ABD136E"/>
    <w:rsid w:val="2ACC71E2"/>
    <w:rsid w:val="2B236572"/>
    <w:rsid w:val="2B6208A0"/>
    <w:rsid w:val="2B7518F9"/>
    <w:rsid w:val="2B7E34FB"/>
    <w:rsid w:val="2BC01D89"/>
    <w:rsid w:val="2BC6112B"/>
    <w:rsid w:val="2BC87483"/>
    <w:rsid w:val="2BE161B0"/>
    <w:rsid w:val="2BF8505C"/>
    <w:rsid w:val="2C295200"/>
    <w:rsid w:val="2C2E0A7D"/>
    <w:rsid w:val="2C6E037D"/>
    <w:rsid w:val="2C8E7A04"/>
    <w:rsid w:val="2C950AFD"/>
    <w:rsid w:val="2CA62D0A"/>
    <w:rsid w:val="2CBC3A09"/>
    <w:rsid w:val="2CC6515A"/>
    <w:rsid w:val="2CC76509"/>
    <w:rsid w:val="2CEE50E0"/>
    <w:rsid w:val="2CF80554"/>
    <w:rsid w:val="2CF84C65"/>
    <w:rsid w:val="2CFB798B"/>
    <w:rsid w:val="2D092AFA"/>
    <w:rsid w:val="2D5E098E"/>
    <w:rsid w:val="2D7F5352"/>
    <w:rsid w:val="2D80566A"/>
    <w:rsid w:val="2DA226FC"/>
    <w:rsid w:val="2DD00946"/>
    <w:rsid w:val="2E1B4E13"/>
    <w:rsid w:val="2E27190D"/>
    <w:rsid w:val="2E334A71"/>
    <w:rsid w:val="2E3D58BC"/>
    <w:rsid w:val="2E50117F"/>
    <w:rsid w:val="2E5C55A3"/>
    <w:rsid w:val="2E8B4765"/>
    <w:rsid w:val="2E99586C"/>
    <w:rsid w:val="2EA16E3E"/>
    <w:rsid w:val="2EA761E1"/>
    <w:rsid w:val="2ECE77E5"/>
    <w:rsid w:val="2F066673"/>
    <w:rsid w:val="2F076F7E"/>
    <w:rsid w:val="2F0922C9"/>
    <w:rsid w:val="2F4C01ED"/>
    <w:rsid w:val="2F5F6595"/>
    <w:rsid w:val="2F61116A"/>
    <w:rsid w:val="2F8B10F8"/>
    <w:rsid w:val="2F9A1AAC"/>
    <w:rsid w:val="2F9B33C7"/>
    <w:rsid w:val="2FA878FF"/>
    <w:rsid w:val="2FB52FB0"/>
    <w:rsid w:val="2FBB52CF"/>
    <w:rsid w:val="2FE131CE"/>
    <w:rsid w:val="2FE66531"/>
    <w:rsid w:val="2FE83288"/>
    <w:rsid w:val="30647FDE"/>
    <w:rsid w:val="30693003"/>
    <w:rsid w:val="309C44B6"/>
    <w:rsid w:val="30A71476"/>
    <w:rsid w:val="310A3471"/>
    <w:rsid w:val="31103B08"/>
    <w:rsid w:val="31222233"/>
    <w:rsid w:val="312B7533"/>
    <w:rsid w:val="312D0307"/>
    <w:rsid w:val="31495F25"/>
    <w:rsid w:val="316F306A"/>
    <w:rsid w:val="317D5770"/>
    <w:rsid w:val="31B16B0A"/>
    <w:rsid w:val="31BA786B"/>
    <w:rsid w:val="31CA4FF9"/>
    <w:rsid w:val="31D94B0B"/>
    <w:rsid w:val="31EF31C7"/>
    <w:rsid w:val="31FB292E"/>
    <w:rsid w:val="3218163D"/>
    <w:rsid w:val="321B50AA"/>
    <w:rsid w:val="322E7A29"/>
    <w:rsid w:val="32435409"/>
    <w:rsid w:val="324557A5"/>
    <w:rsid w:val="3254256A"/>
    <w:rsid w:val="327F3EBE"/>
    <w:rsid w:val="32A00842"/>
    <w:rsid w:val="32BD7B30"/>
    <w:rsid w:val="32F935A0"/>
    <w:rsid w:val="33014F5C"/>
    <w:rsid w:val="330862C4"/>
    <w:rsid w:val="332633D4"/>
    <w:rsid w:val="334063D9"/>
    <w:rsid w:val="334D5304"/>
    <w:rsid w:val="337D5FD2"/>
    <w:rsid w:val="33FB13CA"/>
    <w:rsid w:val="34000DC3"/>
    <w:rsid w:val="340D4CA4"/>
    <w:rsid w:val="345A3B9D"/>
    <w:rsid w:val="346101E4"/>
    <w:rsid w:val="34783D52"/>
    <w:rsid w:val="348C28CA"/>
    <w:rsid w:val="34B9030A"/>
    <w:rsid w:val="34BD7A7F"/>
    <w:rsid w:val="34CE12CF"/>
    <w:rsid w:val="34D24AAF"/>
    <w:rsid w:val="350F4CD7"/>
    <w:rsid w:val="353510CF"/>
    <w:rsid w:val="354A68E1"/>
    <w:rsid w:val="35705F9A"/>
    <w:rsid w:val="357D277A"/>
    <w:rsid w:val="35AB6299"/>
    <w:rsid w:val="35D02C0A"/>
    <w:rsid w:val="35E575D4"/>
    <w:rsid w:val="361009F3"/>
    <w:rsid w:val="362D6F99"/>
    <w:rsid w:val="363E0E0D"/>
    <w:rsid w:val="364C2B74"/>
    <w:rsid w:val="36557C1C"/>
    <w:rsid w:val="366448ED"/>
    <w:rsid w:val="366879FF"/>
    <w:rsid w:val="36986264"/>
    <w:rsid w:val="36A60A0B"/>
    <w:rsid w:val="36FB71E2"/>
    <w:rsid w:val="37123557"/>
    <w:rsid w:val="372B09DB"/>
    <w:rsid w:val="375506BF"/>
    <w:rsid w:val="376940CF"/>
    <w:rsid w:val="37AA25ED"/>
    <w:rsid w:val="37C03592"/>
    <w:rsid w:val="37C13721"/>
    <w:rsid w:val="37F01067"/>
    <w:rsid w:val="37FB0037"/>
    <w:rsid w:val="37FD0B49"/>
    <w:rsid w:val="38042FDA"/>
    <w:rsid w:val="38210CF8"/>
    <w:rsid w:val="38250E54"/>
    <w:rsid w:val="38616A02"/>
    <w:rsid w:val="386A5533"/>
    <w:rsid w:val="38991974"/>
    <w:rsid w:val="38A046D4"/>
    <w:rsid w:val="38C0476F"/>
    <w:rsid w:val="38CD5D65"/>
    <w:rsid w:val="38D1695C"/>
    <w:rsid w:val="38EE5FE3"/>
    <w:rsid w:val="396D710F"/>
    <w:rsid w:val="39797B9B"/>
    <w:rsid w:val="3992697E"/>
    <w:rsid w:val="39AC2273"/>
    <w:rsid w:val="39DC7F6C"/>
    <w:rsid w:val="39F2777E"/>
    <w:rsid w:val="3A1545B8"/>
    <w:rsid w:val="3AA50AA5"/>
    <w:rsid w:val="3AB23B15"/>
    <w:rsid w:val="3ABA19D9"/>
    <w:rsid w:val="3ADE7751"/>
    <w:rsid w:val="3AF7557B"/>
    <w:rsid w:val="3B0E11A9"/>
    <w:rsid w:val="3B0F44DD"/>
    <w:rsid w:val="3B340E4A"/>
    <w:rsid w:val="3B38720E"/>
    <w:rsid w:val="3B555AF2"/>
    <w:rsid w:val="3B5F79F7"/>
    <w:rsid w:val="3B62333A"/>
    <w:rsid w:val="3B786BDA"/>
    <w:rsid w:val="3B9A58B5"/>
    <w:rsid w:val="3C2B060C"/>
    <w:rsid w:val="3CA21D15"/>
    <w:rsid w:val="3CE62899"/>
    <w:rsid w:val="3CE9681A"/>
    <w:rsid w:val="3CF24C8C"/>
    <w:rsid w:val="3D00406E"/>
    <w:rsid w:val="3D033860"/>
    <w:rsid w:val="3D0B3EEE"/>
    <w:rsid w:val="3D227E26"/>
    <w:rsid w:val="3D2D4B03"/>
    <w:rsid w:val="3D335711"/>
    <w:rsid w:val="3D346865"/>
    <w:rsid w:val="3D572D1F"/>
    <w:rsid w:val="3D784BF9"/>
    <w:rsid w:val="3D825B1E"/>
    <w:rsid w:val="3D8628C1"/>
    <w:rsid w:val="3D8D3E29"/>
    <w:rsid w:val="3DB114F7"/>
    <w:rsid w:val="3DB67169"/>
    <w:rsid w:val="3DD1448E"/>
    <w:rsid w:val="3E180861"/>
    <w:rsid w:val="3E1B55DF"/>
    <w:rsid w:val="3E2E1C9F"/>
    <w:rsid w:val="3ECB0022"/>
    <w:rsid w:val="3EE11BAB"/>
    <w:rsid w:val="3F1C50A4"/>
    <w:rsid w:val="3F4266D0"/>
    <w:rsid w:val="3F6022D0"/>
    <w:rsid w:val="3F722BB4"/>
    <w:rsid w:val="3F9E50AA"/>
    <w:rsid w:val="3FEF2674"/>
    <w:rsid w:val="40153449"/>
    <w:rsid w:val="401877CC"/>
    <w:rsid w:val="407A708F"/>
    <w:rsid w:val="407F76A2"/>
    <w:rsid w:val="41022FC1"/>
    <w:rsid w:val="41422591"/>
    <w:rsid w:val="414B42C7"/>
    <w:rsid w:val="4164332C"/>
    <w:rsid w:val="416F0CFF"/>
    <w:rsid w:val="41866FFD"/>
    <w:rsid w:val="418C74E9"/>
    <w:rsid w:val="41914089"/>
    <w:rsid w:val="41A53816"/>
    <w:rsid w:val="41C531CE"/>
    <w:rsid w:val="41D27FE6"/>
    <w:rsid w:val="41E25099"/>
    <w:rsid w:val="422579A3"/>
    <w:rsid w:val="4292271D"/>
    <w:rsid w:val="42A53ABA"/>
    <w:rsid w:val="42CB3880"/>
    <w:rsid w:val="42CF75AA"/>
    <w:rsid w:val="42F35E12"/>
    <w:rsid w:val="430339C7"/>
    <w:rsid w:val="43082A7B"/>
    <w:rsid w:val="434E1BA0"/>
    <w:rsid w:val="4359067E"/>
    <w:rsid w:val="436B15A1"/>
    <w:rsid w:val="4376472F"/>
    <w:rsid w:val="437F5369"/>
    <w:rsid w:val="43863F3B"/>
    <w:rsid w:val="43A0712E"/>
    <w:rsid w:val="43B3028A"/>
    <w:rsid w:val="444B01FF"/>
    <w:rsid w:val="448130CB"/>
    <w:rsid w:val="44895F6B"/>
    <w:rsid w:val="448E25A9"/>
    <w:rsid w:val="44A52478"/>
    <w:rsid w:val="44C3439A"/>
    <w:rsid w:val="44C35776"/>
    <w:rsid w:val="44E346A3"/>
    <w:rsid w:val="44FE0B62"/>
    <w:rsid w:val="45000FAB"/>
    <w:rsid w:val="4504447F"/>
    <w:rsid w:val="45346F44"/>
    <w:rsid w:val="4535008B"/>
    <w:rsid w:val="45573A7F"/>
    <w:rsid w:val="45793D43"/>
    <w:rsid w:val="45802EA6"/>
    <w:rsid w:val="459D764F"/>
    <w:rsid w:val="45FD46C0"/>
    <w:rsid w:val="46041172"/>
    <w:rsid w:val="461B2C71"/>
    <w:rsid w:val="46380A1F"/>
    <w:rsid w:val="463E737E"/>
    <w:rsid w:val="4656303F"/>
    <w:rsid w:val="467F7057"/>
    <w:rsid w:val="469E2BED"/>
    <w:rsid w:val="46FC0233"/>
    <w:rsid w:val="4715127B"/>
    <w:rsid w:val="472C13D1"/>
    <w:rsid w:val="47394F7B"/>
    <w:rsid w:val="47451BF7"/>
    <w:rsid w:val="475345C1"/>
    <w:rsid w:val="4766755C"/>
    <w:rsid w:val="47675025"/>
    <w:rsid w:val="476B58F6"/>
    <w:rsid w:val="47A44213"/>
    <w:rsid w:val="47C535F6"/>
    <w:rsid w:val="47D248B0"/>
    <w:rsid w:val="48380212"/>
    <w:rsid w:val="483D5805"/>
    <w:rsid w:val="488F0EFF"/>
    <w:rsid w:val="488F1292"/>
    <w:rsid w:val="48D36077"/>
    <w:rsid w:val="48D63EE7"/>
    <w:rsid w:val="48F76C5E"/>
    <w:rsid w:val="48FD0855"/>
    <w:rsid w:val="493B075F"/>
    <w:rsid w:val="494E3C94"/>
    <w:rsid w:val="49686A6D"/>
    <w:rsid w:val="4975599D"/>
    <w:rsid w:val="4986068C"/>
    <w:rsid w:val="499F671E"/>
    <w:rsid w:val="49CF7FB1"/>
    <w:rsid w:val="49E3772F"/>
    <w:rsid w:val="49EC0F50"/>
    <w:rsid w:val="4A4554B8"/>
    <w:rsid w:val="4A4D1A51"/>
    <w:rsid w:val="4AE84A0C"/>
    <w:rsid w:val="4B9C7E9C"/>
    <w:rsid w:val="4BE0370B"/>
    <w:rsid w:val="4BE40F0C"/>
    <w:rsid w:val="4BEC7A1D"/>
    <w:rsid w:val="4C031945"/>
    <w:rsid w:val="4C13528A"/>
    <w:rsid w:val="4C1E205A"/>
    <w:rsid w:val="4C307273"/>
    <w:rsid w:val="4C702C83"/>
    <w:rsid w:val="4C904C0B"/>
    <w:rsid w:val="4C9E6619"/>
    <w:rsid w:val="4CAC1787"/>
    <w:rsid w:val="4CCF2C0F"/>
    <w:rsid w:val="4CDC2642"/>
    <w:rsid w:val="4CF57DDD"/>
    <w:rsid w:val="4CFC5474"/>
    <w:rsid w:val="4D066492"/>
    <w:rsid w:val="4D0A1810"/>
    <w:rsid w:val="4D0B1261"/>
    <w:rsid w:val="4D417DCA"/>
    <w:rsid w:val="4D506026"/>
    <w:rsid w:val="4D7A7AAC"/>
    <w:rsid w:val="4D8473F3"/>
    <w:rsid w:val="4DA20F58"/>
    <w:rsid w:val="4DB93F32"/>
    <w:rsid w:val="4DC8133C"/>
    <w:rsid w:val="4DEC1B2F"/>
    <w:rsid w:val="4DF91A2E"/>
    <w:rsid w:val="4E44443C"/>
    <w:rsid w:val="4E4B32B9"/>
    <w:rsid w:val="4EAC26F8"/>
    <w:rsid w:val="4ED02A03"/>
    <w:rsid w:val="4EE51FAD"/>
    <w:rsid w:val="4EEF7AC1"/>
    <w:rsid w:val="4F49330A"/>
    <w:rsid w:val="4F575F9B"/>
    <w:rsid w:val="4F704095"/>
    <w:rsid w:val="4F9134C1"/>
    <w:rsid w:val="4FD13DD5"/>
    <w:rsid w:val="4FD277EE"/>
    <w:rsid w:val="4FDA6825"/>
    <w:rsid w:val="4FF91E2D"/>
    <w:rsid w:val="500E733E"/>
    <w:rsid w:val="50243F69"/>
    <w:rsid w:val="502D4AC1"/>
    <w:rsid w:val="5088787C"/>
    <w:rsid w:val="508B3343"/>
    <w:rsid w:val="5090016C"/>
    <w:rsid w:val="509B4084"/>
    <w:rsid w:val="509C63AE"/>
    <w:rsid w:val="50A0365F"/>
    <w:rsid w:val="50E94956"/>
    <w:rsid w:val="511F2F53"/>
    <w:rsid w:val="513A3121"/>
    <w:rsid w:val="51437E89"/>
    <w:rsid w:val="514E771A"/>
    <w:rsid w:val="51677165"/>
    <w:rsid w:val="51AF0557"/>
    <w:rsid w:val="51B4382B"/>
    <w:rsid w:val="51B500E3"/>
    <w:rsid w:val="51BD44FC"/>
    <w:rsid w:val="51DD11BA"/>
    <w:rsid w:val="525B674D"/>
    <w:rsid w:val="527F6A44"/>
    <w:rsid w:val="52803AE4"/>
    <w:rsid w:val="528A5AE8"/>
    <w:rsid w:val="532A59AE"/>
    <w:rsid w:val="533837C7"/>
    <w:rsid w:val="533D4D15"/>
    <w:rsid w:val="536F79F0"/>
    <w:rsid w:val="538C7778"/>
    <w:rsid w:val="538F1E7C"/>
    <w:rsid w:val="53A23487"/>
    <w:rsid w:val="54452AE2"/>
    <w:rsid w:val="546C782C"/>
    <w:rsid w:val="5490661A"/>
    <w:rsid w:val="54A8615D"/>
    <w:rsid w:val="54AD07A9"/>
    <w:rsid w:val="54DE6C35"/>
    <w:rsid w:val="551157A3"/>
    <w:rsid w:val="551C0BAE"/>
    <w:rsid w:val="551D2A29"/>
    <w:rsid w:val="55362F9B"/>
    <w:rsid w:val="553E1482"/>
    <w:rsid w:val="55486565"/>
    <w:rsid w:val="5592364D"/>
    <w:rsid w:val="55AD6D4A"/>
    <w:rsid w:val="55CE2DE8"/>
    <w:rsid w:val="55DF69AB"/>
    <w:rsid w:val="55ED5D3C"/>
    <w:rsid w:val="561F2FF1"/>
    <w:rsid w:val="564718DC"/>
    <w:rsid w:val="56665134"/>
    <w:rsid w:val="56767FC9"/>
    <w:rsid w:val="56B7027F"/>
    <w:rsid w:val="56CA715C"/>
    <w:rsid w:val="56D63BC5"/>
    <w:rsid w:val="56F47E7A"/>
    <w:rsid w:val="573214BA"/>
    <w:rsid w:val="5758166F"/>
    <w:rsid w:val="57596352"/>
    <w:rsid w:val="578F4512"/>
    <w:rsid w:val="57B277DD"/>
    <w:rsid w:val="57C00CA8"/>
    <w:rsid w:val="58176AEE"/>
    <w:rsid w:val="58410B69"/>
    <w:rsid w:val="586B6A32"/>
    <w:rsid w:val="588F4AE5"/>
    <w:rsid w:val="589046EB"/>
    <w:rsid w:val="58B12A21"/>
    <w:rsid w:val="58FA4131"/>
    <w:rsid w:val="5945038A"/>
    <w:rsid w:val="596127C1"/>
    <w:rsid w:val="599010F4"/>
    <w:rsid w:val="5990127D"/>
    <w:rsid w:val="599527AB"/>
    <w:rsid w:val="599C0E6D"/>
    <w:rsid w:val="599F79BF"/>
    <w:rsid w:val="59AC1C60"/>
    <w:rsid w:val="59D35EBA"/>
    <w:rsid w:val="59ED6C83"/>
    <w:rsid w:val="5A026FA5"/>
    <w:rsid w:val="5A380B96"/>
    <w:rsid w:val="5A3E2FA4"/>
    <w:rsid w:val="5A491792"/>
    <w:rsid w:val="5A501F74"/>
    <w:rsid w:val="5AA31DBD"/>
    <w:rsid w:val="5ACE5C9D"/>
    <w:rsid w:val="5ADB7654"/>
    <w:rsid w:val="5B156D3A"/>
    <w:rsid w:val="5B461196"/>
    <w:rsid w:val="5B7C177C"/>
    <w:rsid w:val="5B8819FA"/>
    <w:rsid w:val="5BBE70FA"/>
    <w:rsid w:val="5BD3501A"/>
    <w:rsid w:val="5BE44CCB"/>
    <w:rsid w:val="5C0E22CD"/>
    <w:rsid w:val="5C1847F0"/>
    <w:rsid w:val="5C230B77"/>
    <w:rsid w:val="5C2C3C85"/>
    <w:rsid w:val="5C8136E5"/>
    <w:rsid w:val="5C8448D6"/>
    <w:rsid w:val="5CD722F5"/>
    <w:rsid w:val="5D211242"/>
    <w:rsid w:val="5D3F3701"/>
    <w:rsid w:val="5D620954"/>
    <w:rsid w:val="5D731EE5"/>
    <w:rsid w:val="5D9D49F5"/>
    <w:rsid w:val="5DB06D1D"/>
    <w:rsid w:val="5DC56BE4"/>
    <w:rsid w:val="5DCE0087"/>
    <w:rsid w:val="5DD13863"/>
    <w:rsid w:val="5E3A5122"/>
    <w:rsid w:val="5E441896"/>
    <w:rsid w:val="5E870365"/>
    <w:rsid w:val="5EEA61D6"/>
    <w:rsid w:val="5F024C65"/>
    <w:rsid w:val="5F823C9A"/>
    <w:rsid w:val="5F841266"/>
    <w:rsid w:val="5FC7230E"/>
    <w:rsid w:val="60006366"/>
    <w:rsid w:val="600571AD"/>
    <w:rsid w:val="601408D4"/>
    <w:rsid w:val="60352E5F"/>
    <w:rsid w:val="60675D31"/>
    <w:rsid w:val="60944CE0"/>
    <w:rsid w:val="609E371C"/>
    <w:rsid w:val="60B1790C"/>
    <w:rsid w:val="60DA66F3"/>
    <w:rsid w:val="60F80E78"/>
    <w:rsid w:val="612B50EC"/>
    <w:rsid w:val="61324A03"/>
    <w:rsid w:val="613D0B13"/>
    <w:rsid w:val="61646A72"/>
    <w:rsid w:val="61720E31"/>
    <w:rsid w:val="61722012"/>
    <w:rsid w:val="618927E7"/>
    <w:rsid w:val="618F2F87"/>
    <w:rsid w:val="61A816C3"/>
    <w:rsid w:val="61F50A90"/>
    <w:rsid w:val="622C2433"/>
    <w:rsid w:val="622F5259"/>
    <w:rsid w:val="62594F48"/>
    <w:rsid w:val="62597773"/>
    <w:rsid w:val="62B30F30"/>
    <w:rsid w:val="631E3C8B"/>
    <w:rsid w:val="631E5C9D"/>
    <w:rsid w:val="6335153E"/>
    <w:rsid w:val="6353599B"/>
    <w:rsid w:val="63751636"/>
    <w:rsid w:val="637F725F"/>
    <w:rsid w:val="64391A38"/>
    <w:rsid w:val="644653F8"/>
    <w:rsid w:val="64556721"/>
    <w:rsid w:val="645A4D66"/>
    <w:rsid w:val="645B7FD1"/>
    <w:rsid w:val="64810C65"/>
    <w:rsid w:val="64B943B5"/>
    <w:rsid w:val="64BB7C08"/>
    <w:rsid w:val="64CB0CDD"/>
    <w:rsid w:val="64D73705"/>
    <w:rsid w:val="64F303AD"/>
    <w:rsid w:val="65272094"/>
    <w:rsid w:val="65775F7F"/>
    <w:rsid w:val="65A61E88"/>
    <w:rsid w:val="65D339D0"/>
    <w:rsid w:val="65DB42D5"/>
    <w:rsid w:val="65EC46C4"/>
    <w:rsid w:val="65ED1915"/>
    <w:rsid w:val="66105AF8"/>
    <w:rsid w:val="6662280F"/>
    <w:rsid w:val="666B40A1"/>
    <w:rsid w:val="668737DF"/>
    <w:rsid w:val="66A7327C"/>
    <w:rsid w:val="66AA4BC9"/>
    <w:rsid w:val="66B10390"/>
    <w:rsid w:val="66CC0565"/>
    <w:rsid w:val="66DB322D"/>
    <w:rsid w:val="6718704A"/>
    <w:rsid w:val="67296D16"/>
    <w:rsid w:val="676B256B"/>
    <w:rsid w:val="678C29CD"/>
    <w:rsid w:val="67A975F2"/>
    <w:rsid w:val="67BE616D"/>
    <w:rsid w:val="67C95698"/>
    <w:rsid w:val="67F97BD7"/>
    <w:rsid w:val="68383943"/>
    <w:rsid w:val="683D257C"/>
    <w:rsid w:val="684B6396"/>
    <w:rsid w:val="6869744D"/>
    <w:rsid w:val="689C44C7"/>
    <w:rsid w:val="68AB54B4"/>
    <w:rsid w:val="68B25FB7"/>
    <w:rsid w:val="68D83349"/>
    <w:rsid w:val="68D86142"/>
    <w:rsid w:val="690F16B3"/>
    <w:rsid w:val="691427CE"/>
    <w:rsid w:val="694411D5"/>
    <w:rsid w:val="694B4911"/>
    <w:rsid w:val="69795E15"/>
    <w:rsid w:val="698C2A7F"/>
    <w:rsid w:val="69C87406"/>
    <w:rsid w:val="6A0D24A8"/>
    <w:rsid w:val="6A6A468C"/>
    <w:rsid w:val="6AA55F17"/>
    <w:rsid w:val="6AC41729"/>
    <w:rsid w:val="6AE92FB5"/>
    <w:rsid w:val="6B346D2C"/>
    <w:rsid w:val="6B391E5F"/>
    <w:rsid w:val="6B5B1171"/>
    <w:rsid w:val="6B612710"/>
    <w:rsid w:val="6B6317EA"/>
    <w:rsid w:val="6B771559"/>
    <w:rsid w:val="6BA22313"/>
    <w:rsid w:val="6BB508FE"/>
    <w:rsid w:val="6BEE555D"/>
    <w:rsid w:val="6C15502B"/>
    <w:rsid w:val="6C353FEF"/>
    <w:rsid w:val="6C6E372B"/>
    <w:rsid w:val="6CB84BD4"/>
    <w:rsid w:val="6CC50E50"/>
    <w:rsid w:val="6CCB5428"/>
    <w:rsid w:val="6CFD0B2A"/>
    <w:rsid w:val="6D062766"/>
    <w:rsid w:val="6D3B6567"/>
    <w:rsid w:val="6D444FF0"/>
    <w:rsid w:val="6D77332B"/>
    <w:rsid w:val="6D807599"/>
    <w:rsid w:val="6D9A53F6"/>
    <w:rsid w:val="6D9F1ACF"/>
    <w:rsid w:val="6DB71AA0"/>
    <w:rsid w:val="6DE05A84"/>
    <w:rsid w:val="6DF46DCD"/>
    <w:rsid w:val="6DFB5F7D"/>
    <w:rsid w:val="6E067260"/>
    <w:rsid w:val="6E227CE1"/>
    <w:rsid w:val="6E314744"/>
    <w:rsid w:val="6E6C09B6"/>
    <w:rsid w:val="6E84121C"/>
    <w:rsid w:val="6E966200"/>
    <w:rsid w:val="6EA77C40"/>
    <w:rsid w:val="6EE024ED"/>
    <w:rsid w:val="6F2543FF"/>
    <w:rsid w:val="6F295A5C"/>
    <w:rsid w:val="6F4835C2"/>
    <w:rsid w:val="6F495AA3"/>
    <w:rsid w:val="6F696F90"/>
    <w:rsid w:val="6F6C2495"/>
    <w:rsid w:val="6F8974A8"/>
    <w:rsid w:val="6FB037CE"/>
    <w:rsid w:val="6FCE55C1"/>
    <w:rsid w:val="6FD26F31"/>
    <w:rsid w:val="6FE46615"/>
    <w:rsid w:val="6FEC0E99"/>
    <w:rsid w:val="70152925"/>
    <w:rsid w:val="7016644C"/>
    <w:rsid w:val="70372821"/>
    <w:rsid w:val="7057141F"/>
    <w:rsid w:val="705D3261"/>
    <w:rsid w:val="706E42EA"/>
    <w:rsid w:val="70862534"/>
    <w:rsid w:val="7089162F"/>
    <w:rsid w:val="70935415"/>
    <w:rsid w:val="70BC291B"/>
    <w:rsid w:val="70C00391"/>
    <w:rsid w:val="70CE5958"/>
    <w:rsid w:val="70E11346"/>
    <w:rsid w:val="70F8408A"/>
    <w:rsid w:val="71244E08"/>
    <w:rsid w:val="712E5766"/>
    <w:rsid w:val="713C5EE6"/>
    <w:rsid w:val="714E4B6C"/>
    <w:rsid w:val="71502FC1"/>
    <w:rsid w:val="71507C07"/>
    <w:rsid w:val="71B522D5"/>
    <w:rsid w:val="71C744AE"/>
    <w:rsid w:val="71EF0FA0"/>
    <w:rsid w:val="721101F2"/>
    <w:rsid w:val="721B3D15"/>
    <w:rsid w:val="722815B7"/>
    <w:rsid w:val="725B4947"/>
    <w:rsid w:val="72606460"/>
    <w:rsid w:val="72756235"/>
    <w:rsid w:val="727915C5"/>
    <w:rsid w:val="728F3792"/>
    <w:rsid w:val="72921F51"/>
    <w:rsid w:val="72A52697"/>
    <w:rsid w:val="72CB67AE"/>
    <w:rsid w:val="72EE727C"/>
    <w:rsid w:val="732B2C7E"/>
    <w:rsid w:val="733674D3"/>
    <w:rsid w:val="73384B07"/>
    <w:rsid w:val="73460DAE"/>
    <w:rsid w:val="73495AED"/>
    <w:rsid w:val="73521E44"/>
    <w:rsid w:val="737150BE"/>
    <w:rsid w:val="739C5223"/>
    <w:rsid w:val="73C45E3E"/>
    <w:rsid w:val="73D73438"/>
    <w:rsid w:val="73DE9A3C"/>
    <w:rsid w:val="73E26085"/>
    <w:rsid w:val="73F6722A"/>
    <w:rsid w:val="740D0E8E"/>
    <w:rsid w:val="74813BF0"/>
    <w:rsid w:val="748F1884"/>
    <w:rsid w:val="7496716E"/>
    <w:rsid w:val="74AC7D5E"/>
    <w:rsid w:val="74D02A5E"/>
    <w:rsid w:val="74F75C5C"/>
    <w:rsid w:val="751D63D3"/>
    <w:rsid w:val="7546208F"/>
    <w:rsid w:val="756B7648"/>
    <w:rsid w:val="758D744C"/>
    <w:rsid w:val="75910399"/>
    <w:rsid w:val="759625D2"/>
    <w:rsid w:val="75AC36CA"/>
    <w:rsid w:val="75C8029C"/>
    <w:rsid w:val="75D563A8"/>
    <w:rsid w:val="75E000D7"/>
    <w:rsid w:val="75E4156A"/>
    <w:rsid w:val="75EC5D92"/>
    <w:rsid w:val="760850CA"/>
    <w:rsid w:val="760857E1"/>
    <w:rsid w:val="760F4952"/>
    <w:rsid w:val="76184F34"/>
    <w:rsid w:val="763C5112"/>
    <w:rsid w:val="764140F9"/>
    <w:rsid w:val="76497FB8"/>
    <w:rsid w:val="765200F0"/>
    <w:rsid w:val="765E560E"/>
    <w:rsid w:val="766D6E11"/>
    <w:rsid w:val="767F83B3"/>
    <w:rsid w:val="76962183"/>
    <w:rsid w:val="76B96437"/>
    <w:rsid w:val="76E9710E"/>
    <w:rsid w:val="77636B63"/>
    <w:rsid w:val="779517F7"/>
    <w:rsid w:val="77BF1FC9"/>
    <w:rsid w:val="77F03C7B"/>
    <w:rsid w:val="7800001A"/>
    <w:rsid w:val="780E7802"/>
    <w:rsid w:val="78293150"/>
    <w:rsid w:val="784219CC"/>
    <w:rsid w:val="784B70C0"/>
    <w:rsid w:val="785E1780"/>
    <w:rsid w:val="78602C3C"/>
    <w:rsid w:val="78987DC8"/>
    <w:rsid w:val="78B23E01"/>
    <w:rsid w:val="78B41116"/>
    <w:rsid w:val="78C342EE"/>
    <w:rsid w:val="78FF080F"/>
    <w:rsid w:val="798716FB"/>
    <w:rsid w:val="79AB23BC"/>
    <w:rsid w:val="79C64BDE"/>
    <w:rsid w:val="79C8680E"/>
    <w:rsid w:val="7A255A00"/>
    <w:rsid w:val="7A7B02F7"/>
    <w:rsid w:val="7ABD2CC5"/>
    <w:rsid w:val="7B110BE9"/>
    <w:rsid w:val="7B145F81"/>
    <w:rsid w:val="7B164E23"/>
    <w:rsid w:val="7B2A7FA8"/>
    <w:rsid w:val="7B2D0582"/>
    <w:rsid w:val="7B40302C"/>
    <w:rsid w:val="7B533629"/>
    <w:rsid w:val="7B5F01E5"/>
    <w:rsid w:val="7BD76B13"/>
    <w:rsid w:val="7BD774D1"/>
    <w:rsid w:val="7C0D66EA"/>
    <w:rsid w:val="7C4B4A9B"/>
    <w:rsid w:val="7C4F040F"/>
    <w:rsid w:val="7C624285"/>
    <w:rsid w:val="7C85775F"/>
    <w:rsid w:val="7C8A4650"/>
    <w:rsid w:val="7CA8101D"/>
    <w:rsid w:val="7CAB4B18"/>
    <w:rsid w:val="7CB24290"/>
    <w:rsid w:val="7CC34A72"/>
    <w:rsid w:val="7CC811A2"/>
    <w:rsid w:val="7CD9575A"/>
    <w:rsid w:val="7CE30B01"/>
    <w:rsid w:val="7CED5B14"/>
    <w:rsid w:val="7CF51263"/>
    <w:rsid w:val="7D2850B0"/>
    <w:rsid w:val="7D2A203D"/>
    <w:rsid w:val="7D3C71F3"/>
    <w:rsid w:val="7D6C5BF3"/>
    <w:rsid w:val="7D95529E"/>
    <w:rsid w:val="7DA215F8"/>
    <w:rsid w:val="7DB15550"/>
    <w:rsid w:val="7DC270EA"/>
    <w:rsid w:val="7DE317EC"/>
    <w:rsid w:val="7DEA3E2D"/>
    <w:rsid w:val="7DFB2240"/>
    <w:rsid w:val="7E1974D8"/>
    <w:rsid w:val="7E581B22"/>
    <w:rsid w:val="7E7FD9E0"/>
    <w:rsid w:val="7E931AFC"/>
    <w:rsid w:val="7EB322E4"/>
    <w:rsid w:val="7EBB014B"/>
    <w:rsid w:val="7ECE38F0"/>
    <w:rsid w:val="7EF60F16"/>
    <w:rsid w:val="7F5702AE"/>
    <w:rsid w:val="7F690CF8"/>
    <w:rsid w:val="7FA06023"/>
    <w:rsid w:val="7FC5661A"/>
    <w:rsid w:val="7FD151E4"/>
    <w:rsid w:val="D79E349B"/>
    <w:rsid w:val="D7FFFB1A"/>
    <w:rsid w:val="EEFEFE2A"/>
    <w:rsid w:val="EFFB1862"/>
    <w:rsid w:val="F5DD22E7"/>
    <w:rsid w:val="F7BF5FA6"/>
    <w:rsid w:val="FBF72C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99"/>
    <w:pPr>
      <w:keepNext/>
      <w:keepLines/>
      <w:spacing w:before="340" w:after="330" w:line="578" w:lineRule="auto"/>
      <w:ind w:firstLine="200" w:firstLineChars="200"/>
      <w:outlineLvl w:val="0"/>
    </w:pPr>
    <w:rPr>
      <w:rFonts w:ascii="Calibri" w:hAnsi="Calibri"/>
      <w:b/>
      <w:bCs/>
      <w:kern w:val="44"/>
      <w:sz w:val="44"/>
      <w:szCs w:val="44"/>
    </w:rPr>
  </w:style>
  <w:style w:type="paragraph" w:styleId="3">
    <w:name w:val="heading 2"/>
    <w:basedOn w:val="1"/>
    <w:next w:val="1"/>
    <w:link w:val="27"/>
    <w:qFormat/>
    <w:uiPriority w:val="99"/>
    <w:pPr>
      <w:keepNext/>
      <w:keepLines/>
      <w:spacing w:before="260" w:after="260" w:line="416" w:lineRule="auto"/>
      <w:ind w:firstLine="200" w:firstLineChars="200"/>
      <w:outlineLvl w:val="1"/>
    </w:pPr>
    <w:rPr>
      <w:rFonts w:ascii="Cambria" w:hAnsi="Cambria" w:cstheme="majorBidi"/>
      <w:b/>
      <w:bCs/>
      <w:sz w:val="32"/>
      <w:szCs w:val="32"/>
    </w:rPr>
  </w:style>
  <w:style w:type="paragraph" w:styleId="4">
    <w:name w:val="heading 3"/>
    <w:basedOn w:val="1"/>
    <w:next w:val="1"/>
    <w:link w:val="28"/>
    <w:qFormat/>
    <w:uiPriority w:val="99"/>
    <w:pPr>
      <w:keepNext/>
      <w:keepLines/>
      <w:spacing w:before="260" w:after="260" w:line="416" w:lineRule="auto"/>
      <w:ind w:firstLine="200" w:firstLineChars="200"/>
      <w:outlineLvl w:val="2"/>
    </w:pPr>
    <w:rPr>
      <w:rFonts w:ascii="Calibri" w:hAnsi="Calibri"/>
      <w:b/>
      <w:bCs/>
      <w:sz w:val="32"/>
      <w:szCs w:val="32"/>
    </w:rPr>
  </w:style>
  <w:style w:type="paragraph" w:styleId="5">
    <w:name w:val="heading 4"/>
    <w:basedOn w:val="1"/>
    <w:next w:val="1"/>
    <w:link w:val="29"/>
    <w:qFormat/>
    <w:uiPriority w:val="99"/>
    <w:pPr>
      <w:keepNext/>
      <w:keepLines/>
      <w:spacing w:before="280" w:after="290" w:line="376" w:lineRule="auto"/>
      <w:ind w:firstLine="200" w:firstLineChars="200"/>
      <w:outlineLvl w:val="3"/>
    </w:pPr>
    <w:rPr>
      <w:rFonts w:ascii="Cambria" w:hAnsi="Cambria" w:cstheme="majorBidi"/>
      <w:b/>
      <w:bCs/>
      <w:sz w:val="28"/>
      <w:szCs w:val="28"/>
    </w:rPr>
  </w:style>
  <w:style w:type="paragraph" w:styleId="6">
    <w:name w:val="heading 5"/>
    <w:basedOn w:val="1"/>
    <w:next w:val="1"/>
    <w:link w:val="30"/>
    <w:qFormat/>
    <w:uiPriority w:val="99"/>
    <w:pPr>
      <w:keepNext/>
      <w:keepLines/>
      <w:spacing w:before="280" w:after="290" w:line="376" w:lineRule="auto"/>
      <w:ind w:firstLine="200" w:firstLineChars="200"/>
      <w:outlineLvl w:val="4"/>
    </w:pPr>
    <w:rPr>
      <w:rFonts w:ascii="Calibri" w:hAnsi="Calibri"/>
      <w:b/>
      <w:bCs/>
      <w:sz w:val="28"/>
      <w:szCs w:val="28"/>
    </w:rPr>
  </w:style>
  <w:style w:type="paragraph" w:styleId="7">
    <w:name w:val="heading 6"/>
    <w:basedOn w:val="1"/>
    <w:next w:val="1"/>
    <w:link w:val="31"/>
    <w:qFormat/>
    <w:uiPriority w:val="99"/>
    <w:pPr>
      <w:keepNext/>
      <w:keepLines/>
      <w:spacing w:before="240" w:after="64" w:line="320" w:lineRule="auto"/>
      <w:ind w:firstLine="200" w:firstLineChars="200"/>
      <w:outlineLvl w:val="5"/>
    </w:pPr>
    <w:rPr>
      <w:rFonts w:ascii="Cambria" w:hAnsi="Cambria" w:cstheme="majorBidi"/>
      <w:b/>
      <w:bCs/>
      <w:sz w:val="24"/>
    </w:rPr>
  </w:style>
  <w:style w:type="paragraph" w:styleId="8">
    <w:name w:val="heading 7"/>
    <w:basedOn w:val="1"/>
    <w:next w:val="1"/>
    <w:link w:val="32"/>
    <w:qFormat/>
    <w:uiPriority w:val="99"/>
    <w:pPr>
      <w:keepNext/>
      <w:keepLines/>
      <w:spacing w:before="240" w:after="64" w:line="320" w:lineRule="auto"/>
      <w:ind w:firstLine="200" w:firstLineChars="200"/>
      <w:outlineLvl w:val="6"/>
    </w:pPr>
    <w:rPr>
      <w:rFonts w:ascii="Calibri" w:hAnsi="Calibri"/>
      <w:b/>
      <w:bCs/>
      <w:sz w:val="24"/>
    </w:rPr>
  </w:style>
  <w:style w:type="paragraph" w:styleId="9">
    <w:name w:val="heading 8"/>
    <w:basedOn w:val="1"/>
    <w:next w:val="1"/>
    <w:link w:val="33"/>
    <w:qFormat/>
    <w:uiPriority w:val="99"/>
    <w:pPr>
      <w:keepNext/>
      <w:keepLines/>
      <w:spacing w:before="240" w:after="64" w:line="320" w:lineRule="auto"/>
      <w:ind w:firstLine="200" w:firstLineChars="200"/>
      <w:outlineLvl w:val="7"/>
    </w:pPr>
    <w:rPr>
      <w:rFonts w:ascii="Cambria" w:hAnsi="Cambria" w:cstheme="majorBidi"/>
      <w:sz w:val="24"/>
    </w:rPr>
  </w:style>
  <w:style w:type="paragraph" w:styleId="10">
    <w:name w:val="heading 9"/>
    <w:basedOn w:val="1"/>
    <w:next w:val="1"/>
    <w:link w:val="34"/>
    <w:qFormat/>
    <w:uiPriority w:val="99"/>
    <w:pPr>
      <w:keepNext/>
      <w:keepLines/>
      <w:spacing w:before="240" w:after="64" w:line="320" w:lineRule="auto"/>
      <w:ind w:firstLine="200" w:firstLineChars="200"/>
      <w:outlineLvl w:val="8"/>
    </w:pPr>
    <w:rPr>
      <w:rFonts w:ascii="Cambria" w:hAnsi="Cambria" w:cstheme="majorBidi"/>
      <w:szCs w:val="21"/>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99"/>
    <w:rPr>
      <w:rFonts w:ascii="Cambria" w:hAnsi="Cambria" w:eastAsia="黑体" w:cstheme="majorBidi"/>
      <w:sz w:val="20"/>
      <w:szCs w:val="20"/>
    </w:rPr>
  </w:style>
  <w:style w:type="paragraph" w:styleId="12">
    <w:name w:val="annotation text"/>
    <w:basedOn w:val="1"/>
    <w:link w:val="56"/>
    <w:unhideWhenUsed/>
    <w:qFormat/>
    <w:uiPriority w:val="99"/>
    <w:pPr>
      <w:jc w:val="left"/>
    </w:pPr>
  </w:style>
  <w:style w:type="paragraph" w:styleId="13">
    <w:name w:val="Balloon Text"/>
    <w:basedOn w:val="1"/>
    <w:link w:val="52"/>
    <w:semiHidden/>
    <w:unhideWhenUsed/>
    <w:qFormat/>
    <w:uiPriority w:val="99"/>
    <w:rPr>
      <w:sz w:val="18"/>
      <w:szCs w:val="18"/>
    </w:rPr>
  </w:style>
  <w:style w:type="paragraph" w:styleId="14">
    <w:name w:val="footer"/>
    <w:basedOn w:val="1"/>
    <w:link w:val="51"/>
    <w:unhideWhenUsed/>
    <w:qFormat/>
    <w:uiPriority w:val="99"/>
    <w:pPr>
      <w:tabs>
        <w:tab w:val="center" w:pos="4153"/>
        <w:tab w:val="right" w:pos="8306"/>
      </w:tabs>
      <w:snapToGrid w:val="0"/>
      <w:jc w:val="left"/>
    </w:pPr>
    <w:rPr>
      <w:sz w:val="18"/>
      <w:szCs w:val="18"/>
    </w:rPr>
  </w:style>
  <w:style w:type="paragraph" w:styleId="15">
    <w:name w:val="header"/>
    <w:basedOn w:val="1"/>
    <w:link w:val="50"/>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6"/>
    <w:qFormat/>
    <w:uiPriority w:val="99"/>
    <w:pPr>
      <w:spacing w:before="240" w:after="60" w:line="312" w:lineRule="auto"/>
      <w:ind w:firstLine="200" w:firstLineChars="200"/>
      <w:jc w:val="center"/>
      <w:outlineLvl w:val="1"/>
    </w:pPr>
    <w:rPr>
      <w:rFonts w:ascii="Cambria" w:hAnsi="Cambria" w:cstheme="majorBidi"/>
      <w:b/>
      <w:bCs/>
      <w:kern w:val="28"/>
      <w:sz w:val="32"/>
      <w:szCs w:val="32"/>
    </w:rPr>
  </w:style>
  <w:style w:type="paragraph" w:styleId="17">
    <w:name w:val="HTML Preformatted"/>
    <w:basedOn w:val="1"/>
    <w:link w:val="53"/>
    <w:semiHidden/>
    <w:unhideWhenUsed/>
    <w:qFormat/>
    <w:uiPriority w:val="99"/>
    <w:rPr>
      <w:rFonts w:ascii="Courier New" w:hAnsi="Courier New" w:cs="Courier New"/>
      <w:sz w:val="20"/>
      <w:szCs w:val="20"/>
    </w:rPr>
  </w:style>
  <w:style w:type="paragraph" w:styleId="18">
    <w:name w:val="Title"/>
    <w:basedOn w:val="1"/>
    <w:next w:val="1"/>
    <w:link w:val="35"/>
    <w:qFormat/>
    <w:uiPriority w:val="99"/>
    <w:pPr>
      <w:spacing w:before="240" w:after="60" w:line="360" w:lineRule="auto"/>
      <w:ind w:firstLine="200" w:firstLineChars="200"/>
      <w:jc w:val="center"/>
      <w:outlineLvl w:val="0"/>
    </w:pPr>
    <w:rPr>
      <w:rFonts w:ascii="Cambria" w:hAnsi="Cambria" w:cstheme="majorBidi"/>
      <w:b/>
      <w:bCs/>
      <w:sz w:val="32"/>
      <w:szCs w:val="32"/>
    </w:rPr>
  </w:style>
  <w:style w:type="paragraph" w:styleId="19">
    <w:name w:val="annotation subject"/>
    <w:basedOn w:val="12"/>
    <w:next w:val="12"/>
    <w:link w:val="57"/>
    <w:semiHidden/>
    <w:unhideWhenUsed/>
    <w:qFormat/>
    <w:uiPriority w:val="99"/>
    <w:rPr>
      <w:b/>
      <w:bCs/>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99"/>
    <w:rPr>
      <w:rFonts w:cs="Times New Roman"/>
      <w:b/>
    </w:rPr>
  </w:style>
  <w:style w:type="character" w:styleId="24">
    <w:name w:val="Emphasis"/>
    <w:basedOn w:val="22"/>
    <w:qFormat/>
    <w:uiPriority w:val="99"/>
    <w:rPr>
      <w:rFonts w:cs="Times New Roman"/>
      <w:i/>
    </w:rPr>
  </w:style>
  <w:style w:type="character" w:styleId="25">
    <w:name w:val="annotation reference"/>
    <w:basedOn w:val="22"/>
    <w:semiHidden/>
    <w:unhideWhenUsed/>
    <w:qFormat/>
    <w:uiPriority w:val="99"/>
    <w:rPr>
      <w:sz w:val="21"/>
      <w:szCs w:val="21"/>
    </w:rPr>
  </w:style>
  <w:style w:type="character" w:customStyle="1" w:styleId="26">
    <w:name w:val="标题 1 字符"/>
    <w:basedOn w:val="22"/>
    <w:link w:val="2"/>
    <w:qFormat/>
    <w:uiPriority w:val="99"/>
    <w:rPr>
      <w:rFonts w:cs="Times New Roman"/>
      <w:b/>
      <w:bCs/>
      <w:kern w:val="44"/>
      <w:sz w:val="44"/>
      <w:szCs w:val="44"/>
    </w:rPr>
  </w:style>
  <w:style w:type="character" w:customStyle="1" w:styleId="27">
    <w:name w:val="标题 2 字符"/>
    <w:basedOn w:val="22"/>
    <w:link w:val="3"/>
    <w:qFormat/>
    <w:uiPriority w:val="99"/>
    <w:rPr>
      <w:rFonts w:ascii="Cambria" w:hAnsi="Cambria" w:cstheme="majorBidi"/>
      <w:b/>
      <w:bCs/>
      <w:sz w:val="32"/>
      <w:szCs w:val="32"/>
    </w:rPr>
  </w:style>
  <w:style w:type="character" w:customStyle="1" w:styleId="28">
    <w:name w:val="标题 3 字符"/>
    <w:basedOn w:val="22"/>
    <w:link w:val="4"/>
    <w:qFormat/>
    <w:uiPriority w:val="99"/>
    <w:rPr>
      <w:rFonts w:cs="Times New Roman"/>
      <w:b/>
      <w:bCs/>
      <w:sz w:val="32"/>
      <w:szCs w:val="32"/>
    </w:rPr>
  </w:style>
  <w:style w:type="character" w:customStyle="1" w:styleId="29">
    <w:name w:val="标题 4 字符"/>
    <w:basedOn w:val="22"/>
    <w:link w:val="5"/>
    <w:qFormat/>
    <w:uiPriority w:val="99"/>
    <w:rPr>
      <w:rFonts w:ascii="Cambria" w:hAnsi="Cambria" w:cstheme="majorBidi"/>
      <w:b/>
      <w:bCs/>
      <w:sz w:val="28"/>
      <w:szCs w:val="28"/>
    </w:rPr>
  </w:style>
  <w:style w:type="character" w:customStyle="1" w:styleId="30">
    <w:name w:val="标题 5 字符"/>
    <w:basedOn w:val="22"/>
    <w:link w:val="6"/>
    <w:qFormat/>
    <w:uiPriority w:val="99"/>
    <w:rPr>
      <w:rFonts w:cs="Times New Roman"/>
      <w:b/>
      <w:bCs/>
      <w:sz w:val="28"/>
      <w:szCs w:val="28"/>
    </w:rPr>
  </w:style>
  <w:style w:type="character" w:customStyle="1" w:styleId="31">
    <w:name w:val="标题 6 字符"/>
    <w:basedOn w:val="22"/>
    <w:link w:val="7"/>
    <w:qFormat/>
    <w:uiPriority w:val="99"/>
    <w:rPr>
      <w:rFonts w:ascii="Cambria" w:hAnsi="Cambria" w:cstheme="majorBidi"/>
      <w:b/>
      <w:bCs/>
      <w:sz w:val="24"/>
      <w:szCs w:val="24"/>
    </w:rPr>
  </w:style>
  <w:style w:type="character" w:customStyle="1" w:styleId="32">
    <w:name w:val="标题 7 字符"/>
    <w:basedOn w:val="22"/>
    <w:link w:val="8"/>
    <w:qFormat/>
    <w:uiPriority w:val="99"/>
    <w:rPr>
      <w:rFonts w:cs="Times New Roman"/>
      <w:b/>
      <w:bCs/>
      <w:sz w:val="24"/>
      <w:szCs w:val="24"/>
    </w:rPr>
  </w:style>
  <w:style w:type="character" w:customStyle="1" w:styleId="33">
    <w:name w:val="标题 8 字符"/>
    <w:basedOn w:val="22"/>
    <w:link w:val="9"/>
    <w:qFormat/>
    <w:uiPriority w:val="99"/>
    <w:rPr>
      <w:rFonts w:ascii="Cambria" w:hAnsi="Cambria" w:cstheme="majorBidi"/>
      <w:sz w:val="24"/>
      <w:szCs w:val="24"/>
    </w:rPr>
  </w:style>
  <w:style w:type="character" w:customStyle="1" w:styleId="34">
    <w:name w:val="标题 9 字符"/>
    <w:basedOn w:val="22"/>
    <w:link w:val="10"/>
    <w:qFormat/>
    <w:uiPriority w:val="99"/>
    <w:rPr>
      <w:rFonts w:ascii="Cambria" w:hAnsi="Cambria" w:cstheme="majorBidi"/>
      <w:szCs w:val="21"/>
    </w:rPr>
  </w:style>
  <w:style w:type="character" w:customStyle="1" w:styleId="35">
    <w:name w:val="标题 字符"/>
    <w:basedOn w:val="22"/>
    <w:link w:val="18"/>
    <w:qFormat/>
    <w:uiPriority w:val="99"/>
    <w:rPr>
      <w:rFonts w:ascii="Cambria" w:hAnsi="Cambria" w:cstheme="majorBidi"/>
      <w:b/>
      <w:bCs/>
      <w:sz w:val="32"/>
      <w:szCs w:val="32"/>
    </w:rPr>
  </w:style>
  <w:style w:type="character" w:customStyle="1" w:styleId="36">
    <w:name w:val="副标题 字符"/>
    <w:basedOn w:val="22"/>
    <w:link w:val="16"/>
    <w:qFormat/>
    <w:uiPriority w:val="99"/>
    <w:rPr>
      <w:rFonts w:ascii="Cambria" w:hAnsi="Cambria" w:cstheme="majorBidi"/>
      <w:b/>
      <w:bCs/>
      <w:kern w:val="28"/>
      <w:sz w:val="32"/>
      <w:szCs w:val="32"/>
    </w:rPr>
  </w:style>
  <w:style w:type="paragraph" w:styleId="37">
    <w:name w:val="No Spacing"/>
    <w:basedOn w:val="1"/>
    <w:link w:val="38"/>
    <w:qFormat/>
    <w:uiPriority w:val="99"/>
    <w:pPr>
      <w:ind w:firstLine="200" w:firstLineChars="200"/>
    </w:pPr>
    <w:rPr>
      <w:rFonts w:ascii="Calibri" w:hAnsi="Calibri"/>
      <w:szCs w:val="22"/>
    </w:rPr>
  </w:style>
  <w:style w:type="character" w:customStyle="1" w:styleId="38">
    <w:name w:val="无间隔 字符"/>
    <w:basedOn w:val="22"/>
    <w:link w:val="37"/>
    <w:qFormat/>
    <w:uiPriority w:val="99"/>
    <w:rPr>
      <w:rFonts w:cs="Times New Roman"/>
    </w:rPr>
  </w:style>
  <w:style w:type="paragraph" w:styleId="39">
    <w:name w:val="List Paragraph"/>
    <w:basedOn w:val="1"/>
    <w:qFormat/>
    <w:uiPriority w:val="99"/>
    <w:pPr>
      <w:spacing w:line="360" w:lineRule="auto"/>
      <w:ind w:firstLine="420" w:firstLineChars="200"/>
    </w:pPr>
    <w:rPr>
      <w:rFonts w:ascii="Calibri" w:hAnsi="Calibri"/>
      <w:szCs w:val="22"/>
    </w:rPr>
  </w:style>
  <w:style w:type="paragraph" w:styleId="40">
    <w:name w:val="Quote"/>
    <w:basedOn w:val="1"/>
    <w:next w:val="1"/>
    <w:link w:val="41"/>
    <w:qFormat/>
    <w:uiPriority w:val="99"/>
    <w:pPr>
      <w:spacing w:line="360" w:lineRule="auto"/>
      <w:ind w:firstLine="200" w:firstLineChars="200"/>
    </w:pPr>
    <w:rPr>
      <w:rFonts w:ascii="Calibri" w:hAnsi="Calibri"/>
      <w:i/>
      <w:iCs/>
      <w:color w:val="000000"/>
      <w:szCs w:val="22"/>
    </w:rPr>
  </w:style>
  <w:style w:type="character" w:customStyle="1" w:styleId="41">
    <w:name w:val="引用 字符"/>
    <w:basedOn w:val="22"/>
    <w:link w:val="40"/>
    <w:qFormat/>
    <w:uiPriority w:val="99"/>
    <w:rPr>
      <w:rFonts w:cs="Times New Roman"/>
      <w:i/>
      <w:iCs/>
      <w:color w:val="000000"/>
    </w:rPr>
  </w:style>
  <w:style w:type="paragraph" w:styleId="42">
    <w:name w:val="Intense Quote"/>
    <w:basedOn w:val="1"/>
    <w:next w:val="1"/>
    <w:link w:val="43"/>
    <w:qFormat/>
    <w:uiPriority w:val="99"/>
    <w:pPr>
      <w:pBdr>
        <w:bottom w:val="single" w:color="4F81BD" w:sz="4" w:space="4"/>
      </w:pBdr>
      <w:spacing w:before="200" w:after="280" w:line="360" w:lineRule="auto"/>
      <w:ind w:left="936" w:right="936" w:firstLine="200" w:firstLineChars="200"/>
    </w:pPr>
    <w:rPr>
      <w:rFonts w:ascii="Calibri" w:hAnsi="Calibri"/>
      <w:b/>
      <w:bCs/>
      <w:i/>
      <w:iCs/>
      <w:color w:val="4F81BD"/>
      <w:szCs w:val="22"/>
    </w:rPr>
  </w:style>
  <w:style w:type="character" w:customStyle="1" w:styleId="43">
    <w:name w:val="明显引用 字符"/>
    <w:basedOn w:val="22"/>
    <w:link w:val="42"/>
    <w:qFormat/>
    <w:uiPriority w:val="99"/>
    <w:rPr>
      <w:rFonts w:cs="Times New Roman"/>
      <w:b/>
      <w:bCs/>
      <w:i/>
      <w:iCs/>
      <w:color w:val="4F81BD"/>
    </w:rPr>
  </w:style>
  <w:style w:type="character" w:customStyle="1" w:styleId="44">
    <w:name w:val="不明显强调1"/>
    <w:basedOn w:val="22"/>
    <w:qFormat/>
    <w:uiPriority w:val="99"/>
    <w:rPr>
      <w:i/>
      <w:color w:val="808080"/>
    </w:rPr>
  </w:style>
  <w:style w:type="character" w:customStyle="1" w:styleId="45">
    <w:name w:val="明显强调1"/>
    <w:basedOn w:val="22"/>
    <w:qFormat/>
    <w:uiPriority w:val="99"/>
    <w:rPr>
      <w:b/>
      <w:i/>
      <w:color w:val="4F81BD"/>
    </w:rPr>
  </w:style>
  <w:style w:type="character" w:customStyle="1" w:styleId="46">
    <w:name w:val="不明显参考1"/>
    <w:basedOn w:val="22"/>
    <w:qFormat/>
    <w:uiPriority w:val="99"/>
    <w:rPr>
      <w:smallCaps/>
      <w:color w:val="C0504D"/>
      <w:u w:val="single"/>
    </w:rPr>
  </w:style>
  <w:style w:type="character" w:customStyle="1" w:styleId="47">
    <w:name w:val="明显参考1"/>
    <w:basedOn w:val="22"/>
    <w:qFormat/>
    <w:uiPriority w:val="99"/>
    <w:rPr>
      <w:b/>
      <w:smallCaps/>
      <w:color w:val="C0504D"/>
      <w:spacing w:val="5"/>
      <w:u w:val="single"/>
    </w:rPr>
  </w:style>
  <w:style w:type="character" w:customStyle="1" w:styleId="48">
    <w:name w:val="书籍标题1"/>
    <w:basedOn w:val="22"/>
    <w:qFormat/>
    <w:uiPriority w:val="99"/>
    <w:rPr>
      <w:b/>
      <w:smallCaps/>
      <w:spacing w:val="5"/>
    </w:rPr>
  </w:style>
  <w:style w:type="paragraph" w:customStyle="1" w:styleId="49">
    <w:name w:val="TOC 标题1"/>
    <w:basedOn w:val="2"/>
    <w:next w:val="1"/>
    <w:qFormat/>
    <w:uiPriority w:val="99"/>
    <w:pPr>
      <w:outlineLvl w:val="9"/>
    </w:pPr>
  </w:style>
  <w:style w:type="character" w:customStyle="1" w:styleId="50">
    <w:name w:val="页眉 字符"/>
    <w:basedOn w:val="22"/>
    <w:link w:val="15"/>
    <w:qFormat/>
    <w:uiPriority w:val="99"/>
    <w:rPr>
      <w:rFonts w:ascii="Times New Roman" w:hAnsi="Times New Roman"/>
      <w:sz w:val="18"/>
      <w:szCs w:val="18"/>
    </w:rPr>
  </w:style>
  <w:style w:type="character" w:customStyle="1" w:styleId="51">
    <w:name w:val="页脚 字符"/>
    <w:basedOn w:val="22"/>
    <w:link w:val="14"/>
    <w:qFormat/>
    <w:uiPriority w:val="99"/>
    <w:rPr>
      <w:rFonts w:ascii="Times New Roman" w:hAnsi="Times New Roman"/>
      <w:sz w:val="18"/>
      <w:szCs w:val="18"/>
    </w:rPr>
  </w:style>
  <w:style w:type="character" w:customStyle="1" w:styleId="52">
    <w:name w:val="批注框文本 字符"/>
    <w:basedOn w:val="22"/>
    <w:link w:val="13"/>
    <w:semiHidden/>
    <w:qFormat/>
    <w:uiPriority w:val="99"/>
    <w:rPr>
      <w:rFonts w:ascii="Times New Roman" w:hAnsi="Times New Roman"/>
      <w:sz w:val="18"/>
      <w:szCs w:val="18"/>
    </w:rPr>
  </w:style>
  <w:style w:type="character" w:customStyle="1" w:styleId="53">
    <w:name w:val="HTML 预设格式 字符"/>
    <w:basedOn w:val="22"/>
    <w:link w:val="17"/>
    <w:semiHidden/>
    <w:qFormat/>
    <w:uiPriority w:val="99"/>
    <w:rPr>
      <w:rFonts w:ascii="Courier New" w:hAnsi="Courier New" w:cs="Courier New"/>
      <w:sz w:val="20"/>
      <w:szCs w:val="20"/>
    </w:rPr>
  </w:style>
  <w:style w:type="paragraph" w:customStyle="1" w:styleId="54">
    <w:name w:val="Default"/>
    <w:qFormat/>
    <w:uiPriority w:val="0"/>
    <w:pPr>
      <w:widowControl w:val="0"/>
      <w:autoSpaceDE w:val="0"/>
      <w:autoSpaceDN w:val="0"/>
      <w:adjustRightInd w:val="0"/>
      <w:spacing w:after="160" w:line="278" w:lineRule="auto"/>
    </w:pPr>
    <w:rPr>
      <w:rFonts w:ascii="宋体" w:hAnsi="宋体" w:eastAsia="宋体" w:cs="宋体"/>
      <w:color w:val="000000"/>
      <w:sz w:val="24"/>
      <w:szCs w:val="24"/>
      <w:lang w:val="en-US" w:eastAsia="zh-CN" w:bidi="ar-SA"/>
    </w:rPr>
  </w:style>
  <w:style w:type="paragraph" w:customStyle="1" w:styleId="55">
    <w:name w:val="msolistparagraph"/>
    <w:basedOn w:val="1"/>
    <w:qFormat/>
    <w:uiPriority w:val="0"/>
    <w:pPr>
      <w:spacing w:line="360" w:lineRule="auto"/>
      <w:ind w:firstLine="420" w:firstLineChars="200"/>
    </w:pPr>
    <w:rPr>
      <w:rFonts w:ascii="Calibri" w:hAnsi="Calibri"/>
      <w:szCs w:val="22"/>
    </w:rPr>
  </w:style>
  <w:style w:type="character" w:customStyle="1" w:styleId="56">
    <w:name w:val="批注文字 字符"/>
    <w:basedOn w:val="22"/>
    <w:link w:val="12"/>
    <w:qFormat/>
    <w:uiPriority w:val="99"/>
    <w:rPr>
      <w:kern w:val="2"/>
      <w:sz w:val="21"/>
      <w:szCs w:val="24"/>
    </w:rPr>
  </w:style>
  <w:style w:type="character" w:customStyle="1" w:styleId="57">
    <w:name w:val="批注主题 字符"/>
    <w:basedOn w:val="56"/>
    <w:link w:val="19"/>
    <w:semiHidden/>
    <w:qFormat/>
    <w:uiPriority w:val="99"/>
    <w:rPr>
      <w:b/>
      <w:bCs/>
      <w:kern w:val="2"/>
      <w:sz w:val="21"/>
      <w:szCs w:val="24"/>
    </w:rPr>
  </w:style>
  <w:style w:type="paragraph" w:customStyle="1" w:styleId="58">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DataSourc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4FD9AB-FAA4-42EC-9B93-0CCF02161E0D}">
  <ds:schemaRefs/>
</ds:datastoreItem>
</file>

<file path=customXml/itemProps3.xml><?xml version="1.0" encoding="utf-8"?>
<ds:datastoreItem xmlns:ds="http://schemas.openxmlformats.org/officeDocument/2006/customXml" ds:itemID="{D7FE2495-0EF2-4020-8630-22568228B192}">
  <ds:schemaRefs/>
</ds:datastoreItem>
</file>

<file path=docProps/app.xml><?xml version="1.0" encoding="utf-8"?>
<Properties xmlns="http://schemas.openxmlformats.org/officeDocument/2006/extended-properties" xmlns:vt="http://schemas.openxmlformats.org/officeDocument/2006/docPropsVTypes">
  <Template>Normal</Template>
  <Company>yw</Company>
  <Pages>5</Pages>
  <Words>2930</Words>
  <Characters>3066</Characters>
  <Lines>114</Lines>
  <Paragraphs>83</Paragraphs>
  <TotalTime>0</TotalTime>
  <ScaleCrop>false</ScaleCrop>
  <LinksUpToDate>false</LinksUpToDate>
  <CharactersWithSpaces>3199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2026-03-24T05:20:00Z</dcterms:created>
  <dc:creator>cw</dc:creator>
  <cp:lastModifiedBy>Sqy</cp:lastModifiedBy>
  <cp:lastPrinted>2025-05-31T05:13:00Z</cp:lastPrinted>
  <dcterms:modified xsi:type="dcterms:W3CDTF">2026-09-18T10:38:05Z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FIDA_U9App_DataSourceXMLPart">
    <vt:lpwstr>{644FD9AB-FAA4-42EC-9B93-0CCF02161E0D}</vt:lpwstr>
  </property>
  <property fmtid="{D5CDD505-2E9C-101B-9397-08002B2CF9AE}" pid="3" name="KSOTemplateDocerSaveRecord">
    <vt:lpwstr>eyJoZGlkIjoiMTRlMGZjYTgyMDBjZmFjY2MxNDZlZDU2NzI1NjM4Y2YiLCJ1c2VySWQiOiIxMjc0MTMxNjE4In0=</vt:lpwstr>
  </property>
  <property fmtid="{D5CDD505-2E9C-101B-9397-08002B2CF9AE}" pid="4" name="KSOProductBuildVer">
    <vt:lpwstr>2052-11.8.2.8875</vt:lpwstr>
  </property>
  <property fmtid="{D5CDD505-2E9C-101B-9397-08002B2CF9AE}" pid="5" name="ICV">
    <vt:lpwstr>6B659121F6C6405BA2248469EEF4CC2F_13</vt:lpwstr>
  </property>
</Properties>
</file>