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6488D">
      <w:pPr>
        <w:pStyle w:val="2"/>
        <w:rPr>
          <w:rFonts w:hint="default" w:ascii="Times New Roman" w:hAnsi="Times New Roman" w:eastAsia="宋体" w:cs="Times New Roman"/>
          <w:sz w:val="20"/>
          <w:szCs w:val="20"/>
          <w:lang w:val="en-US"/>
        </w:rPr>
      </w:pPr>
      <w:r>
        <w:rPr>
          <w:rFonts w:hint="default" w:ascii="Times New Roman" w:hAnsi="Times New Roman" w:eastAsia="宋体" w:cs="Times New Roman"/>
          <w:sz w:val="20"/>
          <w:szCs w:val="20"/>
          <w:lang w:val="en-US"/>
        </w:rPr>
        <w:t xml:space="preserve">证券代码：688098   </w:t>
      </w:r>
      <w:r>
        <w:rPr>
          <w:rFonts w:hint="default" w:ascii="Times New Roman" w:hAnsi="Times New Roman" w:eastAsia="宋体" w:cs="Times New Roman"/>
          <w:sz w:val="21"/>
          <w:szCs w:val="21"/>
          <w:lang w:val="en-US"/>
        </w:rPr>
        <w:t xml:space="preserve">                                      </w:t>
      </w:r>
      <w:r>
        <w:rPr>
          <w:rFonts w:hint="default" w:ascii="Times New Roman" w:hAnsi="Times New Roman" w:eastAsia="宋体" w:cs="Times New Roman"/>
          <w:sz w:val="21"/>
          <w:szCs w:val="21"/>
          <w:lang w:val="en-US" w:eastAsia="zh-CN"/>
        </w:rPr>
        <w:t xml:space="preserve">    </w:t>
      </w:r>
      <w:r>
        <w:rPr>
          <w:rFonts w:hint="default" w:ascii="Times New Roman" w:hAnsi="Times New Roman" w:eastAsia="宋体" w:cs="Times New Roman"/>
          <w:sz w:val="20"/>
          <w:szCs w:val="20"/>
          <w:lang w:val="en-US"/>
        </w:rPr>
        <w:t>证券简称：申联生物</w:t>
      </w:r>
    </w:p>
    <w:p w14:paraId="099565ED">
      <w:pPr>
        <w:spacing w:line="360" w:lineRule="auto"/>
        <w:jc w:val="center"/>
        <w:rPr>
          <w:rFonts w:hint="eastAsia" w:ascii="宋体" w:hAnsi="宋体" w:eastAsia="宋体" w:cs="宋体"/>
          <w:b/>
          <w:bCs/>
          <w:sz w:val="24"/>
          <w:szCs w:val="24"/>
        </w:rPr>
      </w:pPr>
    </w:p>
    <w:p w14:paraId="70DD859A">
      <w:pPr>
        <w:spacing w:line="360" w:lineRule="auto"/>
        <w:jc w:val="center"/>
        <w:rPr>
          <w:rFonts w:hint="eastAsia" w:ascii="宋体" w:hAnsi="宋体" w:eastAsia="宋体" w:cs="宋体"/>
          <w:b/>
          <w:bCs/>
          <w:sz w:val="44"/>
          <w:szCs w:val="44"/>
        </w:rPr>
      </w:pPr>
      <w:r>
        <w:rPr>
          <w:rFonts w:hint="eastAsia" w:ascii="宋体" w:hAnsi="宋体" w:eastAsia="宋体" w:cs="宋体"/>
          <w:b/>
          <w:bCs/>
          <w:sz w:val="44"/>
          <w:szCs w:val="44"/>
        </w:rPr>
        <w:t>申联生物医药(上海)股份有限公司</w:t>
      </w:r>
    </w:p>
    <w:p w14:paraId="55A2F2B5">
      <w:pPr>
        <w:spacing w:line="360" w:lineRule="auto"/>
        <w:jc w:val="center"/>
        <w:rPr>
          <w:rFonts w:hint="eastAsia" w:ascii="宋体" w:hAnsi="宋体" w:eastAsia="宋体" w:cs="宋体"/>
          <w:sz w:val="44"/>
          <w:szCs w:val="44"/>
        </w:rPr>
      </w:pPr>
      <w:r>
        <w:rPr>
          <w:rFonts w:hint="eastAsia" w:ascii="宋体" w:hAnsi="宋体" w:eastAsia="宋体" w:cs="宋体"/>
          <w:b/>
          <w:bCs/>
          <w:sz w:val="44"/>
          <w:szCs w:val="44"/>
        </w:rPr>
        <w:t>投资者关系活动记录表</w:t>
      </w:r>
    </w:p>
    <w:p w14:paraId="167CB9E7">
      <w:pPr>
        <w:spacing w:before="51" w:after="32"/>
        <w:ind w:right="619"/>
        <w:jc w:val="right"/>
        <w:rPr>
          <w:rFonts w:hint="default" w:ascii="Times New Roman" w:hAnsi="Times New Roman" w:eastAsia="宋体" w:cs="Times New Roman"/>
          <w:sz w:val="20"/>
          <w:szCs w:val="20"/>
        </w:rPr>
      </w:pPr>
      <w:r>
        <w:rPr>
          <w:rFonts w:hint="default" w:ascii="Times New Roman" w:hAnsi="Times New Roman" w:eastAsia="宋体" w:cs="Times New Roman"/>
          <w:sz w:val="20"/>
          <w:szCs w:val="20"/>
        </w:rPr>
        <w:t>编号：</w:t>
      </w:r>
      <w:r>
        <w:rPr>
          <w:rFonts w:hint="default" w:ascii="Times New Roman" w:hAnsi="Times New Roman" w:eastAsia="宋体" w:cs="Times New Roman"/>
          <w:sz w:val="20"/>
          <w:szCs w:val="20"/>
          <w:lang w:val="en-US"/>
        </w:rPr>
        <w:t>2026</w:t>
      </w:r>
      <w:r>
        <w:rPr>
          <w:rFonts w:hint="default" w:ascii="Times New Roman" w:hAnsi="Times New Roman" w:eastAsia="宋体" w:cs="Times New Roman"/>
          <w:sz w:val="20"/>
          <w:szCs w:val="20"/>
        </w:rPr>
        <w:t>-</w:t>
      </w:r>
      <w:r>
        <w:rPr>
          <w:rFonts w:ascii="Times New Roman" w:hAnsi="Times New Roman" w:eastAsia="宋体" w:cs="Times New Roman"/>
          <w:sz w:val="20"/>
          <w:szCs w:val="20"/>
        </w:rPr>
        <w:t>001</w:t>
      </w:r>
    </w:p>
    <w:tbl>
      <w:tblPr>
        <w:tblStyle w:val="1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0" w:type="dxa"/>
        </w:tblCellMar>
      </w:tblPr>
      <w:tblGrid>
        <w:gridCol w:w="2511"/>
        <w:gridCol w:w="5787"/>
      </w:tblGrid>
      <w:tr w14:paraId="3E6633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1513" w:type="pct"/>
          </w:tcPr>
          <w:p w14:paraId="422E6D89">
            <w:pPr>
              <w:pStyle w:val="15"/>
              <w:spacing w:before="7"/>
              <w:rPr>
                <w:rFonts w:hint="eastAsia" w:ascii="宋体" w:hAnsi="宋体" w:eastAsia="宋体" w:cs="宋体"/>
                <w:b/>
                <w:bCs/>
                <w:sz w:val="20"/>
                <w:szCs w:val="20"/>
              </w:rPr>
            </w:pPr>
          </w:p>
          <w:p w14:paraId="53B50BB5">
            <w:pPr>
              <w:pStyle w:val="15"/>
              <w:spacing w:before="1"/>
              <w:ind w:left="107"/>
              <w:rPr>
                <w:rFonts w:hint="eastAsia" w:ascii="宋体" w:hAnsi="宋体" w:eastAsia="宋体" w:cs="宋体"/>
                <w:b/>
                <w:bCs/>
                <w:sz w:val="20"/>
                <w:szCs w:val="20"/>
              </w:rPr>
            </w:pPr>
            <w:r>
              <w:rPr>
                <w:rFonts w:hint="eastAsia" w:ascii="宋体" w:hAnsi="宋体" w:eastAsia="宋体" w:cs="宋体"/>
                <w:b/>
                <w:bCs/>
                <w:sz w:val="20"/>
                <w:szCs w:val="20"/>
              </w:rPr>
              <w:t>投资者关系活动类别</w:t>
            </w:r>
          </w:p>
        </w:tc>
        <w:tc>
          <w:tcPr>
            <w:tcW w:w="3486" w:type="pct"/>
          </w:tcPr>
          <w:p w14:paraId="4F8C6433">
            <w:pPr>
              <w:pStyle w:val="15"/>
              <w:spacing w:before="7"/>
              <w:rPr>
                <w:rFonts w:hint="eastAsia" w:ascii="宋体" w:hAnsi="宋体" w:eastAsia="宋体" w:cs="宋体"/>
                <w:sz w:val="20"/>
                <w:szCs w:val="20"/>
              </w:rPr>
            </w:pPr>
          </w:p>
          <w:p w14:paraId="7C3B7961">
            <w:pPr>
              <w:pStyle w:val="15"/>
              <w:tabs>
                <w:tab w:val="left" w:pos="2418"/>
              </w:tabs>
              <w:spacing w:before="1"/>
              <w:ind w:left="107"/>
              <w:rPr>
                <w:rFonts w:hint="eastAsia" w:ascii="宋体" w:hAnsi="宋体" w:eastAsia="宋体" w:cs="宋体"/>
                <w:sz w:val="20"/>
                <w:szCs w:val="20"/>
              </w:rPr>
            </w:pPr>
            <w:sdt>
              <w:sdtPr>
                <w:rPr>
                  <w:rFonts w:hint="eastAsia" w:ascii="宋体" w:hAnsi="宋体" w:eastAsia="宋体" w:cs="宋体"/>
                  <w:sz w:val="20"/>
                  <w:szCs w:val="20"/>
                </w:rPr>
                <w:id w:val="249780449"/>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特</w:t>
            </w:r>
            <w:r>
              <w:rPr>
                <w:rFonts w:hint="eastAsia" w:ascii="宋体" w:hAnsi="宋体" w:eastAsia="宋体" w:cs="宋体"/>
                <w:spacing w:val="-3"/>
                <w:sz w:val="20"/>
                <w:szCs w:val="20"/>
              </w:rPr>
              <w:t>定</w:t>
            </w:r>
            <w:r>
              <w:rPr>
                <w:rFonts w:hint="eastAsia" w:ascii="宋体" w:hAnsi="宋体" w:eastAsia="宋体" w:cs="宋体"/>
                <w:sz w:val="20"/>
                <w:szCs w:val="20"/>
              </w:rPr>
              <w:t>对</w:t>
            </w:r>
            <w:r>
              <w:rPr>
                <w:rFonts w:hint="eastAsia" w:ascii="宋体" w:hAnsi="宋体" w:eastAsia="宋体" w:cs="宋体"/>
                <w:spacing w:val="-3"/>
                <w:sz w:val="20"/>
                <w:szCs w:val="20"/>
              </w:rPr>
              <w:t>象</w:t>
            </w:r>
            <w:r>
              <w:rPr>
                <w:rFonts w:hint="eastAsia" w:ascii="宋体" w:hAnsi="宋体" w:eastAsia="宋体" w:cs="宋体"/>
                <w:sz w:val="20"/>
                <w:szCs w:val="20"/>
              </w:rPr>
              <w:t>调研</w:t>
            </w:r>
            <w:r>
              <w:rPr>
                <w:rFonts w:hint="eastAsia" w:ascii="宋体" w:hAnsi="宋体" w:eastAsia="宋体" w:cs="宋体"/>
                <w:sz w:val="20"/>
                <w:szCs w:val="20"/>
              </w:rPr>
              <w:tab/>
            </w:r>
            <w:sdt>
              <w:sdtPr>
                <w:rPr>
                  <w:rFonts w:hint="eastAsia" w:ascii="宋体" w:hAnsi="宋体" w:eastAsia="宋体" w:cs="宋体"/>
                  <w:sz w:val="20"/>
                  <w:szCs w:val="20"/>
                </w:rPr>
                <w:id w:val="-1"/>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Wingdings 2" w:hAnsi="Wingdings 2" w:eastAsia="MS Gothic" w:cs="宋体"/>
                    <w:sz w:val="20"/>
                    <w:szCs w:val="20"/>
                  </w:rPr>
                  <w:t>R</w:t>
                </w:r>
              </w:sdtContent>
            </w:sdt>
            <w:r>
              <w:rPr>
                <w:rFonts w:hint="eastAsia" w:ascii="宋体" w:hAnsi="宋体" w:eastAsia="宋体" w:cs="宋体"/>
                <w:sz w:val="20"/>
                <w:szCs w:val="20"/>
              </w:rPr>
              <w:t>分</w:t>
            </w:r>
            <w:r>
              <w:rPr>
                <w:rFonts w:hint="eastAsia" w:ascii="宋体" w:hAnsi="宋体" w:eastAsia="宋体" w:cs="宋体"/>
                <w:spacing w:val="-3"/>
                <w:sz w:val="20"/>
                <w:szCs w:val="20"/>
              </w:rPr>
              <w:t>析</w:t>
            </w:r>
            <w:r>
              <w:rPr>
                <w:rFonts w:hint="eastAsia" w:ascii="宋体" w:hAnsi="宋体" w:eastAsia="宋体" w:cs="宋体"/>
                <w:sz w:val="20"/>
                <w:szCs w:val="20"/>
              </w:rPr>
              <w:t>师</w:t>
            </w:r>
            <w:r>
              <w:rPr>
                <w:rFonts w:hint="eastAsia" w:ascii="宋体" w:hAnsi="宋体" w:eastAsia="宋体" w:cs="宋体"/>
                <w:spacing w:val="-3"/>
                <w:sz w:val="20"/>
                <w:szCs w:val="20"/>
              </w:rPr>
              <w:t>会</w:t>
            </w:r>
            <w:r>
              <w:rPr>
                <w:rFonts w:hint="eastAsia" w:ascii="宋体" w:hAnsi="宋体" w:eastAsia="宋体" w:cs="宋体"/>
                <w:sz w:val="20"/>
                <w:szCs w:val="20"/>
              </w:rPr>
              <w:t>议</w:t>
            </w:r>
          </w:p>
          <w:p w14:paraId="37483FAE">
            <w:pPr>
              <w:pStyle w:val="15"/>
              <w:spacing w:before="11"/>
              <w:rPr>
                <w:rFonts w:hint="eastAsia" w:ascii="宋体" w:hAnsi="宋体" w:eastAsia="宋体" w:cs="宋体"/>
                <w:sz w:val="20"/>
                <w:szCs w:val="20"/>
              </w:rPr>
            </w:pPr>
          </w:p>
          <w:p w14:paraId="5A33492C">
            <w:pPr>
              <w:pStyle w:val="15"/>
              <w:tabs>
                <w:tab w:val="left" w:pos="2418"/>
              </w:tabs>
              <w:ind w:left="107"/>
              <w:rPr>
                <w:rFonts w:hint="eastAsia" w:ascii="宋体" w:hAnsi="宋体" w:eastAsia="宋体" w:cs="宋体"/>
                <w:sz w:val="20"/>
                <w:szCs w:val="20"/>
              </w:rPr>
            </w:pPr>
            <w:sdt>
              <w:sdtPr>
                <w:rPr>
                  <w:rFonts w:hint="eastAsia" w:ascii="宋体" w:hAnsi="宋体" w:eastAsia="宋体" w:cs="宋体"/>
                  <w:sz w:val="20"/>
                  <w:szCs w:val="20"/>
                </w:rPr>
                <w:id w:val="120690601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媒</w:t>
            </w:r>
            <w:r>
              <w:rPr>
                <w:rFonts w:hint="eastAsia" w:ascii="宋体" w:hAnsi="宋体" w:eastAsia="宋体" w:cs="宋体"/>
                <w:spacing w:val="-3"/>
                <w:sz w:val="20"/>
                <w:szCs w:val="20"/>
              </w:rPr>
              <w:t>体</w:t>
            </w:r>
            <w:r>
              <w:rPr>
                <w:rFonts w:hint="eastAsia" w:ascii="宋体" w:hAnsi="宋体" w:eastAsia="宋体" w:cs="宋体"/>
                <w:sz w:val="20"/>
                <w:szCs w:val="20"/>
              </w:rPr>
              <w:t>采访</w:t>
            </w:r>
            <w:r>
              <w:rPr>
                <w:rFonts w:hint="eastAsia" w:ascii="宋体" w:hAnsi="宋体" w:eastAsia="宋体" w:cs="宋体"/>
                <w:sz w:val="20"/>
                <w:szCs w:val="20"/>
              </w:rPr>
              <w:tab/>
            </w:r>
            <w:sdt>
              <w:sdtPr>
                <w:rPr>
                  <w:rFonts w:hint="eastAsia" w:ascii="宋体" w:hAnsi="宋体" w:eastAsia="宋体" w:cs="宋体"/>
                  <w:sz w:val="20"/>
                  <w:szCs w:val="20"/>
                </w:rPr>
                <w:id w:val="147478224"/>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ascii="MS Gothic" w:hAnsi="MS Gothic" w:eastAsia="MS Gothic" w:cs="宋体"/>
                    <w:sz w:val="20"/>
                    <w:szCs w:val="20"/>
                  </w:rPr>
                  <w:t>☐</w:t>
                </w:r>
              </w:sdtContent>
            </w:sdt>
            <w:r>
              <w:rPr>
                <w:rFonts w:hint="eastAsia" w:ascii="宋体" w:hAnsi="宋体" w:eastAsia="宋体" w:cs="宋体"/>
                <w:sz w:val="20"/>
                <w:szCs w:val="20"/>
              </w:rPr>
              <w:t>业</w:t>
            </w:r>
            <w:r>
              <w:rPr>
                <w:rFonts w:hint="eastAsia" w:ascii="宋体" w:hAnsi="宋体" w:eastAsia="宋体" w:cs="宋体"/>
                <w:spacing w:val="-3"/>
                <w:sz w:val="20"/>
                <w:szCs w:val="20"/>
              </w:rPr>
              <w:t>绩</w:t>
            </w:r>
            <w:r>
              <w:rPr>
                <w:rFonts w:hint="eastAsia" w:ascii="宋体" w:hAnsi="宋体" w:eastAsia="宋体" w:cs="宋体"/>
                <w:sz w:val="20"/>
                <w:szCs w:val="20"/>
              </w:rPr>
              <w:t>说</w:t>
            </w:r>
            <w:r>
              <w:rPr>
                <w:rFonts w:hint="eastAsia" w:ascii="宋体" w:hAnsi="宋体" w:eastAsia="宋体" w:cs="宋体"/>
                <w:spacing w:val="-3"/>
                <w:sz w:val="20"/>
                <w:szCs w:val="20"/>
              </w:rPr>
              <w:t>明</w:t>
            </w:r>
            <w:r>
              <w:rPr>
                <w:rFonts w:hint="eastAsia" w:ascii="宋体" w:hAnsi="宋体" w:eastAsia="宋体" w:cs="宋体"/>
                <w:sz w:val="20"/>
                <w:szCs w:val="20"/>
              </w:rPr>
              <w:t>会</w:t>
            </w:r>
          </w:p>
          <w:p w14:paraId="291A35FA">
            <w:pPr>
              <w:pStyle w:val="15"/>
              <w:spacing w:before="8"/>
              <w:rPr>
                <w:rFonts w:hint="eastAsia" w:ascii="宋体" w:hAnsi="宋体" w:eastAsia="宋体" w:cs="宋体"/>
                <w:sz w:val="20"/>
                <w:szCs w:val="20"/>
              </w:rPr>
            </w:pPr>
          </w:p>
          <w:p w14:paraId="287C101C">
            <w:pPr>
              <w:pStyle w:val="15"/>
              <w:tabs>
                <w:tab w:val="left" w:pos="2418"/>
              </w:tabs>
              <w:ind w:left="107"/>
              <w:rPr>
                <w:rFonts w:hint="eastAsia" w:ascii="宋体" w:hAnsi="宋体" w:eastAsia="宋体" w:cs="宋体"/>
                <w:sz w:val="20"/>
                <w:szCs w:val="20"/>
              </w:rPr>
            </w:pPr>
            <w:sdt>
              <w:sdtPr>
                <w:rPr>
                  <w:rFonts w:hint="eastAsia" w:ascii="宋体" w:hAnsi="宋体" w:eastAsia="宋体" w:cs="宋体"/>
                  <w:sz w:val="20"/>
                  <w:szCs w:val="20"/>
                </w:rPr>
                <w:id w:val="147460354"/>
                <w14:checkbox>
                  <w14:checked w14:val="1"/>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宋体" w:hAnsi="宋体" w:eastAsia="宋体" w:cs="宋体"/>
                    <w:sz w:val="20"/>
                    <w:szCs w:val="20"/>
                  </w:rPr>
                  <w:sym w:font="Wingdings 2" w:char="F052"/>
                </w:r>
              </w:sdtContent>
            </w:sdt>
            <w:r>
              <w:rPr>
                <w:rFonts w:hint="eastAsia" w:ascii="宋体" w:hAnsi="宋体" w:eastAsia="宋体" w:cs="宋体"/>
                <w:sz w:val="20"/>
                <w:szCs w:val="20"/>
              </w:rPr>
              <w:t>新</w:t>
            </w:r>
            <w:r>
              <w:rPr>
                <w:rFonts w:hint="eastAsia" w:ascii="宋体" w:hAnsi="宋体" w:eastAsia="宋体" w:cs="宋体"/>
                <w:spacing w:val="-3"/>
                <w:sz w:val="20"/>
                <w:szCs w:val="20"/>
              </w:rPr>
              <w:t>闻</w:t>
            </w:r>
            <w:r>
              <w:rPr>
                <w:rFonts w:hint="eastAsia" w:ascii="宋体" w:hAnsi="宋体" w:eastAsia="宋体" w:cs="宋体"/>
                <w:sz w:val="20"/>
                <w:szCs w:val="20"/>
              </w:rPr>
              <w:t>发</w:t>
            </w:r>
            <w:r>
              <w:rPr>
                <w:rFonts w:hint="eastAsia" w:ascii="宋体" w:hAnsi="宋体" w:eastAsia="宋体" w:cs="宋体"/>
                <w:spacing w:val="-3"/>
                <w:sz w:val="20"/>
                <w:szCs w:val="20"/>
              </w:rPr>
              <w:t>布</w:t>
            </w:r>
            <w:r>
              <w:rPr>
                <w:rFonts w:hint="eastAsia" w:ascii="宋体" w:hAnsi="宋体" w:eastAsia="宋体" w:cs="宋体"/>
                <w:sz w:val="20"/>
                <w:szCs w:val="20"/>
              </w:rPr>
              <w:t>会</w:t>
            </w:r>
            <w:r>
              <w:rPr>
                <w:rFonts w:hint="eastAsia" w:ascii="宋体" w:hAnsi="宋体" w:eastAsia="宋体" w:cs="宋体"/>
                <w:sz w:val="20"/>
                <w:szCs w:val="20"/>
              </w:rPr>
              <w:tab/>
            </w:r>
            <w:sdt>
              <w:sdtPr>
                <w:rPr>
                  <w:rFonts w:hint="eastAsia" w:ascii="宋体" w:hAnsi="宋体" w:eastAsia="宋体" w:cs="宋体"/>
                  <w:sz w:val="20"/>
                  <w:szCs w:val="20"/>
                </w:rPr>
                <w:id w:val="412049691"/>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路</w:t>
            </w:r>
            <w:r>
              <w:rPr>
                <w:rFonts w:hint="eastAsia" w:ascii="宋体" w:hAnsi="宋体" w:eastAsia="宋体" w:cs="宋体"/>
                <w:spacing w:val="-3"/>
                <w:sz w:val="20"/>
                <w:szCs w:val="20"/>
              </w:rPr>
              <w:t>演</w:t>
            </w:r>
            <w:r>
              <w:rPr>
                <w:rFonts w:hint="eastAsia" w:ascii="宋体" w:hAnsi="宋体" w:eastAsia="宋体" w:cs="宋体"/>
                <w:sz w:val="20"/>
                <w:szCs w:val="20"/>
              </w:rPr>
              <w:t>活动</w:t>
            </w:r>
          </w:p>
          <w:p w14:paraId="1845839D">
            <w:pPr>
              <w:pStyle w:val="15"/>
              <w:spacing w:before="8"/>
              <w:rPr>
                <w:rFonts w:hint="eastAsia" w:ascii="宋体" w:hAnsi="宋体" w:eastAsia="宋体" w:cs="宋体"/>
                <w:sz w:val="20"/>
                <w:szCs w:val="20"/>
              </w:rPr>
            </w:pPr>
          </w:p>
          <w:p w14:paraId="17691AD0">
            <w:pPr>
              <w:pStyle w:val="15"/>
              <w:ind w:left="107"/>
              <w:rPr>
                <w:rFonts w:hint="eastAsia" w:ascii="宋体" w:hAnsi="宋体" w:eastAsia="宋体" w:cs="宋体"/>
                <w:sz w:val="20"/>
                <w:szCs w:val="20"/>
              </w:rPr>
            </w:pPr>
            <w:sdt>
              <w:sdtPr>
                <w:rPr>
                  <w:rFonts w:hint="eastAsia" w:ascii="宋体" w:hAnsi="宋体" w:eastAsia="宋体" w:cs="宋体"/>
                  <w:sz w:val="20"/>
                  <w:szCs w:val="20"/>
                </w:rPr>
                <w:id w:val="147477593"/>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现场参观</w:t>
            </w:r>
          </w:p>
          <w:p w14:paraId="056AF561">
            <w:pPr>
              <w:pStyle w:val="15"/>
              <w:spacing w:before="11"/>
              <w:rPr>
                <w:rFonts w:hint="eastAsia" w:ascii="宋体" w:hAnsi="宋体" w:eastAsia="宋体" w:cs="宋体"/>
                <w:sz w:val="20"/>
                <w:szCs w:val="20"/>
              </w:rPr>
            </w:pPr>
          </w:p>
          <w:p w14:paraId="19A9A366">
            <w:pPr>
              <w:pStyle w:val="15"/>
              <w:ind w:left="107"/>
              <w:rPr>
                <w:rFonts w:hint="eastAsia" w:ascii="宋体" w:hAnsi="宋体" w:eastAsia="宋体" w:cs="宋体"/>
                <w:sz w:val="20"/>
                <w:szCs w:val="20"/>
              </w:rPr>
            </w:pPr>
            <w:sdt>
              <w:sdtPr>
                <w:rPr>
                  <w:rFonts w:hint="eastAsia" w:ascii="宋体" w:hAnsi="宋体" w:eastAsia="宋体" w:cs="宋体"/>
                  <w:sz w:val="20"/>
                  <w:szCs w:val="20"/>
                </w:rPr>
                <w:id w:val="400885218"/>
                <w14:checkbox>
                  <w14:checked w14:val="0"/>
                  <w14:checkedState w14:val="0052" w14:font="Wingdings 2"/>
                  <w14:uncheckedState w14:val="2610" w14:font="MS Gothic"/>
                </w14:checkbox>
              </w:sdtPr>
              <w:sdtEndPr>
                <w:rPr>
                  <w:rFonts w:hint="eastAsia" w:ascii="宋体" w:hAnsi="宋体" w:eastAsia="宋体" w:cs="宋体"/>
                  <w:sz w:val="20"/>
                  <w:szCs w:val="20"/>
                </w:rPr>
              </w:sdtEndPr>
              <w:sdtContent>
                <w:r>
                  <w:rPr>
                    <w:rFonts w:hint="eastAsia" w:ascii="MS Gothic" w:hAnsi="MS Gothic" w:eastAsia="MS Gothic" w:cs="宋体"/>
                    <w:sz w:val="20"/>
                    <w:szCs w:val="20"/>
                  </w:rPr>
                  <w:t>☐</w:t>
                </w:r>
              </w:sdtContent>
            </w:sdt>
            <w:r>
              <w:rPr>
                <w:rFonts w:hint="eastAsia" w:ascii="宋体" w:hAnsi="宋体" w:eastAsia="宋体" w:cs="宋体"/>
                <w:sz w:val="20"/>
                <w:szCs w:val="20"/>
              </w:rPr>
              <w:t>其他（</w:t>
            </w:r>
            <w:r>
              <w:rPr>
                <w:rFonts w:hint="eastAsia" w:ascii="宋体" w:hAnsi="宋体" w:eastAsia="宋体" w:cs="宋体"/>
                <w:sz w:val="20"/>
                <w:szCs w:val="20"/>
                <w:u w:val="single"/>
              </w:rPr>
              <w:t>请文字说明其他活动内容）</w:t>
            </w:r>
          </w:p>
        </w:tc>
      </w:tr>
      <w:tr w14:paraId="5D16FF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00" w:hRule="atLeast"/>
          <w:jc w:val="center"/>
        </w:trPr>
        <w:tc>
          <w:tcPr>
            <w:tcW w:w="1513" w:type="pct"/>
            <w:vAlign w:val="center"/>
          </w:tcPr>
          <w:p w14:paraId="18DD5240">
            <w:pPr>
              <w:pStyle w:val="15"/>
              <w:spacing w:line="560" w:lineRule="exact"/>
              <w:ind w:left="107" w:right="96"/>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参与单位名称及人员姓名</w:t>
            </w:r>
          </w:p>
        </w:tc>
        <w:tc>
          <w:tcPr>
            <w:tcW w:w="3486" w:type="pct"/>
            <w:vAlign w:val="center"/>
          </w:tcPr>
          <w:p w14:paraId="55BBEE74">
            <w:pPr>
              <w:pStyle w:val="15"/>
              <w:spacing w:before="0" w:beforeAutospacing="0" w:line="360" w:lineRule="auto"/>
              <w:rPr>
                <w:rFonts w:hint="eastAsia" w:cs="宋体" w:asciiTheme="minorEastAsia" w:hAnsiTheme="minorEastAsia" w:eastAsiaTheme="minorEastAsia"/>
                <w:sz w:val="20"/>
                <w:szCs w:val="20"/>
                <w:lang w:val="en-US"/>
              </w:rPr>
            </w:pPr>
            <w:r>
              <w:rPr>
                <w:rFonts w:hint="eastAsia" w:cs="宋体" w:asciiTheme="minorEastAsia" w:hAnsiTheme="minorEastAsia" w:eastAsiaTheme="minorEastAsia"/>
                <w:color w:val="000000"/>
                <w:sz w:val="20"/>
                <w:szCs w:val="20"/>
              </w:rPr>
              <w:t>兴业证券、</w:t>
            </w:r>
            <w:r>
              <w:rPr>
                <w:rFonts w:cs="宋体" w:asciiTheme="minorEastAsia" w:hAnsiTheme="minorEastAsia" w:eastAsiaTheme="minorEastAsia"/>
                <w:color w:val="000000"/>
                <w:sz w:val="20"/>
                <w:szCs w:val="20"/>
              </w:rPr>
              <w:t>东吴证券</w:t>
            </w:r>
            <w:r>
              <w:rPr>
                <w:rFonts w:hint="eastAsia" w:cs="宋体" w:asciiTheme="minorEastAsia" w:hAnsiTheme="minorEastAsia" w:eastAsiaTheme="minorEastAsia"/>
                <w:color w:val="000000"/>
                <w:sz w:val="20"/>
                <w:szCs w:val="20"/>
              </w:rPr>
              <w:t>、</w:t>
            </w:r>
            <w:r>
              <w:rPr>
                <w:rFonts w:cs="宋体" w:asciiTheme="minorEastAsia" w:hAnsiTheme="minorEastAsia" w:eastAsiaTheme="minorEastAsia"/>
                <w:color w:val="000000"/>
                <w:sz w:val="20"/>
                <w:szCs w:val="20"/>
              </w:rPr>
              <w:t>华源证券</w:t>
            </w:r>
            <w:r>
              <w:rPr>
                <w:rFonts w:hint="eastAsia" w:cs="宋体" w:asciiTheme="minorEastAsia" w:hAnsiTheme="minorEastAsia" w:eastAsiaTheme="minorEastAsia"/>
                <w:color w:val="000000"/>
                <w:sz w:val="20"/>
                <w:szCs w:val="20"/>
              </w:rPr>
              <w:t>、</w:t>
            </w:r>
            <w:r>
              <w:rPr>
                <w:rFonts w:cs="宋体" w:asciiTheme="minorEastAsia" w:hAnsiTheme="minorEastAsia" w:eastAsiaTheme="minorEastAsia"/>
                <w:color w:val="000000"/>
                <w:sz w:val="20"/>
                <w:szCs w:val="20"/>
              </w:rPr>
              <w:t>华创证券</w:t>
            </w:r>
            <w:r>
              <w:rPr>
                <w:rFonts w:hint="eastAsia" w:cs="宋体" w:asciiTheme="minorEastAsia" w:hAnsiTheme="minorEastAsia" w:eastAsiaTheme="minorEastAsia"/>
                <w:color w:val="000000"/>
                <w:sz w:val="20"/>
                <w:szCs w:val="20"/>
              </w:rPr>
              <w:t>、</w:t>
            </w:r>
            <w:r>
              <w:rPr>
                <w:rFonts w:cs="宋体" w:asciiTheme="minorEastAsia" w:hAnsiTheme="minorEastAsia" w:eastAsiaTheme="minorEastAsia"/>
                <w:color w:val="000000"/>
                <w:sz w:val="20"/>
                <w:szCs w:val="20"/>
              </w:rPr>
              <w:t>浙商证券</w:t>
            </w:r>
            <w:r>
              <w:rPr>
                <w:rFonts w:hint="eastAsia" w:cs="宋体" w:asciiTheme="minorEastAsia" w:hAnsiTheme="minorEastAsia" w:eastAsiaTheme="minorEastAsia"/>
                <w:color w:val="000000"/>
                <w:sz w:val="20"/>
                <w:szCs w:val="20"/>
              </w:rPr>
              <w:t>、东北证券、</w:t>
            </w:r>
            <w:r>
              <w:rPr>
                <w:rFonts w:cs="宋体" w:asciiTheme="minorEastAsia" w:hAnsiTheme="minorEastAsia" w:eastAsiaTheme="minorEastAsia"/>
                <w:color w:val="000000"/>
                <w:sz w:val="20"/>
                <w:szCs w:val="20"/>
              </w:rPr>
              <w:t>银河证券</w:t>
            </w:r>
            <w:r>
              <w:rPr>
                <w:rFonts w:hint="eastAsia" w:cs="宋体" w:asciiTheme="minorEastAsia" w:hAnsiTheme="minorEastAsia" w:eastAsiaTheme="minorEastAsia"/>
                <w:color w:val="000000"/>
                <w:sz w:val="20"/>
                <w:szCs w:val="20"/>
              </w:rPr>
              <w:t>、</w:t>
            </w:r>
            <w:r>
              <w:rPr>
                <w:rFonts w:cs="宋体" w:asciiTheme="minorEastAsia" w:hAnsiTheme="minorEastAsia" w:eastAsiaTheme="minorEastAsia"/>
                <w:color w:val="000000"/>
                <w:sz w:val="20"/>
                <w:szCs w:val="20"/>
              </w:rPr>
              <w:t>华福证券</w:t>
            </w:r>
            <w:r>
              <w:rPr>
                <w:rFonts w:hint="eastAsia" w:cs="宋体" w:asciiTheme="minorEastAsia" w:hAnsiTheme="minorEastAsia" w:eastAsiaTheme="minorEastAsia"/>
                <w:color w:val="000000"/>
                <w:sz w:val="20"/>
                <w:szCs w:val="20"/>
              </w:rPr>
              <w:t>、</w:t>
            </w:r>
            <w:r>
              <w:rPr>
                <w:rFonts w:cs="宋体" w:asciiTheme="minorEastAsia" w:hAnsiTheme="minorEastAsia" w:eastAsiaTheme="minorEastAsia"/>
                <w:color w:val="000000"/>
                <w:sz w:val="20"/>
                <w:szCs w:val="20"/>
              </w:rPr>
              <w:t>华</w:t>
            </w:r>
            <w:r>
              <w:rPr>
                <w:rFonts w:hint="eastAsia" w:cs="宋体" w:asciiTheme="minorEastAsia" w:hAnsiTheme="minorEastAsia" w:eastAsiaTheme="minorEastAsia"/>
                <w:color w:val="000000"/>
                <w:sz w:val="20"/>
                <w:szCs w:val="20"/>
              </w:rPr>
              <w:t>安</w:t>
            </w:r>
            <w:r>
              <w:rPr>
                <w:rFonts w:cs="宋体" w:asciiTheme="minorEastAsia" w:hAnsiTheme="minorEastAsia" w:eastAsiaTheme="minorEastAsia"/>
                <w:color w:val="000000"/>
                <w:sz w:val="20"/>
                <w:szCs w:val="20"/>
              </w:rPr>
              <w:t>证券</w:t>
            </w:r>
            <w:r>
              <w:rPr>
                <w:rFonts w:hint="eastAsia" w:cs="宋体" w:asciiTheme="minorEastAsia" w:hAnsiTheme="minorEastAsia" w:eastAsiaTheme="minorEastAsia"/>
                <w:color w:val="000000"/>
                <w:sz w:val="20"/>
                <w:szCs w:val="20"/>
              </w:rPr>
              <w:t>、</w:t>
            </w:r>
            <w:r>
              <w:rPr>
                <w:rFonts w:cs="宋体" w:asciiTheme="minorEastAsia" w:hAnsiTheme="minorEastAsia" w:eastAsiaTheme="minorEastAsia"/>
                <w:color w:val="000000"/>
                <w:sz w:val="20"/>
                <w:szCs w:val="20"/>
              </w:rPr>
              <w:t>国海证券、长江证券</w:t>
            </w:r>
            <w:r>
              <w:rPr>
                <w:rFonts w:hint="eastAsia" w:cs="宋体" w:asciiTheme="minorEastAsia" w:hAnsiTheme="minorEastAsia" w:eastAsiaTheme="minorEastAsia"/>
                <w:color w:val="000000"/>
                <w:sz w:val="20"/>
                <w:szCs w:val="20"/>
              </w:rPr>
              <w:t>、华西证券、</w:t>
            </w:r>
            <w:r>
              <w:rPr>
                <w:rFonts w:cs="宋体" w:asciiTheme="minorEastAsia" w:hAnsiTheme="minorEastAsia" w:eastAsiaTheme="minorEastAsia"/>
                <w:color w:val="000000"/>
                <w:sz w:val="20"/>
                <w:szCs w:val="20"/>
              </w:rPr>
              <w:t>平安证券</w:t>
            </w:r>
            <w:r>
              <w:rPr>
                <w:rFonts w:hint="eastAsia" w:cs="宋体" w:asciiTheme="minorEastAsia" w:hAnsiTheme="minorEastAsia" w:eastAsiaTheme="minorEastAsia"/>
                <w:color w:val="000000"/>
                <w:sz w:val="20"/>
                <w:szCs w:val="20"/>
              </w:rPr>
              <w:t>、中信建投、申万宏源、国泰海通、招商证券、华安基金、申万菱信基金、工银理财、华宝基金、光大保德信基金、安信基金、银河基金、清池资本、浙商基金、中融汇信投资、大家资产、兴证全球基金、博时基金、睿谷投资等。</w:t>
            </w:r>
          </w:p>
        </w:tc>
      </w:tr>
      <w:tr w14:paraId="63198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420" w:hRule="atLeast"/>
          <w:jc w:val="center"/>
        </w:trPr>
        <w:tc>
          <w:tcPr>
            <w:tcW w:w="1513" w:type="pct"/>
            <w:vAlign w:val="center"/>
          </w:tcPr>
          <w:p w14:paraId="0DBF0C79">
            <w:pPr>
              <w:pStyle w:val="15"/>
              <w:ind w:left="107"/>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时间</w:t>
            </w:r>
          </w:p>
        </w:tc>
        <w:tc>
          <w:tcPr>
            <w:tcW w:w="3486" w:type="pct"/>
            <w:vAlign w:val="center"/>
          </w:tcPr>
          <w:p w14:paraId="3E30B9DB">
            <w:pPr>
              <w:spacing w:before="0" w:beforeAutospacing="0" w:line="360" w:lineRule="auto"/>
              <w:rPr>
                <w:rFonts w:hint="eastAsia"/>
                <w:sz w:val="20"/>
                <w:szCs w:val="20"/>
              </w:rPr>
            </w:pPr>
            <w:r>
              <w:rPr>
                <w:rFonts w:hint="default" w:ascii="Times New Roman" w:hAnsi="Times New Roman" w:cs="Times New Roman" w:eastAsiaTheme="minorEastAsia"/>
                <w:sz w:val="20"/>
                <w:szCs w:val="20"/>
              </w:rPr>
              <w:t>2026年9月20日</w:t>
            </w:r>
            <w:r>
              <w:rPr>
                <w:rFonts w:hint="eastAsia" w:ascii="Times New Roman" w:hAnsi="Times New Roman" w:eastAsia="宋体" w:cs="Times New Roman"/>
                <w:sz w:val="20"/>
                <w:szCs w:val="20"/>
                <w:lang w:eastAsia="zh-CN"/>
              </w:rPr>
              <w:t>（</w:t>
            </w:r>
            <w:r>
              <w:rPr>
                <w:rFonts w:hint="eastAsia" w:ascii="Times New Roman" w:hAnsi="Times New Roman" w:eastAsia="宋体" w:cs="Times New Roman"/>
                <w:sz w:val="20"/>
                <w:szCs w:val="20"/>
                <w:lang w:val="en-US" w:eastAsia="zh-CN"/>
              </w:rPr>
              <w:t>周日</w:t>
            </w:r>
            <w:r>
              <w:rPr>
                <w:rFonts w:hint="eastAsia" w:ascii="Times New Roman" w:hAnsi="Times New Roman" w:eastAsia="宋体" w:cs="Times New Roman"/>
                <w:sz w:val="20"/>
                <w:szCs w:val="20"/>
                <w:lang w:eastAsia="zh-CN"/>
              </w:rPr>
              <w:t>）</w:t>
            </w:r>
            <w:bookmarkStart w:id="11" w:name="_GoBack"/>
            <w:bookmarkEnd w:id="11"/>
            <w:r>
              <w:rPr>
                <w:rFonts w:hint="default" w:ascii="Times New Roman" w:hAnsi="Times New Roman" w:cs="Times New Roman" w:eastAsiaTheme="minorEastAsia"/>
                <w:sz w:val="20"/>
                <w:szCs w:val="20"/>
              </w:rPr>
              <w:t>17:00-18:</w:t>
            </w:r>
            <w:r>
              <w:rPr>
                <w:rFonts w:hint="default" w:ascii="Times New Roman" w:hAnsi="Times New Roman" w:cs="Times New Roman" w:eastAsiaTheme="minorEastAsia"/>
                <w:sz w:val="20"/>
                <w:szCs w:val="20"/>
                <w:lang w:val="en-US"/>
              </w:rPr>
              <w:t>0</w:t>
            </w:r>
            <w:r>
              <w:rPr>
                <w:rFonts w:hint="default" w:ascii="Times New Roman" w:hAnsi="Times New Roman" w:cs="Times New Roman" w:eastAsiaTheme="minorEastAsia"/>
                <w:sz w:val="20"/>
                <w:szCs w:val="20"/>
              </w:rPr>
              <w:t>0</w:t>
            </w:r>
          </w:p>
        </w:tc>
      </w:tr>
      <w:tr w14:paraId="331B1E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513" w:type="pct"/>
            <w:vAlign w:val="center"/>
          </w:tcPr>
          <w:p w14:paraId="7AD97800">
            <w:pPr>
              <w:pStyle w:val="15"/>
              <w:ind w:left="107"/>
              <w:rPr>
                <w:rFonts w:hint="eastAsia" w:cs="宋体" w:asciiTheme="minorEastAsia" w:hAnsiTheme="minorEastAsia" w:eastAsiaTheme="minorEastAsia"/>
                <w:b/>
                <w:bCs/>
                <w:sz w:val="20"/>
                <w:szCs w:val="20"/>
              </w:rPr>
            </w:pPr>
            <w:r>
              <w:rPr>
                <w:rFonts w:hint="eastAsia" w:cs="宋体" w:asciiTheme="minorEastAsia" w:hAnsiTheme="minorEastAsia" w:eastAsiaTheme="minorEastAsia"/>
                <w:b/>
                <w:bCs/>
                <w:sz w:val="20"/>
                <w:szCs w:val="20"/>
              </w:rPr>
              <w:t>地点</w:t>
            </w:r>
          </w:p>
        </w:tc>
        <w:tc>
          <w:tcPr>
            <w:tcW w:w="3486" w:type="pct"/>
            <w:vAlign w:val="center"/>
          </w:tcPr>
          <w:p w14:paraId="1153E515">
            <w:pPr>
              <w:pStyle w:val="15"/>
              <w:spacing w:before="0" w:beforeAutospacing="0" w:line="360" w:lineRule="auto"/>
              <w:rPr>
                <w:rFonts w:hint="eastAsia" w:cs="宋体" w:asciiTheme="minorEastAsia" w:hAnsiTheme="minorEastAsia" w:eastAsiaTheme="minorEastAsia"/>
                <w:sz w:val="20"/>
                <w:szCs w:val="20"/>
                <w:lang w:val="en-US"/>
              </w:rPr>
            </w:pPr>
            <w:r>
              <w:rPr>
                <w:rFonts w:hint="eastAsia" w:cs="宋体" w:asciiTheme="minorEastAsia" w:hAnsiTheme="minorEastAsia" w:eastAsiaTheme="minorEastAsia"/>
                <w:sz w:val="20"/>
                <w:szCs w:val="20"/>
                <w:lang w:val="en-US"/>
              </w:rPr>
              <w:t>进门财经</w:t>
            </w:r>
          </w:p>
        </w:tc>
      </w:tr>
      <w:tr w14:paraId="198F5A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1513" w:type="pct"/>
            <w:vAlign w:val="center"/>
          </w:tcPr>
          <w:p w14:paraId="4AA93AB6">
            <w:pPr>
              <w:pStyle w:val="15"/>
              <w:spacing w:before="1"/>
              <w:ind w:left="107"/>
              <w:rPr>
                <w:rFonts w:hint="eastAsia" w:ascii="宋体" w:hAnsi="宋体" w:eastAsia="宋体" w:cs="宋体"/>
                <w:b/>
                <w:bCs/>
                <w:sz w:val="20"/>
                <w:szCs w:val="20"/>
              </w:rPr>
            </w:pPr>
            <w:r>
              <w:rPr>
                <w:rFonts w:hint="eastAsia" w:ascii="宋体" w:hAnsi="宋体" w:eastAsia="宋体" w:cs="宋体"/>
                <w:b/>
                <w:bCs/>
                <w:sz w:val="20"/>
                <w:szCs w:val="20"/>
              </w:rPr>
              <w:t>上市公司接待人员姓名</w:t>
            </w:r>
          </w:p>
        </w:tc>
        <w:tc>
          <w:tcPr>
            <w:tcW w:w="3486" w:type="pct"/>
            <w:vAlign w:val="center"/>
          </w:tcPr>
          <w:p w14:paraId="50182E8A">
            <w:pPr>
              <w:pStyle w:val="15"/>
              <w:spacing w:line="360" w:lineRule="auto"/>
              <w:rPr>
                <w:rFonts w:hint="eastAsia" w:ascii="宋体" w:hAnsi="宋体" w:eastAsia="宋体" w:cs="宋体"/>
                <w:sz w:val="20"/>
                <w:szCs w:val="20"/>
              </w:rPr>
            </w:pPr>
            <w:r>
              <w:rPr>
                <w:rFonts w:hint="eastAsia" w:ascii="宋体" w:hAnsi="宋体" w:eastAsia="宋体" w:cs="宋体"/>
                <w:sz w:val="20"/>
                <w:szCs w:val="20"/>
              </w:rPr>
              <w:t>申联生物董事长 聂东升先生</w:t>
            </w:r>
          </w:p>
          <w:p w14:paraId="4ABE45FD">
            <w:pPr>
              <w:pStyle w:val="15"/>
              <w:spacing w:line="360" w:lineRule="auto"/>
              <w:rPr>
                <w:rFonts w:hint="eastAsia" w:ascii="宋体" w:hAnsi="宋体" w:eastAsia="宋体" w:cs="宋体"/>
                <w:sz w:val="20"/>
                <w:szCs w:val="20"/>
                <w:lang w:val="en-US"/>
              </w:rPr>
            </w:pPr>
            <w:r>
              <w:rPr>
                <w:rFonts w:hint="eastAsia" w:ascii="宋体" w:hAnsi="宋体" w:eastAsia="宋体" w:cs="宋体"/>
                <w:sz w:val="20"/>
                <w:szCs w:val="20"/>
              </w:rPr>
              <w:t>世之源总经理 林淑菁</w:t>
            </w:r>
            <w:r>
              <w:rPr>
                <w:rFonts w:hint="eastAsia" w:ascii="宋体" w:hAnsi="宋体" w:eastAsia="宋体" w:cs="宋体"/>
                <w:sz w:val="20"/>
                <w:szCs w:val="20"/>
                <w:lang w:val="en-US"/>
              </w:rPr>
              <w:t>博士</w:t>
            </w:r>
          </w:p>
          <w:p w14:paraId="008FDD4C">
            <w:pPr>
              <w:pStyle w:val="15"/>
              <w:spacing w:line="360" w:lineRule="auto"/>
              <w:rPr>
                <w:rFonts w:hint="eastAsia" w:ascii="宋体" w:hAnsi="宋体" w:eastAsia="宋体" w:cs="宋体"/>
                <w:sz w:val="20"/>
                <w:szCs w:val="20"/>
              </w:rPr>
            </w:pPr>
            <w:r>
              <w:rPr>
                <w:rFonts w:hint="eastAsia" w:ascii="宋体" w:hAnsi="宋体" w:eastAsia="宋体" w:cs="宋体"/>
                <w:sz w:val="20"/>
                <w:szCs w:val="20"/>
              </w:rPr>
              <w:t>世之源临床研究总监 苏致豪</w:t>
            </w:r>
            <w:r>
              <w:rPr>
                <w:rFonts w:hint="eastAsia" w:ascii="宋体" w:hAnsi="宋体" w:eastAsia="宋体" w:cs="宋体"/>
                <w:sz w:val="20"/>
                <w:szCs w:val="20"/>
                <w:lang w:val="en-US"/>
              </w:rPr>
              <w:t>博士</w:t>
            </w:r>
          </w:p>
          <w:p w14:paraId="2A294CAE">
            <w:pPr>
              <w:pStyle w:val="15"/>
              <w:spacing w:line="360" w:lineRule="auto"/>
              <w:rPr>
                <w:rFonts w:hint="eastAsia" w:ascii="宋体" w:hAnsi="宋体" w:eastAsia="宋体" w:cs="宋体"/>
                <w:sz w:val="20"/>
                <w:szCs w:val="20"/>
                <w:lang w:val="en-US"/>
              </w:rPr>
            </w:pPr>
            <w:r>
              <w:rPr>
                <w:rFonts w:hint="eastAsia" w:ascii="宋体" w:hAnsi="宋体" w:eastAsia="宋体" w:cs="宋体"/>
                <w:sz w:val="20"/>
                <w:szCs w:val="20"/>
              </w:rPr>
              <w:t>申联生物</w:t>
            </w:r>
            <w:r>
              <w:rPr>
                <w:rFonts w:ascii="宋体" w:hAnsi="宋体" w:eastAsia="宋体" w:cs="宋体"/>
                <w:sz w:val="20"/>
                <w:szCs w:val="20"/>
              </w:rPr>
              <w:t>董事会秘书 於海霞</w:t>
            </w:r>
            <w:r>
              <w:rPr>
                <w:rFonts w:hint="eastAsia" w:ascii="宋体" w:hAnsi="宋体" w:eastAsia="宋体" w:cs="宋体"/>
                <w:sz w:val="20"/>
                <w:szCs w:val="20"/>
                <w:lang w:val="en-US"/>
              </w:rPr>
              <w:t>女士</w:t>
            </w:r>
          </w:p>
          <w:p w14:paraId="7FC70C19">
            <w:pPr>
              <w:pStyle w:val="15"/>
              <w:spacing w:line="360" w:lineRule="auto"/>
              <w:rPr>
                <w:rFonts w:hint="eastAsia" w:ascii="宋体" w:hAnsi="宋体" w:eastAsia="宋体" w:cs="宋体"/>
                <w:sz w:val="20"/>
                <w:szCs w:val="20"/>
              </w:rPr>
            </w:pPr>
            <w:r>
              <w:rPr>
                <w:rFonts w:hint="eastAsia" w:ascii="宋体" w:hAnsi="宋体" w:eastAsia="宋体" w:cs="宋体"/>
                <w:sz w:val="20"/>
                <w:szCs w:val="20"/>
              </w:rPr>
              <w:t>申联生物</w:t>
            </w:r>
            <w:r>
              <w:rPr>
                <w:rFonts w:ascii="Times New Roman" w:hAnsi="Times New Roman" w:eastAsia="宋体" w:cs="Times New Roman"/>
                <w:sz w:val="20"/>
                <w:szCs w:val="20"/>
                <w:lang w:val="en-US"/>
              </w:rPr>
              <w:t>IR</w:t>
            </w:r>
            <w:r>
              <w:rPr>
                <w:rFonts w:hint="eastAsia" w:ascii="Times New Roman" w:hAnsi="Times New Roman" w:eastAsia="宋体" w:cs="Times New Roman"/>
                <w:sz w:val="20"/>
                <w:szCs w:val="20"/>
                <w:lang w:val="en-US"/>
              </w:rPr>
              <w:t xml:space="preserve"> </w:t>
            </w:r>
            <w:r>
              <w:rPr>
                <w:rFonts w:ascii="Times New Roman" w:hAnsi="Times New Roman" w:eastAsia="宋体" w:cs="Times New Roman"/>
                <w:sz w:val="20"/>
                <w:szCs w:val="20"/>
              </w:rPr>
              <w:t>刘</w:t>
            </w:r>
            <w:r>
              <w:rPr>
                <w:rFonts w:hint="eastAsia" w:ascii="宋体" w:hAnsi="宋体" w:eastAsia="宋体" w:cs="宋体"/>
                <w:sz w:val="20"/>
                <w:szCs w:val="20"/>
              </w:rPr>
              <w:t>欢</w:t>
            </w:r>
            <w:r>
              <w:rPr>
                <w:rFonts w:hint="eastAsia" w:ascii="宋体" w:hAnsi="宋体" w:eastAsia="宋体" w:cs="宋体"/>
                <w:sz w:val="20"/>
                <w:szCs w:val="20"/>
                <w:lang w:val="en-US"/>
              </w:rPr>
              <w:t>博士</w:t>
            </w:r>
          </w:p>
        </w:tc>
      </w:tr>
      <w:tr w14:paraId="50EF65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40" w:hRule="atLeast"/>
          <w:jc w:val="center"/>
        </w:trPr>
        <w:tc>
          <w:tcPr>
            <w:tcW w:w="1513" w:type="pct"/>
          </w:tcPr>
          <w:p w14:paraId="1F6D3FA7">
            <w:pPr>
              <w:pStyle w:val="15"/>
              <w:rPr>
                <w:rFonts w:hint="eastAsia" w:ascii="宋体" w:hAnsi="宋体" w:eastAsia="宋体" w:cs="宋体"/>
                <w:b/>
                <w:bCs/>
                <w:sz w:val="20"/>
                <w:szCs w:val="20"/>
              </w:rPr>
            </w:pPr>
          </w:p>
          <w:p w14:paraId="75BADB4F">
            <w:pPr>
              <w:pStyle w:val="15"/>
              <w:rPr>
                <w:rFonts w:hint="eastAsia" w:ascii="宋体" w:hAnsi="宋体" w:eastAsia="宋体" w:cs="宋体"/>
                <w:b/>
                <w:bCs/>
                <w:sz w:val="20"/>
                <w:szCs w:val="20"/>
              </w:rPr>
            </w:pPr>
          </w:p>
          <w:p w14:paraId="636910D2">
            <w:pPr>
              <w:pStyle w:val="15"/>
              <w:spacing w:before="5"/>
              <w:rPr>
                <w:rFonts w:hint="eastAsia" w:ascii="宋体" w:hAnsi="宋体" w:eastAsia="宋体" w:cs="宋体"/>
                <w:b/>
                <w:bCs/>
                <w:sz w:val="20"/>
                <w:szCs w:val="20"/>
              </w:rPr>
            </w:pPr>
          </w:p>
          <w:p w14:paraId="521A7A2F">
            <w:pPr>
              <w:pStyle w:val="15"/>
              <w:spacing w:before="1" w:line="499" w:lineRule="auto"/>
              <w:ind w:left="107" w:right="96"/>
              <w:rPr>
                <w:rFonts w:hint="eastAsia" w:ascii="宋体" w:hAnsi="宋体" w:eastAsia="宋体" w:cs="宋体"/>
                <w:b/>
                <w:bCs/>
                <w:sz w:val="20"/>
                <w:szCs w:val="20"/>
              </w:rPr>
            </w:pPr>
            <w:r>
              <w:rPr>
                <w:rFonts w:hint="eastAsia" w:ascii="宋体" w:hAnsi="宋体" w:eastAsia="宋体" w:cs="宋体"/>
                <w:b/>
                <w:bCs/>
                <w:sz w:val="20"/>
                <w:szCs w:val="20"/>
              </w:rPr>
              <w:t>投资者关系活动主要内容介绍</w:t>
            </w:r>
          </w:p>
        </w:tc>
        <w:tc>
          <w:tcPr>
            <w:tcW w:w="3486" w:type="pct"/>
          </w:tcPr>
          <w:p w14:paraId="7E344057">
            <w:pPr>
              <w:numPr>
                <w:ilvl w:val="0"/>
                <w:numId w:val="1"/>
              </w:numPr>
              <w:autoSpaceDE/>
              <w:autoSpaceDN/>
              <w:spacing w:line="360" w:lineRule="auto"/>
              <w:ind w:left="20" w:firstLine="402" w:firstLineChars="200"/>
              <w:jc w:val="both"/>
              <w:rPr>
                <w:rFonts w:hint="default" w:ascii="Times New Roman" w:hAnsi="Times New Roman" w:eastAsia="宋体" w:cs="Times New Roman"/>
                <w:b/>
                <w:kern w:val="2"/>
                <w:sz w:val="20"/>
                <w:szCs w:val="20"/>
                <w:lang w:bidi="ar-SA"/>
              </w:rPr>
            </w:pPr>
            <w:bookmarkStart w:id="0" w:name="OLE_LINK11"/>
            <w:r>
              <w:rPr>
                <w:rFonts w:hint="default" w:ascii="Times New Roman" w:hAnsi="Times New Roman" w:eastAsia="宋体" w:cs="Times New Roman"/>
                <w:b/>
                <w:kern w:val="2"/>
                <w:sz w:val="20"/>
                <w:szCs w:val="20"/>
                <w:lang w:bidi="ar-SA"/>
              </w:rPr>
              <w:t>公司董事长聂东升先生介绍公司基本情况。</w:t>
            </w:r>
          </w:p>
          <w:p w14:paraId="5239DCFC">
            <w:pPr>
              <w:autoSpaceDE/>
              <w:autoSpaceDN/>
              <w:spacing w:line="360" w:lineRule="auto"/>
              <w:ind w:left="20"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申联生物于2019年作为科创板首批生物制药企业成功上市。成立二十余年来，公司始终深耕生物制品领域，在合成肽、基因工程及mRNA等前沿技术平台上积累了深厚的研发与产业化能力。目前，公司拥有上海、兰州两大生产基地，持有百余项国内外授权专利及多项新兽药证书。</w:t>
            </w:r>
          </w:p>
          <w:p w14:paraId="10DF8A70">
            <w:pPr>
              <w:autoSpaceDE/>
              <w:autoSpaceDN/>
              <w:spacing w:line="360" w:lineRule="auto"/>
              <w:ind w:left="20"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基于现有资金、生产与研发优势，公司正全力推进“人用药品与动物保健”双向发展的新格局。通过控股世之源，公司已将创新药管线深度融入上市公司的核心战略布局。其中，UB-221作为张子文博士发明的第二款抗IgE单克隆抗体，适应症布局广泛，本次将重点解读其在慢性自发性荨麻疹（CSU）领域的进展，未来更可向特应性皮炎、过敏性鼻炎、食物过敏等适应症拓展。</w:t>
            </w:r>
          </w:p>
          <w:p w14:paraId="6ACEAAD3">
            <w:pPr>
              <w:autoSpaceDE/>
              <w:autoSpaceDN/>
              <w:spacing w:line="360" w:lineRule="auto"/>
              <w:ind w:left="20"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公司深知创新药研发“周期长、投入大、风险高”，但基于在生物大分子领域二十余年的技术积淀以及世之源团队的专业能力，我们坚定选择推进人用创新药，致力于为未被满足的临床需求提供全新的治疗方案。</w:t>
            </w:r>
          </w:p>
          <w:bookmarkEnd w:id="0"/>
          <w:p w14:paraId="4B144935">
            <w:pPr>
              <w:numPr>
                <w:ilvl w:val="0"/>
                <w:numId w:val="1"/>
              </w:numPr>
              <w:autoSpaceDE/>
              <w:autoSpaceDN/>
              <w:spacing w:line="360" w:lineRule="auto"/>
              <w:ind w:left="20" w:firstLine="402" w:firstLineChars="200"/>
              <w:jc w:val="both"/>
              <w:rPr>
                <w:rFonts w:hint="default" w:ascii="Times New Roman" w:hAnsi="Times New Roman" w:eastAsia="宋体" w:cs="Times New Roman"/>
                <w:b/>
                <w:kern w:val="2"/>
                <w:sz w:val="20"/>
                <w:szCs w:val="20"/>
                <w:lang w:bidi="ar-SA"/>
              </w:rPr>
            </w:pPr>
            <w:r>
              <w:rPr>
                <w:rFonts w:hint="default" w:ascii="Times New Roman" w:hAnsi="Times New Roman" w:eastAsia="宋体" w:cs="Times New Roman"/>
                <w:b/>
                <w:kern w:val="2"/>
                <w:sz w:val="20"/>
                <w:szCs w:val="20"/>
                <w:lang w:bidi="ar-SA"/>
              </w:rPr>
              <w:t>世之源总经理林淑</w:t>
            </w:r>
            <w:r>
              <w:rPr>
                <w:rFonts w:hint="default" w:ascii="Times New Roman" w:hAnsi="Times New Roman" w:eastAsia="宋体" w:cs="Times New Roman"/>
                <w:b/>
                <w:bCs/>
                <w:sz w:val="20"/>
                <w:szCs w:val="20"/>
              </w:rPr>
              <w:t>菁</w:t>
            </w:r>
            <w:r>
              <w:rPr>
                <w:rFonts w:hint="default" w:ascii="Times New Roman" w:hAnsi="Times New Roman" w:eastAsia="宋体" w:cs="Times New Roman"/>
                <w:b/>
                <w:kern w:val="2"/>
                <w:sz w:val="20"/>
                <w:szCs w:val="20"/>
                <w:lang w:bidi="ar-SA"/>
              </w:rPr>
              <w:t>博士、临床研究总监苏致豪博士介绍UB-221 II期临床作用机理、临床方案设计及临床试验数据。</w:t>
            </w:r>
          </w:p>
          <w:p w14:paraId="0DEDE3AC">
            <w:pPr>
              <w:autoSpaceDE/>
              <w:autoSpaceDN/>
              <w:spacing w:line="360" w:lineRule="auto"/>
              <w:ind w:left="20" w:firstLine="402" w:firstLineChars="200"/>
              <w:jc w:val="both"/>
              <w:rPr>
                <w:rFonts w:hint="default" w:ascii="Times New Roman" w:hAnsi="Times New Roman" w:eastAsia="宋体" w:cs="Times New Roman"/>
                <w:b/>
                <w:kern w:val="2"/>
                <w:sz w:val="20"/>
                <w:szCs w:val="20"/>
                <w:lang w:val="en-US" w:bidi="ar-SA"/>
              </w:rPr>
            </w:pPr>
            <w:r>
              <w:rPr>
                <w:rFonts w:hint="eastAsia" w:ascii="Times New Roman" w:hAnsi="Times New Roman" w:eastAsia="宋体" w:cs="Times New Roman"/>
                <w:b/>
                <w:kern w:val="2"/>
                <w:sz w:val="20"/>
                <w:szCs w:val="20"/>
                <w:lang w:val="en-US" w:eastAsia="zh-CN" w:bidi="ar-SA"/>
              </w:rPr>
              <w:t>1.</w:t>
            </w:r>
            <w:bookmarkStart w:id="1" w:name="OLE_LINK12"/>
            <w:r>
              <w:rPr>
                <w:rFonts w:hint="default" w:ascii="Times New Roman" w:hAnsi="Times New Roman" w:eastAsia="宋体" w:cs="Times New Roman"/>
                <w:b/>
                <w:kern w:val="2"/>
                <w:sz w:val="20"/>
                <w:szCs w:val="20"/>
                <w:lang w:val="en-US" w:bidi="ar-SA"/>
              </w:rPr>
              <w:t>UB-221的II期临床核心结论及双重作用机制介绍。</w:t>
            </w:r>
          </w:p>
          <w:p w14:paraId="4D4FD143">
            <w:pPr>
              <w:autoSpaceDE/>
              <w:autoSpaceDN/>
              <w:spacing w:line="360" w:lineRule="auto"/>
              <w:ind w:left="20"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核心结论方面：主要终点第12周HSS7=0各UB-221剂量组与安慰剂组对比均达到统计学显著意义，并呈现剂量依赖性应答；疗效峰值滞后于末次给药，停药后应答率继续上升，约在第22周达到峰值（末次注射后6周）；高剂量组UAS7=0比例亦显著优于安慰剂组；安全性与耐受性良好，未观察到过敏性休克等事件；停药后长效维持，高剂量组在停药12周（即第28周）时，HSS7=0与UAS7=0仍维持较高水平，而奥马珠单抗组停药后应答逐步回落。我们认为，该现象难以单纯用末次给药后的药物暴露（PK）解释，这进一步支持了UB-221除中和IgE外，具备抑制IgE合成的第二重机制，从而形成差异化、更持久的生物学效应。基于II期数据，公司将推进CSU III期临床试验。</w:t>
            </w:r>
          </w:p>
          <w:p w14:paraId="0A1BD800">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在双重作用机制的科学基础方面，IgE介导过敏主要与两类受体相关：FcεRI（高亲和力，主要位于肥大细胞等，IgE结合后可触发脱颗粒，释放过敏炎症介质）；CD23（低亲和力，生理条件下参与IgE的负反馈调控，IgE升高并与CD23结合后，可抑制IgE进一步生成）。UB-221的双重机制体现为：一方面与IgE结合，阻止IgE结合高亲和力受体FcεRI，抑制肥大细胞脱颗粒及下游过敏反应。体外数据显示，其结合亲和力约为奥马珠单抗的4-8倍，脱颗粒抑制效力约高7-8倍，且解离更慢，免疫复合物更稳定。另一方面，UB-221与IgE的结合位点与CD23结合区不重叠，结合后不阻止IgE继续结合CD23，从而保留负反馈，下调IgE mRNA与蛋白合成；而奥马珠单抗结合区与CD23位点高度重合，结合后会抑制IgE-CD23相互作用。</w:t>
            </w:r>
          </w:p>
          <w:bookmarkEnd w:id="1"/>
          <w:p w14:paraId="1749E56F">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UB-221的结构与体外证据进一步验证了上述机制：UB-221结合于IgE的Cε2-Cε4相关结构域区域，与CD23结合区分离；奥马珠单抗结合区域与CD23位点重叠。结合实验证明，UB-221-IgE复合物仍可结合CD23，而奥马珠单抗-IgE复合物则难以再结合CD23。在IL-4与抗人CD40抗体共同刺激诱导IgE合成的体系中，UB-221可显著下调IgE mRNA与蛋白，奥马珠单抗组未见同等抑制。因此，双重机制使UB-221在临床上有望实现起效更快、峰值更高、停药后更持久的差异化表现；II期结果与该假说方向一致，有待后续试验进一步验证。</w:t>
            </w:r>
          </w:p>
          <w:p w14:paraId="00917FE3">
            <w:pPr>
              <w:autoSpaceDE/>
              <w:autoSpaceDN/>
              <w:spacing w:line="360" w:lineRule="auto"/>
              <w:ind w:firstLine="402" w:firstLineChars="200"/>
              <w:jc w:val="both"/>
              <w:rPr>
                <w:rFonts w:hint="default" w:ascii="Times New Roman" w:hAnsi="Times New Roman" w:eastAsia="宋体" w:cs="Times New Roman"/>
                <w:b/>
                <w:kern w:val="2"/>
                <w:sz w:val="20"/>
                <w:szCs w:val="20"/>
                <w:lang w:bidi="ar-SA"/>
              </w:rPr>
            </w:pPr>
            <w:bookmarkStart w:id="2" w:name="OLE_LINK13"/>
            <w:r>
              <w:rPr>
                <w:rFonts w:hint="eastAsia" w:ascii="Times New Roman" w:hAnsi="Times New Roman" w:eastAsia="宋体" w:cs="Times New Roman"/>
                <w:b/>
                <w:kern w:val="2"/>
                <w:sz w:val="20"/>
                <w:szCs w:val="20"/>
                <w:lang w:val="en-US" w:eastAsia="zh-CN" w:bidi="ar-SA"/>
              </w:rPr>
              <w:t>2.</w:t>
            </w:r>
            <w:r>
              <w:rPr>
                <w:rFonts w:hint="default" w:ascii="Times New Roman" w:hAnsi="Times New Roman" w:eastAsia="宋体" w:cs="Times New Roman"/>
                <w:b/>
                <w:kern w:val="2"/>
                <w:sz w:val="20"/>
                <w:szCs w:val="20"/>
                <w:lang w:bidi="ar-SA"/>
              </w:rPr>
              <w:t>介绍UB-221 II期临床试验方案设计并解读二期临床数据。</w:t>
            </w:r>
          </w:p>
          <w:p w14:paraId="48DFCFBF">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本研究为随机、双盲、安慰剂对照试验，并设奥马珠单抗组作为疗效与安全性比较参照。目标人群为经H1抗组胺药控制不佳的中重度慢性自发性荨麻疹（CSU）患者。受试者随机分配至UB-221 1mg/kg、2mg/kg、4mg/kg皮下注射组，奥马珠单抗300mg剂量组，以及安慰剂组，随机比例约为2:2:2:1:1。各组均每4周皮下注射1次，末次给药在第16周。主要终点为第12周荨麻疹完全消退率（HSS7=0的受试者百分比）。末次给药后停药观察约20周，总随访至约第36周。分析集采用改良意向治疗方法（mITT），有2名受试者未纳入分析，整体退出率处于正常范围。</w:t>
            </w:r>
          </w:p>
          <w:p w14:paraId="4D31BBF6">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在疗效方面，第12周时全部UB-221剂量组HSS7=0比例均显著高于安慰剂，且高于奥马珠单抗组，并呈剂量反应关系。高剂量组与安慰剂的差异达43个百分点，反观奥马珠单抗相对安慰剂差异仅有30个百分点。关键次要终点UAS7=0比例结果中，UB-221 4mg/kg组显著高于安慰剂，与奥马珠组差异十七个百分点。此外，第12周各UB-221剂量组UAS7和基线相比改善幅度明显，4mg/kg组降幅达到84%，是与其他产品相比最能体现对疾病活动度完全控制的组别（需提示跨试验比较仅用于说明，不应被解读为直接互相比较）。第22周UB-221高剂量组HSS7=0数据达峰，超过2/3受试者实现风团完全消退，峰值69%；第28周即停药12周，高剂量组60%人群达到HSS7=0，奥马珠单抗组24%，组间差异约36个百分点，Fisher精确检验显示该差异具有统计学显著性。第28周后无继续给药情况下，曲线逐渐回落并趋向安慰剂水平，长效并非无限期，但仍显示停药窗口内的持续获益。</w:t>
            </w:r>
          </w:p>
          <w:p w14:paraId="0804A396">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在机制推断方面，对体重约70kg患者，UB-221 4mg/kg按摩尔数粗算相当于奥马珠单抗300mg量级（便于理解对照剂量的可比性，但不等同生物等效）。第28周时两组药物残余浓度理论上均已很低或接近不可测，故60%对24%的差距难以用PK残留单独解释，更支持存在中和IgE以外的生物学机制差异，即抑制IgE合成相关通路。早期疗效可能更多依赖中和/阻断FcεRI；药物累积至一定程度后，IgE合成抑制可能在停药后持续获益中扮演更关键角色。上述为基于现有数据的科学推断，最终需III期与生物标志物研究进一步确证。</w:t>
            </w:r>
          </w:p>
          <w:p w14:paraId="5590F025">
            <w:pPr>
              <w:autoSpaceDE/>
              <w:autoSpaceDN/>
              <w:spacing w:line="360" w:lineRule="auto"/>
              <w:ind w:firstLine="400" w:firstLineChars="200"/>
              <w:jc w:val="both"/>
              <w:rPr>
                <w:rFonts w:hint="default" w:ascii="Times New Roman" w:hAnsi="Times New Roman" w:eastAsia="宋体" w:cs="Times New Roman"/>
                <w:b/>
                <w:kern w:val="2"/>
                <w:sz w:val="20"/>
                <w:szCs w:val="20"/>
                <w:lang w:bidi="ar-SA"/>
              </w:rPr>
            </w:pPr>
            <w:r>
              <w:rPr>
                <w:rFonts w:hint="default" w:ascii="Times New Roman" w:hAnsi="Times New Roman" w:eastAsia="宋体" w:cs="Times New Roman"/>
                <w:bCs/>
                <w:kern w:val="2"/>
                <w:sz w:val="20"/>
                <w:szCs w:val="20"/>
                <w:lang w:val="en-US" w:bidi="ar-SA"/>
              </w:rPr>
              <w:t>在安全性方面，各治疗组的人口统计学和基线疾病特征总体均衡。UB-221总体耐受性良好，安全性特征良好。各治疗组与治疗相关的不良事件发生情况相似。研究中未发生与治疗相关的严重不良事件，也未发生包括过敏性休克在内的超敏反应。注射部位反应（ISR）发生率较低，未导致研究停药，仅有1例ISR超过1级。</w:t>
            </w:r>
          </w:p>
          <w:bookmarkEnd w:id="2"/>
          <w:p w14:paraId="30EA6892">
            <w:pPr>
              <w:autoSpaceDE/>
              <w:autoSpaceDN/>
              <w:spacing w:line="360" w:lineRule="auto"/>
              <w:ind w:firstLine="402" w:firstLineChars="200"/>
              <w:jc w:val="both"/>
              <w:rPr>
                <w:rFonts w:hint="default" w:ascii="Times New Roman" w:hAnsi="Times New Roman" w:eastAsia="宋体" w:cs="Times New Roman"/>
                <w:bCs/>
                <w:kern w:val="2"/>
                <w:sz w:val="20"/>
                <w:szCs w:val="20"/>
                <w:lang w:bidi="ar-SA"/>
              </w:rPr>
            </w:pPr>
            <w:bookmarkStart w:id="3" w:name="OLE_LINK14"/>
            <w:r>
              <w:rPr>
                <w:rFonts w:hint="eastAsia" w:ascii="Times New Roman" w:hAnsi="Times New Roman" w:eastAsia="宋体" w:cs="Times New Roman"/>
                <w:b/>
                <w:kern w:val="2"/>
                <w:sz w:val="20"/>
                <w:szCs w:val="20"/>
                <w:lang w:val="en-US" w:eastAsia="zh-CN" w:bidi="ar-SA"/>
              </w:rPr>
              <w:t>3.</w:t>
            </w:r>
            <w:r>
              <w:rPr>
                <w:rFonts w:hint="default" w:ascii="Times New Roman" w:hAnsi="Times New Roman" w:eastAsia="宋体" w:cs="Times New Roman"/>
                <w:b/>
                <w:kern w:val="2"/>
                <w:sz w:val="20"/>
                <w:szCs w:val="20"/>
                <w:lang w:bidi="ar-SA"/>
              </w:rPr>
              <w:t>临床差异化与未来新适应症拓展</w:t>
            </w:r>
            <w:r>
              <w:rPr>
                <w:rFonts w:hint="default" w:ascii="Times New Roman" w:hAnsi="Times New Roman" w:eastAsia="宋体" w:cs="Times New Roman"/>
                <w:bCs/>
                <w:kern w:val="2"/>
                <w:sz w:val="20"/>
                <w:szCs w:val="20"/>
                <w:lang w:bidi="ar-SA"/>
              </w:rPr>
              <w:t>。</w:t>
            </w:r>
          </w:p>
          <w:p w14:paraId="0125B5B6">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UB-221由奥马珠单抗发明人张子文博士团队在“中和之外进一步控制IgE合成”的设计理念下定向筛选获得，而非随机筛选。其设计规格要求保留并强化FcεRI通路中和（追求快速起效与更高亲和力），同时具备抑制IgE合成的第二功能。</w:t>
            </w:r>
          </w:p>
          <w:p w14:paraId="1EB8B653">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在临床表现差异化方面，相对奥马珠单抗，UB-221表现出起效更快、峰值更高、停药后维持更久，且停药后一段时间内应答仍可上升的特点。相对文献中其他机制或抗IgE竞品，UB-221在完全控制相关指标上具有竞争力，支持双重作用机制假说，未来仍将围绕作用机制设计更合适的验证性实验。</w:t>
            </w:r>
          </w:p>
          <w:p w14:paraId="2F375244">
            <w:pPr>
              <w:autoSpaceDE/>
              <w:autoSpaceDN/>
              <w:spacing w:line="360" w:lineRule="auto"/>
              <w:ind w:firstLine="400" w:firstLineChars="200"/>
              <w:jc w:val="both"/>
              <w:rPr>
                <w:rFonts w:hint="default" w:ascii="Times New Roman" w:hAnsi="Times New Roman" w:eastAsia="宋体" w:cs="Times New Roman"/>
                <w:bCs/>
                <w:kern w:val="2"/>
                <w:sz w:val="20"/>
                <w:szCs w:val="20"/>
                <w:lang w:val="en-US" w:bidi="ar-SA"/>
              </w:rPr>
            </w:pPr>
            <w:r>
              <w:rPr>
                <w:rFonts w:hint="default" w:ascii="Times New Roman" w:hAnsi="Times New Roman" w:eastAsia="宋体" w:cs="Times New Roman"/>
                <w:bCs/>
                <w:kern w:val="2"/>
                <w:sz w:val="20"/>
                <w:szCs w:val="20"/>
                <w:lang w:val="en-US" w:bidi="ar-SA"/>
              </w:rPr>
              <w:t>在适应症与合作拓展方面，国内与海外合作方CUE都将积极推进不同适应症的相关临床。CUE计划在美国推进食物过敏II期临床试验，并规划针对CSU的 IIb/III期临床试验。世之源规划在中国推进季节性过敏性鼻炎等新适应症方向；其他如特应性皮炎（AD）处于积极评估中，食物过敏亦为全球未满足需求方向，需结合PK/PD、定量药理与生物标志物优化给药方案。</w:t>
            </w:r>
          </w:p>
          <w:bookmarkEnd w:id="3"/>
          <w:p w14:paraId="5A3986F9">
            <w:pPr>
              <w:numPr>
                <w:ilvl w:val="0"/>
                <w:numId w:val="1"/>
              </w:numPr>
              <w:autoSpaceDE/>
              <w:autoSpaceDN/>
              <w:spacing w:line="360" w:lineRule="auto"/>
              <w:jc w:val="both"/>
              <w:rPr>
                <w:rFonts w:hint="default" w:ascii="Times New Roman" w:hAnsi="Times New Roman" w:eastAsia="宋体" w:cs="Times New Roman"/>
                <w:b/>
                <w:kern w:val="2"/>
                <w:sz w:val="20"/>
                <w:szCs w:val="20"/>
                <w:lang w:bidi="ar-SA"/>
              </w:rPr>
            </w:pPr>
            <w:r>
              <w:rPr>
                <w:rFonts w:hint="default" w:ascii="Times New Roman" w:hAnsi="Times New Roman" w:eastAsia="宋体" w:cs="Times New Roman"/>
                <w:b/>
                <w:kern w:val="2"/>
                <w:sz w:val="20"/>
                <w:szCs w:val="20"/>
                <w:lang w:bidi="ar-SA"/>
              </w:rPr>
              <w:t>交流问答环节</w:t>
            </w:r>
          </w:p>
          <w:p w14:paraId="76160548">
            <w:pPr>
              <w:autoSpaceDE/>
              <w:autoSpaceDN/>
              <w:spacing w:line="360" w:lineRule="auto"/>
              <w:ind w:firstLine="402" w:firstLineChars="200"/>
              <w:jc w:val="both"/>
              <w:rPr>
                <w:rFonts w:hint="default" w:ascii="Times New Roman" w:hAnsi="Times New Roman" w:eastAsia="宋体" w:cs="Times New Roman"/>
                <w:b/>
                <w:kern w:val="2"/>
                <w:sz w:val="20"/>
                <w:szCs w:val="20"/>
                <w:lang w:bidi="ar-SA"/>
              </w:rPr>
            </w:pPr>
            <w:bookmarkStart w:id="4" w:name="OLE_LINK15"/>
            <w:r>
              <w:rPr>
                <w:rFonts w:hint="default" w:ascii="Times New Roman" w:hAnsi="Times New Roman" w:eastAsia="宋体" w:cs="Times New Roman"/>
                <w:b/>
                <w:kern w:val="2"/>
                <w:sz w:val="20"/>
                <w:szCs w:val="20"/>
                <w:lang w:bidi="ar-SA"/>
              </w:rPr>
              <w:t>1.基于UB-221的双重作用机制，III期是否探索更长给药间隔？主要终点是否会延长观察？</w:t>
            </w:r>
          </w:p>
          <w:p w14:paraId="070D6618">
            <w:pPr>
              <w:spacing w:line="360" w:lineRule="auto"/>
              <w:ind w:firstLine="400" w:firstLineChars="200"/>
              <w:jc w:val="both"/>
              <w:rPr>
                <w:rFonts w:hint="default" w:ascii="Times New Roman" w:hAnsi="Times New Roman" w:eastAsia="宋体" w:cs="Times New Roman"/>
                <w:kern w:val="2"/>
                <w:sz w:val="20"/>
                <w:szCs w:val="20"/>
              </w:rPr>
            </w:pPr>
            <w:r>
              <w:rPr>
                <w:rFonts w:hint="default" w:ascii="Times New Roman" w:hAnsi="Times New Roman" w:eastAsia="宋体" w:cs="Times New Roman"/>
                <w:kern w:val="2"/>
                <w:sz w:val="20"/>
                <w:szCs w:val="20"/>
                <w:lang w:bidi="ar-SA"/>
              </w:rPr>
              <w:t>答：</w:t>
            </w:r>
            <w:r>
              <w:rPr>
                <w:rFonts w:hint="default" w:ascii="Times New Roman" w:hAnsi="Times New Roman" w:eastAsia="宋体" w:cs="Times New Roman"/>
                <w:kern w:val="2"/>
                <w:sz w:val="20"/>
                <w:szCs w:val="20"/>
              </w:rPr>
              <w:t>公司已与CRO就UB-221用于CSU的III期临床设计进行了充分讨论。鉴于II期临床数据表现优异，III期临床可基于II期设计进行。对公司而言，当前最优先事项是快速、稳健地启动III期并推进获批，而非重新进入剂量间隔的探索性试验。若在III期中同步引入多种给药间隔，将使试验重新偏向探索属性，可能拖慢首个适应症的获批进程。因此，公司计划先完成CSU的注册申报并快速取得上市许可，更长给药间隔及其他剂量方案可在获批后或通过平行探索性试验另行商议。若III期能够重复II期所展现的疗效特征，公司认为UB-221有望成为抗IgE领域的best-in-class候选药物。</w:t>
            </w:r>
          </w:p>
          <w:bookmarkEnd w:id="4"/>
          <w:p w14:paraId="1F31EC0D">
            <w:pPr>
              <w:autoSpaceDE/>
              <w:autoSpaceDN/>
              <w:spacing w:line="360" w:lineRule="auto"/>
              <w:ind w:firstLine="402" w:firstLineChars="200"/>
              <w:jc w:val="both"/>
              <w:rPr>
                <w:rFonts w:hint="default" w:ascii="Times New Roman" w:hAnsi="Times New Roman" w:eastAsia="宋体" w:cs="Times New Roman"/>
                <w:b/>
                <w:kern w:val="2"/>
                <w:sz w:val="20"/>
                <w:szCs w:val="20"/>
                <w:lang w:bidi="ar-SA"/>
              </w:rPr>
            </w:pPr>
            <w:bookmarkStart w:id="5" w:name="OLE_LINK16"/>
            <w:r>
              <w:rPr>
                <w:rFonts w:hint="default" w:ascii="Times New Roman" w:hAnsi="Times New Roman" w:eastAsia="宋体" w:cs="Times New Roman"/>
                <w:b/>
                <w:kern w:val="2"/>
                <w:sz w:val="20"/>
                <w:szCs w:val="20"/>
                <w:lang w:bidi="ar-SA"/>
              </w:rPr>
              <w:t>2</w:t>
            </w:r>
            <w:r>
              <w:rPr>
                <w:rFonts w:hint="default" w:ascii="Times New Roman" w:hAnsi="Times New Roman" w:eastAsia="宋体" w:cs="Times New Roman"/>
                <w:b/>
                <w:kern w:val="2"/>
                <w:sz w:val="20"/>
                <w:szCs w:val="20"/>
                <w:lang w:val="en-US" w:bidi="ar-SA"/>
              </w:rPr>
              <w:t>.</w:t>
            </w:r>
            <w:r>
              <w:rPr>
                <w:rFonts w:hint="default" w:ascii="Times New Roman" w:hAnsi="Times New Roman" w:eastAsia="宋体" w:cs="Times New Roman"/>
                <w:b/>
                <w:kern w:val="2"/>
                <w:sz w:val="20"/>
                <w:szCs w:val="20"/>
                <w:lang w:bidi="ar-SA"/>
              </w:rPr>
              <w:t>CSU III期启动时间表？患者组别设计？</w:t>
            </w:r>
          </w:p>
          <w:p w14:paraId="4315CF57">
            <w:pPr>
              <w:autoSpaceDE/>
              <w:autoSpaceDN/>
              <w:spacing w:line="360" w:lineRule="auto"/>
              <w:ind w:firstLine="400" w:firstLineChars="200"/>
              <w:jc w:val="both"/>
              <w:rPr>
                <w:rFonts w:hint="default" w:ascii="Times New Roman" w:hAnsi="Times New Roman" w:eastAsia="宋体" w:cs="Times New Roman"/>
                <w:kern w:val="2"/>
                <w:sz w:val="20"/>
                <w:szCs w:val="20"/>
                <w:lang w:val="en-US"/>
              </w:rPr>
            </w:pPr>
            <w:r>
              <w:rPr>
                <w:rFonts w:hint="default" w:ascii="Times New Roman" w:hAnsi="Times New Roman" w:eastAsia="宋体" w:cs="Times New Roman"/>
                <w:kern w:val="2"/>
                <w:sz w:val="20"/>
                <w:szCs w:val="20"/>
                <w:lang w:val="en-US" w:bidi="ar-SA"/>
              </w:rPr>
              <w:t>答:</w:t>
            </w:r>
            <w:r>
              <w:rPr>
                <w:rFonts w:hint="default" w:ascii="Times New Roman" w:hAnsi="Times New Roman" w:eastAsia="宋体" w:cs="Times New Roman"/>
                <w:kern w:val="2"/>
                <w:sz w:val="20"/>
                <w:szCs w:val="20"/>
                <w:lang w:val="en-US"/>
              </w:rPr>
              <w:t>目前III期临床方案正在积极制定中。公司计划于2026年底前完成II期结束后的CDE沟通交流会，沟通议题将涵盖II期临床数据、III期临床方案及CMC（化学制造与控制）等内容。在生产方面，UB-221的III期临床用药生产已放大至约2000L规模，届时需向监管机构更新CMC相关信息。在时间安排上，公司计划于2027年第一季度启动研究中心准备及伦理审查（IRB）等工作，争取在2027年第二季度开始受试者入组。在临床中心布局方面，UB-221的III期临床拟开设约40-45家中心，以加速受试者入组。关于“患者组别”等更细化的分层设计，目前暂未完全确定，将以届时与CDE确认的方案为准。</w:t>
            </w:r>
            <w:bookmarkEnd w:id="5"/>
          </w:p>
          <w:p w14:paraId="047B52FD">
            <w:pPr>
              <w:autoSpaceDE/>
              <w:autoSpaceDN/>
              <w:spacing w:line="360" w:lineRule="auto"/>
              <w:ind w:firstLine="402" w:firstLineChars="200"/>
              <w:jc w:val="both"/>
              <w:rPr>
                <w:rFonts w:hint="default" w:ascii="Times New Roman" w:hAnsi="Times New Roman" w:eastAsia="宋体" w:cs="Times New Roman"/>
                <w:b/>
                <w:kern w:val="2"/>
                <w:sz w:val="20"/>
                <w:szCs w:val="20"/>
                <w:lang w:bidi="ar-SA"/>
              </w:rPr>
            </w:pPr>
            <w:bookmarkStart w:id="6" w:name="OLE_LINK17"/>
            <w:r>
              <w:rPr>
                <w:rFonts w:hint="default" w:ascii="Times New Roman" w:hAnsi="Times New Roman" w:eastAsia="宋体" w:cs="Times New Roman"/>
                <w:b/>
                <w:kern w:val="2"/>
                <w:sz w:val="20"/>
                <w:szCs w:val="20"/>
                <w:lang w:bidi="ar-SA"/>
              </w:rPr>
              <w:t>3.与其他抗IgE竞品如何竞争？美国食物过敏开发节点？</w:t>
            </w:r>
          </w:p>
          <w:p w14:paraId="3A501946">
            <w:pPr>
              <w:autoSpaceDE/>
              <w:autoSpaceDN/>
              <w:spacing w:line="360" w:lineRule="auto"/>
              <w:ind w:firstLine="400" w:firstLineChars="200"/>
              <w:jc w:val="both"/>
              <w:rPr>
                <w:rFonts w:hint="default" w:ascii="Times New Roman" w:hAnsi="Times New Roman" w:eastAsia="宋体" w:cs="Times New Roman"/>
                <w:kern w:val="2"/>
                <w:sz w:val="20"/>
                <w:szCs w:val="20"/>
                <w:lang w:val="en-US" w:bidi="ar"/>
              </w:rPr>
            </w:pPr>
            <w:r>
              <w:rPr>
                <w:rFonts w:hint="default" w:ascii="Times New Roman" w:hAnsi="Times New Roman" w:eastAsia="宋体" w:cs="Times New Roman"/>
                <w:kern w:val="2"/>
                <w:sz w:val="20"/>
                <w:szCs w:val="20"/>
                <w:lang w:bidi="ar-SA"/>
              </w:rPr>
              <w:t>答</w:t>
            </w:r>
            <w:r>
              <w:rPr>
                <w:rFonts w:ascii="Times New Roman" w:hAnsi="Times New Roman" w:eastAsia="宋体" w:cs="Times New Roman"/>
                <w:kern w:val="2"/>
                <w:sz w:val="20"/>
                <w:szCs w:val="20"/>
                <w:lang w:val="en-US" w:bidi="ar"/>
              </w:rPr>
              <w:t>：从在研IgE</w:t>
            </w:r>
            <w:r>
              <w:rPr>
                <w:rFonts w:hint="default" w:ascii="Times New Roman" w:hAnsi="Times New Roman" w:eastAsia="宋体" w:cs="Times New Roman"/>
                <w:kern w:val="2"/>
                <w:sz w:val="20"/>
                <w:szCs w:val="20"/>
                <w:lang w:val="en-US" w:bidi="ar"/>
              </w:rPr>
              <w:t>单抗</w:t>
            </w:r>
            <w:r>
              <w:rPr>
                <w:rFonts w:ascii="Times New Roman" w:hAnsi="Times New Roman" w:eastAsia="宋体" w:cs="Times New Roman"/>
                <w:kern w:val="2"/>
                <w:sz w:val="20"/>
                <w:szCs w:val="20"/>
                <w:lang w:val="en-US" w:bidi="ar"/>
              </w:rPr>
              <w:t>格局来看，目前积极推进的</w:t>
            </w:r>
            <w:r>
              <w:rPr>
                <w:rFonts w:hint="default" w:ascii="Times New Roman" w:hAnsi="Times New Roman" w:eastAsia="宋体" w:cs="Times New Roman"/>
                <w:kern w:val="2"/>
                <w:sz w:val="20"/>
                <w:szCs w:val="20"/>
                <w:lang w:val="en-US" w:bidi="ar"/>
              </w:rPr>
              <w:t>类似竞</w:t>
            </w:r>
            <w:r>
              <w:rPr>
                <w:rFonts w:ascii="Times New Roman" w:hAnsi="Times New Roman" w:eastAsia="宋体" w:cs="Times New Roman"/>
                <w:kern w:val="2"/>
                <w:sz w:val="20"/>
                <w:szCs w:val="20"/>
                <w:lang w:val="en-US" w:bidi="ar"/>
              </w:rPr>
              <w:t>品主要包括UB-221及</w:t>
            </w:r>
            <w:r>
              <w:rPr>
                <w:rFonts w:hint="default" w:ascii="Times New Roman" w:hAnsi="Times New Roman" w:eastAsia="宋体" w:cs="Times New Roman"/>
                <w:kern w:val="2"/>
                <w:sz w:val="20"/>
                <w:szCs w:val="20"/>
                <w:lang w:val="en-US" w:bidi="ar"/>
              </w:rPr>
              <w:t>其他一些</w:t>
            </w:r>
            <w:r>
              <w:rPr>
                <w:rFonts w:ascii="Times New Roman" w:hAnsi="Times New Roman" w:eastAsia="宋体" w:cs="Times New Roman"/>
                <w:kern w:val="2"/>
                <w:sz w:val="20"/>
                <w:szCs w:val="20"/>
                <w:lang w:val="en-US" w:bidi="ar"/>
              </w:rPr>
              <w:t>处于临床阶段的抗IgE候选药物。在作用机制上，多数竞品主要侧重于对奥马珠单抗的亲和力改进，或通过Fc修饰延长半衰期，整体仍属于单纯中和IgE的路径，不具备UB-221抑制IgE合成的第二重机制。这类分子在药物浓度不足以有效中和IgE后，疗效可能随暴露水平下降而回落。相比之下，UB-221凭借抑制IgE合成所带来的持久性，在疗效维持方面形成了差异化优势，具备best-in-class潜力。</w:t>
            </w:r>
          </w:p>
          <w:p w14:paraId="3F6CB273">
            <w:pPr>
              <w:autoSpaceDE/>
              <w:autoSpaceDN/>
              <w:spacing w:line="360" w:lineRule="auto"/>
              <w:ind w:firstLine="400" w:firstLineChars="200"/>
              <w:jc w:val="both"/>
              <w:rPr>
                <w:rFonts w:hint="default" w:ascii="Times New Roman" w:hAnsi="Times New Roman" w:eastAsia="宋体" w:cs="Times New Roman"/>
                <w:kern w:val="2"/>
                <w:sz w:val="20"/>
                <w:szCs w:val="20"/>
                <w:lang w:val="en-US" w:bidi="ar"/>
              </w:rPr>
            </w:pPr>
            <w:r>
              <w:rPr>
                <w:rFonts w:ascii="Times New Roman" w:hAnsi="Times New Roman" w:eastAsia="宋体" w:cs="Times New Roman"/>
                <w:kern w:val="2"/>
                <w:sz w:val="20"/>
                <w:szCs w:val="20"/>
                <w:lang w:val="en-US" w:bidi="ar"/>
              </w:rPr>
              <w:t>在美国开发方面，合作方CUE已</w:t>
            </w:r>
            <w:r>
              <w:rPr>
                <w:rFonts w:hint="default" w:ascii="Times New Roman" w:hAnsi="Times New Roman" w:eastAsia="宋体" w:cs="Times New Roman"/>
                <w:kern w:val="2"/>
                <w:sz w:val="20"/>
                <w:szCs w:val="20"/>
                <w:lang w:val="en-US" w:bidi="ar"/>
              </w:rPr>
              <w:t>披露其向</w:t>
            </w:r>
            <w:r>
              <w:rPr>
                <w:rFonts w:ascii="Times New Roman" w:hAnsi="Times New Roman" w:eastAsia="宋体" w:cs="Times New Roman"/>
                <w:kern w:val="2"/>
                <w:sz w:val="20"/>
                <w:szCs w:val="20"/>
                <w:lang w:val="en-US" w:bidi="ar"/>
              </w:rPr>
              <w:t>FDA</w:t>
            </w:r>
            <w:r>
              <w:rPr>
                <w:rFonts w:hint="default" w:ascii="Times New Roman" w:hAnsi="Times New Roman" w:eastAsia="宋体" w:cs="Times New Roman"/>
                <w:kern w:val="2"/>
                <w:sz w:val="20"/>
                <w:szCs w:val="20"/>
                <w:lang w:val="en-US" w:bidi="ar"/>
              </w:rPr>
              <w:t>提交</w:t>
            </w:r>
            <w:r>
              <w:rPr>
                <w:rFonts w:ascii="Times New Roman" w:hAnsi="Times New Roman" w:eastAsia="宋体" w:cs="Times New Roman"/>
                <w:kern w:val="2"/>
                <w:sz w:val="20"/>
                <w:szCs w:val="20"/>
                <w:lang w:val="en-US" w:bidi="ar"/>
              </w:rPr>
              <w:t>食物过敏适应症的II期</w:t>
            </w:r>
            <w:r>
              <w:rPr>
                <w:rFonts w:hint="default" w:ascii="Times New Roman" w:hAnsi="Times New Roman" w:eastAsia="宋体" w:cs="Times New Roman"/>
                <w:kern w:val="2"/>
                <w:sz w:val="20"/>
                <w:szCs w:val="20"/>
                <w:lang w:val="en-US" w:bidi="ar"/>
              </w:rPr>
              <w:t>临床</w:t>
            </w:r>
            <w:r>
              <w:rPr>
                <w:rFonts w:ascii="Times New Roman" w:hAnsi="Times New Roman" w:eastAsia="宋体" w:cs="Times New Roman"/>
                <w:kern w:val="2"/>
                <w:sz w:val="20"/>
                <w:szCs w:val="20"/>
                <w:lang w:val="en-US" w:bidi="ar"/>
              </w:rPr>
              <w:t>申请。在本次CSU II期数据读出后，CUE有望更积极地加速食物过敏II期</w:t>
            </w:r>
            <w:r>
              <w:rPr>
                <w:rFonts w:hint="default" w:ascii="Times New Roman" w:hAnsi="Times New Roman" w:eastAsia="宋体" w:cs="Times New Roman"/>
                <w:kern w:val="2"/>
                <w:sz w:val="20"/>
                <w:szCs w:val="20"/>
                <w:lang w:val="en-US" w:bidi="ar"/>
              </w:rPr>
              <w:t>临床</w:t>
            </w:r>
            <w:r>
              <w:rPr>
                <w:rFonts w:ascii="Times New Roman" w:hAnsi="Times New Roman" w:eastAsia="宋体" w:cs="Times New Roman"/>
                <w:kern w:val="2"/>
                <w:sz w:val="20"/>
                <w:szCs w:val="20"/>
                <w:lang w:val="en-US" w:bidi="ar"/>
              </w:rPr>
              <w:t>推进，并同步规划CSU的</w:t>
            </w:r>
            <w:r>
              <w:rPr>
                <w:rFonts w:hint="default" w:ascii="Times New Roman" w:hAnsi="Times New Roman" w:eastAsia="宋体" w:cs="Times New Roman"/>
                <w:kern w:val="2"/>
                <w:sz w:val="20"/>
                <w:szCs w:val="20"/>
                <w:lang w:val="en-US" w:bidi="ar"/>
              </w:rPr>
              <w:t>IIb/</w:t>
            </w:r>
            <w:r>
              <w:rPr>
                <w:rFonts w:ascii="Times New Roman" w:hAnsi="Times New Roman" w:eastAsia="宋体" w:cs="Times New Roman"/>
                <w:kern w:val="2"/>
                <w:sz w:val="20"/>
                <w:szCs w:val="20"/>
                <w:lang w:val="en-US" w:bidi="ar"/>
              </w:rPr>
              <w:t>III期临床</w:t>
            </w:r>
            <w:r>
              <w:rPr>
                <w:rFonts w:hint="default" w:ascii="Times New Roman" w:hAnsi="Times New Roman" w:eastAsia="宋体" w:cs="Times New Roman"/>
                <w:kern w:val="2"/>
                <w:sz w:val="20"/>
                <w:szCs w:val="20"/>
                <w:lang w:val="en-US" w:bidi="ar"/>
              </w:rPr>
              <w:t>试验</w:t>
            </w:r>
            <w:r>
              <w:rPr>
                <w:rFonts w:ascii="Times New Roman" w:hAnsi="Times New Roman" w:eastAsia="宋体" w:cs="Times New Roman"/>
                <w:kern w:val="2"/>
                <w:sz w:val="20"/>
                <w:szCs w:val="20"/>
                <w:lang w:val="en-US" w:bidi="ar"/>
              </w:rPr>
              <w:t>。</w:t>
            </w:r>
          </w:p>
          <w:bookmarkEnd w:id="6"/>
          <w:p w14:paraId="0C7D9769">
            <w:pPr>
              <w:autoSpaceDE/>
              <w:autoSpaceDN/>
              <w:spacing w:line="360" w:lineRule="auto"/>
              <w:ind w:firstLine="402" w:firstLineChars="200"/>
              <w:jc w:val="both"/>
              <w:rPr>
                <w:rFonts w:hint="default" w:ascii="Times New Roman" w:hAnsi="Times New Roman" w:eastAsia="宋体" w:cs="Times New Roman"/>
                <w:b/>
                <w:kern w:val="2"/>
                <w:sz w:val="20"/>
                <w:szCs w:val="20"/>
                <w:lang w:val="en-US" w:bidi="ar-SA"/>
              </w:rPr>
            </w:pPr>
            <w:bookmarkStart w:id="7" w:name="OLE_LINK18"/>
            <w:r>
              <w:rPr>
                <w:rFonts w:hint="default" w:ascii="Times New Roman" w:hAnsi="Times New Roman" w:eastAsia="宋体" w:cs="Times New Roman"/>
                <w:b/>
                <w:kern w:val="2"/>
                <w:sz w:val="20"/>
                <w:szCs w:val="20"/>
                <w:lang w:bidi="ar-SA"/>
              </w:rPr>
              <w:t>4.</w:t>
            </w:r>
            <w:r>
              <w:rPr>
                <w:rFonts w:hint="default" w:ascii="Times New Roman" w:hAnsi="Times New Roman" w:eastAsia="宋体" w:cs="Times New Roman"/>
                <w:b/>
                <w:bCs/>
                <w:sz w:val="20"/>
                <w:szCs w:val="20"/>
              </w:rPr>
              <w:t>UB-221</w:t>
            </w:r>
            <w:r>
              <w:rPr>
                <w:rFonts w:hint="default" w:ascii="Times New Roman" w:hAnsi="Times New Roman" w:eastAsia="宋体" w:cs="Times New Roman"/>
                <w:b/>
                <w:kern w:val="2"/>
                <w:sz w:val="20"/>
                <w:szCs w:val="20"/>
                <w:lang w:bidi="ar-SA"/>
              </w:rPr>
              <w:t>长效差异化如何体现？其他适应症展望？</w:t>
            </w:r>
          </w:p>
          <w:p w14:paraId="6780835E">
            <w:pPr>
              <w:autoSpaceDE/>
              <w:autoSpaceDN/>
              <w:spacing w:line="360" w:lineRule="auto"/>
              <w:ind w:firstLine="400" w:firstLineChars="200"/>
              <w:jc w:val="both"/>
              <w:rPr>
                <w:rFonts w:hint="default" w:ascii="Times New Roman" w:hAnsi="Times New Roman" w:eastAsia="宋体" w:cs="Times New Roman"/>
                <w:kern w:val="2"/>
                <w:sz w:val="20"/>
                <w:szCs w:val="20"/>
                <w:lang w:val="en-US" w:bidi="ar-SA"/>
              </w:rPr>
            </w:pPr>
            <w:r>
              <w:rPr>
                <w:rFonts w:hint="default" w:ascii="Times New Roman" w:hAnsi="Times New Roman" w:eastAsia="宋体" w:cs="Times New Roman"/>
                <w:kern w:val="2"/>
                <w:sz w:val="20"/>
                <w:szCs w:val="20"/>
                <w:lang w:val="en-US" w:bidi="ar-SA"/>
              </w:rPr>
              <w:t>答:在差异化优势方面，根据临床试验数据，UB-221不仅体现在长效上，还包括起效更快、峰值更高、完全控制比例更高。当前方案为每月一次给药，部分竞品着重于更长给药间隔，但就目前数据来看，UB-221高剂量在疗效上仍更具优势。此外，UB-221停药后应答仍可继续爬升，约12周后才缓慢下降并仍处于相对高位——这一现象在其他类别中较为少见。综合已上市与未上市公开数据，管理层认为目前所展现的疗效强度与持久性组合具有领先潜力，归因于双重作用机制的叠加。</w:t>
            </w:r>
          </w:p>
          <w:p w14:paraId="483C9D64">
            <w:pPr>
              <w:autoSpaceDE/>
              <w:autoSpaceDN/>
              <w:spacing w:line="360" w:lineRule="auto"/>
              <w:ind w:firstLine="400" w:firstLineChars="200"/>
              <w:jc w:val="both"/>
              <w:rPr>
                <w:rFonts w:hint="default" w:ascii="Times New Roman" w:hAnsi="Times New Roman" w:eastAsia="宋体" w:cs="Times New Roman"/>
                <w:kern w:val="2"/>
                <w:sz w:val="20"/>
                <w:szCs w:val="20"/>
                <w:lang w:val="en-US" w:bidi="ar-SA"/>
              </w:rPr>
            </w:pPr>
            <w:r>
              <w:rPr>
                <w:rFonts w:hint="default" w:ascii="Times New Roman" w:hAnsi="Times New Roman" w:eastAsia="宋体" w:cs="Times New Roman"/>
                <w:kern w:val="2"/>
                <w:sz w:val="20"/>
                <w:szCs w:val="20"/>
                <w:lang w:val="en-US" w:bidi="ar-SA"/>
              </w:rPr>
              <w:t>关于其他适应症展望：特应性皮炎患者的IgE水平往往极高，其他抗IgE药物多未取得显著成功，UB-221更强中和与抑制合成的双重机制有望带来突破，公司认为该方向很有希望；季节性过敏性鼻炎中抗IgE已有疗效验证基础，拟作为中国优先拓展的适应症之一；食物过敏需将IgE压至极低水平，UB-221在降低IgE深度与维持方面具备潜力，需结合定量药理与生物标志物指导给药。总体来看，奥马珠单抗能够覆盖的场景，同类中和型改进分子或可部分复制，但UB-221能够实现奥马珠单抗难以实现的合成抑制相关获益，有望在过敏谱系疾病中呈现不同的治疗结果。</w:t>
            </w:r>
          </w:p>
          <w:bookmarkEnd w:id="7"/>
          <w:p w14:paraId="281357BC">
            <w:pPr>
              <w:autoSpaceDE/>
              <w:autoSpaceDN/>
              <w:spacing w:line="360" w:lineRule="auto"/>
              <w:ind w:firstLine="402" w:firstLineChars="200"/>
              <w:jc w:val="both"/>
              <w:rPr>
                <w:rFonts w:hint="default" w:ascii="Times New Roman" w:hAnsi="Times New Roman" w:eastAsia="宋体" w:cs="Times New Roman"/>
                <w:b/>
                <w:bCs/>
                <w:kern w:val="2"/>
                <w:sz w:val="20"/>
                <w:szCs w:val="20"/>
                <w:lang w:bidi="ar-SA"/>
              </w:rPr>
            </w:pPr>
            <w:bookmarkStart w:id="8" w:name="OLE_LINK21"/>
            <w:r>
              <w:rPr>
                <w:rFonts w:hint="default" w:ascii="Times New Roman" w:hAnsi="Times New Roman" w:eastAsia="宋体" w:cs="Times New Roman"/>
                <w:b/>
                <w:kern w:val="2"/>
                <w:sz w:val="20"/>
                <w:szCs w:val="20"/>
                <w:lang w:bidi="ar-SA"/>
              </w:rPr>
              <w:t>5</w:t>
            </w:r>
            <w:r>
              <w:rPr>
                <w:rFonts w:hint="default" w:ascii="Times New Roman" w:hAnsi="Times New Roman" w:eastAsia="宋体" w:cs="Times New Roman"/>
                <w:b/>
                <w:kern w:val="2"/>
                <w:sz w:val="20"/>
                <w:szCs w:val="20"/>
                <w:lang w:val="en-US" w:bidi="ar-SA"/>
              </w:rPr>
              <w:t>.</w:t>
            </w:r>
            <w:bookmarkStart w:id="9" w:name="OLE_LINK22"/>
            <w:r>
              <w:rPr>
                <w:rFonts w:hint="default" w:ascii="Times New Roman" w:hAnsi="Times New Roman" w:eastAsia="宋体" w:cs="Times New Roman"/>
                <w:b/>
                <w:kern w:val="2"/>
                <w:sz w:val="20"/>
                <w:szCs w:val="20"/>
                <w:lang w:val="en-US" w:bidi="ar-SA"/>
              </w:rPr>
              <w:t>公司</w:t>
            </w:r>
            <w:r>
              <w:rPr>
                <w:rFonts w:hint="default" w:ascii="Times New Roman" w:hAnsi="Times New Roman" w:eastAsia="宋体" w:cs="Times New Roman"/>
                <w:b/>
                <w:bCs/>
                <w:kern w:val="2"/>
                <w:sz w:val="20"/>
                <w:szCs w:val="20"/>
                <w:lang w:bidi="ar-SA"/>
              </w:rPr>
              <w:t>未来1-2年创新药方向关键催化剂和数据读出节奏？</w:t>
            </w:r>
          </w:p>
          <w:p w14:paraId="16413FA9">
            <w:pPr>
              <w:autoSpaceDE/>
              <w:autoSpaceDN/>
              <w:spacing w:line="360" w:lineRule="auto"/>
              <w:ind w:firstLine="400" w:firstLineChars="200"/>
              <w:jc w:val="both"/>
              <w:rPr>
                <w:rFonts w:hint="default" w:ascii="Times New Roman" w:hAnsi="Times New Roman" w:eastAsia="宋体" w:cs="Times New Roman"/>
                <w:kern w:val="2"/>
                <w:sz w:val="20"/>
                <w:szCs w:val="20"/>
                <w:lang w:val="en-US"/>
              </w:rPr>
            </w:pPr>
            <w:r>
              <w:rPr>
                <w:rFonts w:hint="default" w:ascii="Times New Roman" w:hAnsi="Times New Roman" w:eastAsia="宋体" w:cs="Times New Roman"/>
                <w:kern w:val="2"/>
                <w:sz w:val="20"/>
                <w:szCs w:val="20"/>
                <w:lang w:val="en-US" w:bidi="ar-SA"/>
              </w:rPr>
              <w:t>答:</w:t>
            </w:r>
            <w:bookmarkEnd w:id="8"/>
            <w:r>
              <w:rPr>
                <w:rFonts w:hint="default" w:ascii="Times New Roman" w:hAnsi="Times New Roman" w:eastAsia="宋体" w:cs="Times New Roman"/>
                <w:kern w:val="2"/>
                <w:sz w:val="20"/>
                <w:szCs w:val="20"/>
                <w:lang w:val="en-US"/>
              </w:rPr>
              <w:t>未来1-2年，公司将积极推进核心管线的临床开发，围绕多条创新药管线布局关键催化剂与数据读出节点。UB-221方面，主要启动慢性自发性荨麻疹III期临床，并同步推进其他适应症的拓展工作，包括特应性皮炎、过敏性鼻炎及食物过敏等方向。UB-421方面，主要启动多重耐药适应症的III期临床，以及围绕与CAR-T联合使用的重大专项推进工作，评估HIV功能性治愈潜力。UB-621方面，计划于明年申请II期临床，适应症为复发性生殖器疱疹。</w:t>
            </w:r>
          </w:p>
          <w:p w14:paraId="6033EDD7">
            <w:pPr>
              <w:autoSpaceDE/>
              <w:autoSpaceDN/>
              <w:spacing w:line="360" w:lineRule="auto"/>
              <w:ind w:firstLine="400" w:firstLineChars="200"/>
              <w:jc w:val="both"/>
              <w:rPr>
                <w:rFonts w:hint="default" w:ascii="Times New Roman" w:hAnsi="Times New Roman" w:eastAsia="宋体" w:cs="Times New Roman"/>
                <w:kern w:val="2"/>
                <w:sz w:val="20"/>
                <w:szCs w:val="20"/>
                <w:lang w:val="en-US"/>
              </w:rPr>
            </w:pPr>
            <w:r>
              <w:rPr>
                <w:rFonts w:hint="default" w:ascii="Times New Roman" w:hAnsi="Times New Roman" w:eastAsia="宋体" w:cs="Times New Roman"/>
                <w:kern w:val="2"/>
                <w:sz w:val="20"/>
                <w:szCs w:val="20"/>
                <w:lang w:val="en-US"/>
              </w:rPr>
              <w:t>另外，其他早期管线布局方面，公司重点评估并布局感染性疾病、免疫及过敏等领域的新产品，持续丰富创新药管线储备。</w:t>
            </w:r>
          </w:p>
          <w:bookmarkEnd w:id="9"/>
          <w:p w14:paraId="42D5B9D8">
            <w:pPr>
              <w:autoSpaceDE/>
              <w:autoSpaceDN/>
              <w:spacing w:line="360" w:lineRule="auto"/>
              <w:ind w:firstLine="402" w:firstLineChars="200"/>
              <w:jc w:val="both"/>
              <w:rPr>
                <w:rFonts w:hint="default" w:ascii="Times New Roman" w:hAnsi="Times New Roman" w:eastAsia="宋体" w:cs="Times New Roman"/>
                <w:b/>
                <w:kern w:val="2"/>
                <w:sz w:val="20"/>
                <w:szCs w:val="20"/>
                <w:lang w:bidi="ar-SA"/>
              </w:rPr>
            </w:pPr>
            <w:bookmarkStart w:id="10" w:name="OLE_LINK23"/>
            <w:r>
              <w:rPr>
                <w:rFonts w:hint="default" w:ascii="Times New Roman" w:hAnsi="Times New Roman" w:eastAsia="宋体" w:cs="Times New Roman"/>
                <w:b/>
                <w:kern w:val="2"/>
                <w:sz w:val="20"/>
                <w:szCs w:val="20"/>
                <w:lang w:bidi="ar-SA"/>
              </w:rPr>
              <w:t>6</w:t>
            </w:r>
            <w:r>
              <w:rPr>
                <w:rFonts w:hint="default" w:ascii="Times New Roman" w:hAnsi="Times New Roman" w:eastAsia="宋体" w:cs="Times New Roman"/>
                <w:b/>
                <w:kern w:val="2"/>
                <w:sz w:val="20"/>
                <w:szCs w:val="20"/>
                <w:lang w:val="en-US" w:bidi="ar-SA"/>
              </w:rPr>
              <w:t>.未来2年研发费用如何规划？</w:t>
            </w:r>
          </w:p>
          <w:p w14:paraId="32D3DEE3">
            <w:pPr>
              <w:autoSpaceDE/>
              <w:autoSpaceDN/>
              <w:spacing w:line="360" w:lineRule="auto"/>
              <w:ind w:firstLine="405"/>
              <w:jc w:val="both"/>
              <w:rPr>
                <w:rFonts w:hint="eastAsia" w:ascii="宋体" w:hAnsi="宋体" w:eastAsia="宋体" w:cs="Times New Roman"/>
                <w:kern w:val="2"/>
                <w:sz w:val="20"/>
                <w:szCs w:val="20"/>
                <w:lang w:bidi="ar-SA"/>
              </w:rPr>
            </w:pPr>
            <w:r>
              <w:rPr>
                <w:rFonts w:hint="default" w:ascii="Times New Roman" w:hAnsi="Times New Roman" w:eastAsia="宋体" w:cs="Times New Roman"/>
                <w:kern w:val="2"/>
                <w:sz w:val="20"/>
                <w:szCs w:val="20"/>
                <w:lang w:val="en-US" w:bidi="ar-SA"/>
              </w:rPr>
              <w:t>答:</w:t>
            </w:r>
            <w:r>
              <w:rPr>
                <w:rFonts w:hint="default" w:ascii="Times New Roman" w:hAnsi="Times New Roman" w:eastAsia="宋体" w:cs="Times New Roman"/>
                <w:kern w:val="2"/>
                <w:sz w:val="20"/>
                <w:szCs w:val="20"/>
              </w:rPr>
              <w:t>未来2年，公司在创新药方面的研发费用将主要围绕核心管线的临床推进进行规划。UB-221针对CSU的III期临床投入规模将相对略高些；UB-421的III期临床投入规模相对较小些；UB-621的II期临床因入组规模较大，投入预计亦处于相对略高水平。未来1至3年，若多项临床试验并行推进，总研发支出需结合实际启动节奏与公司财务披露情况综合判断。</w:t>
            </w:r>
            <w:bookmarkEnd w:id="10"/>
          </w:p>
        </w:tc>
      </w:tr>
      <w:tr w14:paraId="7F0B3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1513" w:type="pct"/>
            <w:vAlign w:val="center"/>
          </w:tcPr>
          <w:p w14:paraId="4D867BA9">
            <w:pPr>
              <w:pStyle w:val="15"/>
              <w:spacing w:before="1"/>
              <w:ind w:left="107"/>
              <w:rPr>
                <w:rFonts w:hint="eastAsia" w:ascii="宋体" w:hAnsi="宋体" w:eastAsia="宋体" w:cs="宋体"/>
                <w:b/>
                <w:bCs/>
                <w:sz w:val="20"/>
                <w:szCs w:val="20"/>
              </w:rPr>
            </w:pPr>
            <w:r>
              <w:rPr>
                <w:rFonts w:hint="eastAsia" w:ascii="宋体" w:hAnsi="宋体" w:eastAsia="宋体" w:cs="宋体"/>
                <w:b/>
                <w:bCs/>
                <w:sz w:val="20"/>
                <w:szCs w:val="20"/>
              </w:rPr>
              <w:t>附件清单（如有）</w:t>
            </w:r>
          </w:p>
        </w:tc>
        <w:tc>
          <w:tcPr>
            <w:tcW w:w="3486" w:type="pct"/>
            <w:vAlign w:val="center"/>
          </w:tcPr>
          <w:p w14:paraId="6877887B">
            <w:pPr>
              <w:pStyle w:val="15"/>
              <w:spacing w:before="100" w:beforeAutospacing="1" w:line="360" w:lineRule="auto"/>
              <w:rPr>
                <w:rFonts w:hint="eastAsia" w:ascii="宋体" w:hAnsi="宋体" w:eastAsia="宋体" w:cs="宋体"/>
                <w:sz w:val="20"/>
                <w:szCs w:val="20"/>
              </w:rPr>
            </w:pPr>
            <w:r>
              <w:rPr>
                <w:rFonts w:hint="eastAsia" w:ascii="宋体" w:hAnsi="宋体" w:eastAsia="宋体" w:cs="宋体"/>
                <w:sz w:val="20"/>
                <w:szCs w:val="20"/>
              </w:rPr>
              <w:t>无</w:t>
            </w:r>
          </w:p>
        </w:tc>
      </w:tr>
      <w:tr w14:paraId="752E4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73" w:hRule="atLeast"/>
          <w:jc w:val="center"/>
        </w:trPr>
        <w:tc>
          <w:tcPr>
            <w:tcW w:w="1513" w:type="pct"/>
            <w:vAlign w:val="center"/>
          </w:tcPr>
          <w:p w14:paraId="3570023A">
            <w:pPr>
              <w:pStyle w:val="15"/>
              <w:spacing w:before="1"/>
              <w:ind w:left="107"/>
              <w:rPr>
                <w:rFonts w:hint="eastAsia" w:ascii="宋体" w:hAnsi="宋体" w:eastAsia="宋体" w:cs="宋体"/>
                <w:b/>
                <w:bCs/>
                <w:sz w:val="20"/>
                <w:szCs w:val="20"/>
              </w:rPr>
            </w:pPr>
            <w:r>
              <w:rPr>
                <w:rFonts w:hint="eastAsia" w:ascii="宋体" w:hAnsi="宋体" w:eastAsia="宋体" w:cs="宋体"/>
                <w:b/>
                <w:bCs/>
                <w:sz w:val="20"/>
                <w:szCs w:val="20"/>
              </w:rPr>
              <w:t>日期</w:t>
            </w:r>
          </w:p>
        </w:tc>
        <w:tc>
          <w:tcPr>
            <w:tcW w:w="3486" w:type="pct"/>
            <w:vAlign w:val="center"/>
          </w:tcPr>
          <w:p w14:paraId="57E5E845">
            <w:pPr>
              <w:pStyle w:val="15"/>
              <w:spacing w:before="100" w:beforeAutospacing="1"/>
              <w:rPr>
                <w:rFonts w:hint="eastAsia" w:ascii="宋体" w:hAnsi="宋体" w:eastAsia="宋体" w:cs="宋体"/>
                <w:sz w:val="20"/>
                <w:szCs w:val="20"/>
                <w:lang w:val="en-US" w:eastAsia="zh-CN"/>
              </w:rPr>
            </w:pPr>
            <w:r>
              <w:rPr>
                <w:rFonts w:ascii="Times New Roman" w:hAnsi="Times New Roman" w:eastAsia="宋体" w:cs="Times New Roman"/>
                <w:sz w:val="20"/>
                <w:szCs w:val="20"/>
              </w:rPr>
              <w:t>202</w:t>
            </w:r>
            <w:r>
              <w:rPr>
                <w:rFonts w:hint="default" w:ascii="Times New Roman" w:hAnsi="Times New Roman" w:eastAsia="宋体" w:cs="Times New Roman"/>
                <w:sz w:val="20"/>
                <w:szCs w:val="20"/>
                <w:lang w:val="en-US"/>
              </w:rPr>
              <w:t>6</w:t>
            </w:r>
            <w:r>
              <w:rPr>
                <w:rFonts w:ascii="Times New Roman" w:hAnsi="Times New Roman" w:eastAsia="宋体" w:cs="Times New Roman"/>
                <w:sz w:val="20"/>
                <w:szCs w:val="20"/>
              </w:rPr>
              <w:t>年</w:t>
            </w:r>
            <w:r>
              <w:rPr>
                <w:rFonts w:hint="default" w:ascii="Times New Roman" w:hAnsi="Times New Roman" w:eastAsia="宋体" w:cs="Times New Roman"/>
                <w:sz w:val="20"/>
                <w:szCs w:val="20"/>
              </w:rPr>
              <w:t>9</w:t>
            </w:r>
            <w:r>
              <w:rPr>
                <w:rFonts w:ascii="Times New Roman" w:hAnsi="Times New Roman" w:eastAsia="宋体" w:cs="Times New Roman"/>
                <w:sz w:val="20"/>
                <w:szCs w:val="20"/>
              </w:rPr>
              <w:t>月</w:t>
            </w:r>
            <w:r>
              <w:rPr>
                <w:rFonts w:hint="default" w:ascii="Times New Roman" w:hAnsi="Times New Roman" w:eastAsia="宋体" w:cs="Times New Roman"/>
                <w:sz w:val="20"/>
                <w:szCs w:val="20"/>
              </w:rPr>
              <w:t>21</w:t>
            </w:r>
            <w:r>
              <w:rPr>
                <w:rFonts w:ascii="Times New Roman" w:hAnsi="Times New Roman" w:eastAsia="宋体" w:cs="Times New Roman"/>
                <w:sz w:val="20"/>
                <w:szCs w:val="20"/>
              </w:rPr>
              <w:t>日</w:t>
            </w:r>
          </w:p>
        </w:tc>
      </w:tr>
    </w:tbl>
    <w:p w14:paraId="05966B0B">
      <w:pPr>
        <w:rPr>
          <w:rFonts w:hint="eastAsia" w:ascii="宋体" w:hAnsi="宋体" w:eastAsia="宋体" w:cs="宋体"/>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MS Gothic">
    <w:panose1 w:val="020B0609070205080204"/>
    <w:charset w:val="80"/>
    <w:family w:val="modern"/>
    <w:pitch w:val="default"/>
    <w:sig w:usb0="E00002FF" w:usb1="6AC7FDFB" w:usb2="08000012" w:usb3="00000000" w:csb0="4002009F" w:csb1="DFD70000"/>
  </w:font>
  <w:font w:name="Wingdings 2">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5EA5C1"/>
    <w:multiLevelType w:val="singleLevel"/>
    <w:tmpl w:val="BD5EA5C1"/>
    <w:lvl w:ilvl="0" w:tentative="0">
      <w:start w:val="1"/>
      <w:numFmt w:val="chineseCounting"/>
      <w:suff w:val="nothing"/>
      <w:lvlText w:val="%1、"/>
      <w:lvlJc w:val="left"/>
      <w:pPr>
        <w:ind w:left="401"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g2ZWU4Nzc4ZTg2MmY4ZDUwMjZhNjZjN2U1YTU2MWUifQ=="/>
  </w:docVars>
  <w:rsids>
    <w:rsidRoot w:val="00301D32"/>
    <w:rsid w:val="0000671D"/>
    <w:rsid w:val="00026CC3"/>
    <w:rsid w:val="00036089"/>
    <w:rsid w:val="00052250"/>
    <w:rsid w:val="00053CFA"/>
    <w:rsid w:val="000633EC"/>
    <w:rsid w:val="00063804"/>
    <w:rsid w:val="00065EFE"/>
    <w:rsid w:val="000665A2"/>
    <w:rsid w:val="00070D3E"/>
    <w:rsid w:val="00072ED5"/>
    <w:rsid w:val="000877AB"/>
    <w:rsid w:val="000A4DC1"/>
    <w:rsid w:val="000B3227"/>
    <w:rsid w:val="000B7C08"/>
    <w:rsid w:val="000D12CF"/>
    <w:rsid w:val="000D2D88"/>
    <w:rsid w:val="000E4B20"/>
    <w:rsid w:val="000F3E63"/>
    <w:rsid w:val="001053AC"/>
    <w:rsid w:val="0011418F"/>
    <w:rsid w:val="00130EEC"/>
    <w:rsid w:val="00166EDC"/>
    <w:rsid w:val="00172C24"/>
    <w:rsid w:val="00185D6D"/>
    <w:rsid w:val="00186C4D"/>
    <w:rsid w:val="001B232A"/>
    <w:rsid w:val="001B30E7"/>
    <w:rsid w:val="001E34D4"/>
    <w:rsid w:val="001E59D1"/>
    <w:rsid w:val="001E5EA4"/>
    <w:rsid w:val="001F23C0"/>
    <w:rsid w:val="00203E8F"/>
    <w:rsid w:val="002042A7"/>
    <w:rsid w:val="00205911"/>
    <w:rsid w:val="002067F6"/>
    <w:rsid w:val="002146AD"/>
    <w:rsid w:val="00216C7F"/>
    <w:rsid w:val="0022219A"/>
    <w:rsid w:val="0024516F"/>
    <w:rsid w:val="00275CB6"/>
    <w:rsid w:val="002800B5"/>
    <w:rsid w:val="002818A7"/>
    <w:rsid w:val="002951AA"/>
    <w:rsid w:val="00295B29"/>
    <w:rsid w:val="002B5260"/>
    <w:rsid w:val="002D4073"/>
    <w:rsid w:val="002E7098"/>
    <w:rsid w:val="002E7723"/>
    <w:rsid w:val="00301D32"/>
    <w:rsid w:val="00366FAD"/>
    <w:rsid w:val="0037105B"/>
    <w:rsid w:val="00392348"/>
    <w:rsid w:val="003969B7"/>
    <w:rsid w:val="003975BA"/>
    <w:rsid w:val="003A43B9"/>
    <w:rsid w:val="003A74E6"/>
    <w:rsid w:val="003B2C83"/>
    <w:rsid w:val="003B366F"/>
    <w:rsid w:val="003B73DD"/>
    <w:rsid w:val="003C1DC2"/>
    <w:rsid w:val="003D011C"/>
    <w:rsid w:val="003D3E9A"/>
    <w:rsid w:val="0041044A"/>
    <w:rsid w:val="004108C7"/>
    <w:rsid w:val="00412DC2"/>
    <w:rsid w:val="00440041"/>
    <w:rsid w:val="0044139A"/>
    <w:rsid w:val="00451268"/>
    <w:rsid w:val="004515AD"/>
    <w:rsid w:val="00451857"/>
    <w:rsid w:val="00453516"/>
    <w:rsid w:val="00457548"/>
    <w:rsid w:val="00467AA9"/>
    <w:rsid w:val="00470DB2"/>
    <w:rsid w:val="004925E7"/>
    <w:rsid w:val="00495B11"/>
    <w:rsid w:val="004D1265"/>
    <w:rsid w:val="004D4C3D"/>
    <w:rsid w:val="004F6FF3"/>
    <w:rsid w:val="0051133E"/>
    <w:rsid w:val="00520A7D"/>
    <w:rsid w:val="00526287"/>
    <w:rsid w:val="00541EAF"/>
    <w:rsid w:val="00571B49"/>
    <w:rsid w:val="005743AE"/>
    <w:rsid w:val="005D12E7"/>
    <w:rsid w:val="005D64CA"/>
    <w:rsid w:val="005E2A20"/>
    <w:rsid w:val="005E5717"/>
    <w:rsid w:val="005E6DB2"/>
    <w:rsid w:val="0061433E"/>
    <w:rsid w:val="0062751D"/>
    <w:rsid w:val="00633635"/>
    <w:rsid w:val="006354AA"/>
    <w:rsid w:val="00642BB1"/>
    <w:rsid w:val="00661AFA"/>
    <w:rsid w:val="006726BF"/>
    <w:rsid w:val="00677B77"/>
    <w:rsid w:val="0068718A"/>
    <w:rsid w:val="006A2739"/>
    <w:rsid w:val="006B5C95"/>
    <w:rsid w:val="006E14B0"/>
    <w:rsid w:val="006E46C1"/>
    <w:rsid w:val="006F0108"/>
    <w:rsid w:val="00704135"/>
    <w:rsid w:val="00704AE6"/>
    <w:rsid w:val="00710E40"/>
    <w:rsid w:val="007153A2"/>
    <w:rsid w:val="00724A68"/>
    <w:rsid w:val="007271BF"/>
    <w:rsid w:val="00730DD3"/>
    <w:rsid w:val="00733224"/>
    <w:rsid w:val="00747363"/>
    <w:rsid w:val="00764128"/>
    <w:rsid w:val="00765538"/>
    <w:rsid w:val="007824B8"/>
    <w:rsid w:val="007910DD"/>
    <w:rsid w:val="00796B9A"/>
    <w:rsid w:val="007A3897"/>
    <w:rsid w:val="007A3EC1"/>
    <w:rsid w:val="007A7FD4"/>
    <w:rsid w:val="007B3368"/>
    <w:rsid w:val="007D0A69"/>
    <w:rsid w:val="007D6DC4"/>
    <w:rsid w:val="008136BF"/>
    <w:rsid w:val="0083775C"/>
    <w:rsid w:val="00846A64"/>
    <w:rsid w:val="00853463"/>
    <w:rsid w:val="00863032"/>
    <w:rsid w:val="00865579"/>
    <w:rsid w:val="00893F25"/>
    <w:rsid w:val="00895035"/>
    <w:rsid w:val="008B2B14"/>
    <w:rsid w:val="008C61A0"/>
    <w:rsid w:val="008C6AED"/>
    <w:rsid w:val="008C7604"/>
    <w:rsid w:val="008E1A7A"/>
    <w:rsid w:val="008E1B27"/>
    <w:rsid w:val="00903379"/>
    <w:rsid w:val="00906975"/>
    <w:rsid w:val="00917F0B"/>
    <w:rsid w:val="00917F8B"/>
    <w:rsid w:val="009220E3"/>
    <w:rsid w:val="00960964"/>
    <w:rsid w:val="00965E4D"/>
    <w:rsid w:val="009676FC"/>
    <w:rsid w:val="0099535B"/>
    <w:rsid w:val="009B1D5C"/>
    <w:rsid w:val="009B4270"/>
    <w:rsid w:val="009C2E31"/>
    <w:rsid w:val="009E1955"/>
    <w:rsid w:val="009E64AD"/>
    <w:rsid w:val="00A11326"/>
    <w:rsid w:val="00A2357B"/>
    <w:rsid w:val="00A527AA"/>
    <w:rsid w:val="00A5684D"/>
    <w:rsid w:val="00A70ECF"/>
    <w:rsid w:val="00A74CCC"/>
    <w:rsid w:val="00A75C61"/>
    <w:rsid w:val="00A9601B"/>
    <w:rsid w:val="00AB0667"/>
    <w:rsid w:val="00AD100E"/>
    <w:rsid w:val="00AE1370"/>
    <w:rsid w:val="00AE1E36"/>
    <w:rsid w:val="00AF74AA"/>
    <w:rsid w:val="00B03C2F"/>
    <w:rsid w:val="00B0677B"/>
    <w:rsid w:val="00B15064"/>
    <w:rsid w:val="00B340A3"/>
    <w:rsid w:val="00B410F5"/>
    <w:rsid w:val="00B506FB"/>
    <w:rsid w:val="00B50FED"/>
    <w:rsid w:val="00B6280C"/>
    <w:rsid w:val="00B671A4"/>
    <w:rsid w:val="00B72CD4"/>
    <w:rsid w:val="00B85B00"/>
    <w:rsid w:val="00BA06FA"/>
    <w:rsid w:val="00BB3832"/>
    <w:rsid w:val="00BC25B0"/>
    <w:rsid w:val="00BC5BCD"/>
    <w:rsid w:val="00BC69D2"/>
    <w:rsid w:val="00BE1794"/>
    <w:rsid w:val="00BE68A9"/>
    <w:rsid w:val="00BF132F"/>
    <w:rsid w:val="00C0293E"/>
    <w:rsid w:val="00C13878"/>
    <w:rsid w:val="00C32F18"/>
    <w:rsid w:val="00C65C6C"/>
    <w:rsid w:val="00C90CAC"/>
    <w:rsid w:val="00CA1705"/>
    <w:rsid w:val="00CB3E58"/>
    <w:rsid w:val="00CE1A54"/>
    <w:rsid w:val="00CE49E8"/>
    <w:rsid w:val="00CE4A4C"/>
    <w:rsid w:val="00CF5FB6"/>
    <w:rsid w:val="00D02518"/>
    <w:rsid w:val="00D103CD"/>
    <w:rsid w:val="00D17454"/>
    <w:rsid w:val="00D27FC8"/>
    <w:rsid w:val="00D33FBC"/>
    <w:rsid w:val="00D4428E"/>
    <w:rsid w:val="00D705BA"/>
    <w:rsid w:val="00D7535C"/>
    <w:rsid w:val="00D76302"/>
    <w:rsid w:val="00D90AD4"/>
    <w:rsid w:val="00DA5CE2"/>
    <w:rsid w:val="00DC23A9"/>
    <w:rsid w:val="00DD4F47"/>
    <w:rsid w:val="00DD5BFF"/>
    <w:rsid w:val="00DE10E8"/>
    <w:rsid w:val="00E03902"/>
    <w:rsid w:val="00E11BDD"/>
    <w:rsid w:val="00E16FDA"/>
    <w:rsid w:val="00E35050"/>
    <w:rsid w:val="00E35F58"/>
    <w:rsid w:val="00E41472"/>
    <w:rsid w:val="00E45BD9"/>
    <w:rsid w:val="00E66FFC"/>
    <w:rsid w:val="00E759D6"/>
    <w:rsid w:val="00E84001"/>
    <w:rsid w:val="00E84A8C"/>
    <w:rsid w:val="00E923CC"/>
    <w:rsid w:val="00E976DE"/>
    <w:rsid w:val="00EC0F83"/>
    <w:rsid w:val="00EE3187"/>
    <w:rsid w:val="00EF499B"/>
    <w:rsid w:val="00F02BBE"/>
    <w:rsid w:val="00F14977"/>
    <w:rsid w:val="00F22606"/>
    <w:rsid w:val="00F45369"/>
    <w:rsid w:val="00F512EC"/>
    <w:rsid w:val="00F723D9"/>
    <w:rsid w:val="00FA398C"/>
    <w:rsid w:val="00FA51FC"/>
    <w:rsid w:val="00FB4A08"/>
    <w:rsid w:val="00FC0C2A"/>
    <w:rsid w:val="00FC5871"/>
    <w:rsid w:val="00FD7F8E"/>
    <w:rsid w:val="00FF11E4"/>
    <w:rsid w:val="01317F69"/>
    <w:rsid w:val="04076B91"/>
    <w:rsid w:val="04B072D4"/>
    <w:rsid w:val="05F575D4"/>
    <w:rsid w:val="064249C6"/>
    <w:rsid w:val="08641132"/>
    <w:rsid w:val="09186774"/>
    <w:rsid w:val="0945438F"/>
    <w:rsid w:val="0A71587A"/>
    <w:rsid w:val="0B426F5D"/>
    <w:rsid w:val="0B792C38"/>
    <w:rsid w:val="0BF0642E"/>
    <w:rsid w:val="0C28640C"/>
    <w:rsid w:val="0D587038"/>
    <w:rsid w:val="0E90599A"/>
    <w:rsid w:val="0ED720CD"/>
    <w:rsid w:val="12070CAE"/>
    <w:rsid w:val="145F688C"/>
    <w:rsid w:val="15DD2205"/>
    <w:rsid w:val="16920812"/>
    <w:rsid w:val="17072842"/>
    <w:rsid w:val="1734333E"/>
    <w:rsid w:val="179906D6"/>
    <w:rsid w:val="17A67110"/>
    <w:rsid w:val="1864189B"/>
    <w:rsid w:val="18D73A7D"/>
    <w:rsid w:val="19557370"/>
    <w:rsid w:val="1BAF15F3"/>
    <w:rsid w:val="1BD06B6A"/>
    <w:rsid w:val="1D1B5967"/>
    <w:rsid w:val="1F782BDE"/>
    <w:rsid w:val="1FBD4C3E"/>
    <w:rsid w:val="204A6A53"/>
    <w:rsid w:val="2208666C"/>
    <w:rsid w:val="22481013"/>
    <w:rsid w:val="227855A0"/>
    <w:rsid w:val="23317869"/>
    <w:rsid w:val="25650CAE"/>
    <w:rsid w:val="26406598"/>
    <w:rsid w:val="28080056"/>
    <w:rsid w:val="28734C1A"/>
    <w:rsid w:val="28C72DDD"/>
    <w:rsid w:val="29EE0E64"/>
    <w:rsid w:val="2BC4020A"/>
    <w:rsid w:val="2E532F29"/>
    <w:rsid w:val="2EF90F16"/>
    <w:rsid w:val="2EFFB871"/>
    <w:rsid w:val="2F125C63"/>
    <w:rsid w:val="302C3D0A"/>
    <w:rsid w:val="3104598F"/>
    <w:rsid w:val="3190697A"/>
    <w:rsid w:val="33DE31BB"/>
    <w:rsid w:val="37E52224"/>
    <w:rsid w:val="389C49C0"/>
    <w:rsid w:val="39BC78F4"/>
    <w:rsid w:val="3AFDB17B"/>
    <w:rsid w:val="3B35486F"/>
    <w:rsid w:val="3D4FC636"/>
    <w:rsid w:val="3DB775AC"/>
    <w:rsid w:val="3DB7968B"/>
    <w:rsid w:val="3EF1250A"/>
    <w:rsid w:val="3F054783"/>
    <w:rsid w:val="3F6CE118"/>
    <w:rsid w:val="3F8443B3"/>
    <w:rsid w:val="40567DB0"/>
    <w:rsid w:val="40FF5CD2"/>
    <w:rsid w:val="42DB40B0"/>
    <w:rsid w:val="43B71B0A"/>
    <w:rsid w:val="44FA0589"/>
    <w:rsid w:val="45A663E3"/>
    <w:rsid w:val="469F09AF"/>
    <w:rsid w:val="47EFD968"/>
    <w:rsid w:val="49663AF5"/>
    <w:rsid w:val="4B756271"/>
    <w:rsid w:val="4C8E1CA8"/>
    <w:rsid w:val="4D6D36A4"/>
    <w:rsid w:val="510903EF"/>
    <w:rsid w:val="53F137F4"/>
    <w:rsid w:val="543A6906"/>
    <w:rsid w:val="55DB0A1B"/>
    <w:rsid w:val="55E33656"/>
    <w:rsid w:val="55FEDB76"/>
    <w:rsid w:val="56850CBB"/>
    <w:rsid w:val="575FA2E5"/>
    <w:rsid w:val="59D8738A"/>
    <w:rsid w:val="5A666D76"/>
    <w:rsid w:val="5B2253C2"/>
    <w:rsid w:val="5BE73225"/>
    <w:rsid w:val="5CF02E0F"/>
    <w:rsid w:val="5D39685E"/>
    <w:rsid w:val="5D4C4252"/>
    <w:rsid w:val="5E7A279B"/>
    <w:rsid w:val="603269D2"/>
    <w:rsid w:val="61A52BCA"/>
    <w:rsid w:val="67095496"/>
    <w:rsid w:val="677B9D6B"/>
    <w:rsid w:val="67ED7463"/>
    <w:rsid w:val="681A546A"/>
    <w:rsid w:val="69CB37D4"/>
    <w:rsid w:val="6A0D5B9B"/>
    <w:rsid w:val="6A3B23B1"/>
    <w:rsid w:val="6AEA32DC"/>
    <w:rsid w:val="6BB54E17"/>
    <w:rsid w:val="6CC24AB5"/>
    <w:rsid w:val="6D9271B2"/>
    <w:rsid w:val="6DB65CAA"/>
    <w:rsid w:val="6DED6ED2"/>
    <w:rsid w:val="6E7E278F"/>
    <w:rsid w:val="6F134790"/>
    <w:rsid w:val="6FBFB38D"/>
    <w:rsid w:val="6FE81F5F"/>
    <w:rsid w:val="707E6DB5"/>
    <w:rsid w:val="72446028"/>
    <w:rsid w:val="73076EC0"/>
    <w:rsid w:val="74210CA6"/>
    <w:rsid w:val="746F4E76"/>
    <w:rsid w:val="767E36D2"/>
    <w:rsid w:val="76AE9510"/>
    <w:rsid w:val="76FB9920"/>
    <w:rsid w:val="778FBD8F"/>
    <w:rsid w:val="77EFD258"/>
    <w:rsid w:val="77F7E3ED"/>
    <w:rsid w:val="77F7EC31"/>
    <w:rsid w:val="788C25F5"/>
    <w:rsid w:val="78FFC1F6"/>
    <w:rsid w:val="79F72AA9"/>
    <w:rsid w:val="7A144529"/>
    <w:rsid w:val="7C5A4214"/>
    <w:rsid w:val="7CB1685A"/>
    <w:rsid w:val="7DD37FAE"/>
    <w:rsid w:val="7E5203E2"/>
    <w:rsid w:val="7E735775"/>
    <w:rsid w:val="7EEEA21C"/>
    <w:rsid w:val="7EEFB098"/>
    <w:rsid w:val="7F4F3DF4"/>
    <w:rsid w:val="7F699D5B"/>
    <w:rsid w:val="7F7FA528"/>
    <w:rsid w:val="7FBFDC68"/>
    <w:rsid w:val="7FDEF4A7"/>
    <w:rsid w:val="7FDF2677"/>
    <w:rsid w:val="7FEF6F61"/>
    <w:rsid w:val="7FF9D44E"/>
    <w:rsid w:val="7FFFF2AF"/>
    <w:rsid w:val="8AFF3106"/>
    <w:rsid w:val="AB07F625"/>
    <w:rsid w:val="B9D71E19"/>
    <w:rsid w:val="BD7BC19A"/>
    <w:rsid w:val="BDF5A84E"/>
    <w:rsid w:val="BDFD284C"/>
    <w:rsid w:val="BF5F3EC9"/>
    <w:rsid w:val="BF770571"/>
    <w:rsid w:val="BFF32EBE"/>
    <w:rsid w:val="BFFEBB80"/>
    <w:rsid w:val="C57F34CE"/>
    <w:rsid w:val="CBFB2CFF"/>
    <w:rsid w:val="D3F5546C"/>
    <w:rsid w:val="D7DEA4F4"/>
    <w:rsid w:val="DB7F2808"/>
    <w:rsid w:val="DCDDAED5"/>
    <w:rsid w:val="DCEAFA80"/>
    <w:rsid w:val="DEDFCB05"/>
    <w:rsid w:val="E1AF14B8"/>
    <w:rsid w:val="E5EE9BA5"/>
    <w:rsid w:val="E7BFAE64"/>
    <w:rsid w:val="E7F3ECE4"/>
    <w:rsid w:val="EC7FF002"/>
    <w:rsid w:val="EDAB8F24"/>
    <w:rsid w:val="EE2411A5"/>
    <w:rsid w:val="EEFD9A83"/>
    <w:rsid w:val="EFEB260A"/>
    <w:rsid w:val="EFFF9E1A"/>
    <w:rsid w:val="F4EF1068"/>
    <w:rsid w:val="F66FE078"/>
    <w:rsid w:val="FAF63B89"/>
    <w:rsid w:val="FD7DCCCC"/>
    <w:rsid w:val="FE7B51F9"/>
    <w:rsid w:val="FF2F3B05"/>
    <w:rsid w:val="FF5D7030"/>
    <w:rsid w:val="FFB7CF25"/>
    <w:rsid w:val="FFE998FC"/>
    <w:rsid w:val="FFFFF89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1">
    <w:name w:val="Default Paragraph Font"/>
    <w:semiHidden/>
    <w:unhideWhenUsed/>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3">
    <w:name w:val="annotation text"/>
    <w:basedOn w:val="1"/>
    <w:link w:val="18"/>
    <w:qFormat/>
    <w:uiPriority w:val="0"/>
  </w:style>
  <w:style w:type="paragraph" w:styleId="4">
    <w:name w:val="Body Text"/>
    <w:basedOn w:val="1"/>
    <w:qFormat/>
    <w:uiPriority w:val="1"/>
    <w:pPr>
      <w:ind w:left="220"/>
    </w:pPr>
    <w:rPr>
      <w:sz w:val="32"/>
      <w:szCs w:val="32"/>
    </w:rPr>
  </w:style>
  <w:style w:type="paragraph" w:styleId="5">
    <w:name w:val="Balloon Text"/>
    <w:basedOn w:val="1"/>
    <w:link w:val="20"/>
    <w:qFormat/>
    <w:uiPriority w:val="0"/>
    <w:rPr>
      <w:sz w:val="18"/>
      <w:szCs w:val="18"/>
    </w:rPr>
  </w:style>
  <w:style w:type="paragraph" w:styleId="6">
    <w:name w:val="footer"/>
    <w:basedOn w:val="1"/>
    <w:link w:val="17"/>
    <w:qFormat/>
    <w:uiPriority w:val="0"/>
    <w:pPr>
      <w:tabs>
        <w:tab w:val="center" w:pos="4153"/>
        <w:tab w:val="right" w:pos="8306"/>
      </w:tabs>
      <w:snapToGrid w:val="0"/>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spacing w:before="100" w:beforeAutospacing="1" w:after="100" w:afterAutospacing="1"/>
    </w:pPr>
    <w:rPr>
      <w:rFonts w:cs="Times New Roman"/>
      <w:sz w:val="24"/>
      <w:lang w:val="en-US" w:bidi="ar-SA"/>
    </w:rPr>
  </w:style>
  <w:style w:type="paragraph" w:styleId="9">
    <w:name w:val="annotation subject"/>
    <w:basedOn w:val="3"/>
    <w:next w:val="3"/>
    <w:link w:val="19"/>
    <w:qFormat/>
    <w:uiPriority w:val="0"/>
    <w:rPr>
      <w:b/>
      <w:bCs/>
    </w:rPr>
  </w:style>
  <w:style w:type="character" w:styleId="12">
    <w:name w:val="Strong"/>
    <w:basedOn w:val="11"/>
    <w:qFormat/>
    <w:uiPriority w:val="22"/>
    <w:rPr>
      <w:b/>
      <w:bCs/>
    </w:rPr>
  </w:style>
  <w:style w:type="character" w:styleId="13">
    <w:name w:val="Emphasis"/>
    <w:basedOn w:val="11"/>
    <w:qFormat/>
    <w:uiPriority w:val="0"/>
    <w:rPr>
      <w:i/>
    </w:rPr>
  </w:style>
  <w:style w:type="character" w:styleId="14">
    <w:name w:val="annotation reference"/>
    <w:basedOn w:val="11"/>
    <w:qFormat/>
    <w:uiPriority w:val="0"/>
    <w:rPr>
      <w:sz w:val="21"/>
      <w:szCs w:val="21"/>
    </w:rPr>
  </w:style>
  <w:style w:type="paragraph" w:customStyle="1" w:styleId="15">
    <w:name w:val="Table Paragraph"/>
    <w:basedOn w:val="1"/>
    <w:qFormat/>
    <w:uiPriority w:val="1"/>
  </w:style>
  <w:style w:type="character" w:customStyle="1" w:styleId="16">
    <w:name w:val="页眉 字符"/>
    <w:basedOn w:val="11"/>
    <w:link w:val="7"/>
    <w:qFormat/>
    <w:uiPriority w:val="0"/>
    <w:rPr>
      <w:rFonts w:ascii="仿宋" w:hAnsi="仿宋" w:eastAsia="仿宋" w:cs="仿宋"/>
      <w:sz w:val="18"/>
      <w:szCs w:val="18"/>
      <w:lang w:val="zh-CN" w:bidi="zh-CN"/>
    </w:rPr>
  </w:style>
  <w:style w:type="character" w:customStyle="1" w:styleId="17">
    <w:name w:val="页脚 字符"/>
    <w:basedOn w:val="11"/>
    <w:link w:val="6"/>
    <w:qFormat/>
    <w:uiPriority w:val="0"/>
    <w:rPr>
      <w:rFonts w:ascii="仿宋" w:hAnsi="仿宋" w:eastAsia="仿宋" w:cs="仿宋"/>
      <w:sz w:val="18"/>
      <w:szCs w:val="18"/>
      <w:lang w:val="zh-CN" w:bidi="zh-CN"/>
    </w:rPr>
  </w:style>
  <w:style w:type="character" w:customStyle="1" w:styleId="18">
    <w:name w:val="批注文字 字符"/>
    <w:basedOn w:val="11"/>
    <w:link w:val="3"/>
    <w:qFormat/>
    <w:uiPriority w:val="0"/>
    <w:rPr>
      <w:rFonts w:ascii="仿宋" w:hAnsi="仿宋" w:eastAsia="仿宋" w:cs="仿宋"/>
      <w:sz w:val="22"/>
      <w:szCs w:val="22"/>
      <w:lang w:val="zh-CN" w:bidi="zh-CN"/>
    </w:rPr>
  </w:style>
  <w:style w:type="character" w:customStyle="1" w:styleId="19">
    <w:name w:val="批注主题 字符"/>
    <w:basedOn w:val="18"/>
    <w:link w:val="9"/>
    <w:qFormat/>
    <w:uiPriority w:val="0"/>
    <w:rPr>
      <w:rFonts w:ascii="仿宋" w:hAnsi="仿宋" w:eastAsia="仿宋" w:cs="仿宋"/>
      <w:b/>
      <w:bCs/>
      <w:sz w:val="22"/>
      <w:szCs w:val="22"/>
      <w:lang w:val="zh-CN" w:bidi="zh-CN"/>
    </w:rPr>
  </w:style>
  <w:style w:type="character" w:customStyle="1" w:styleId="20">
    <w:name w:val="批注框文本 字符"/>
    <w:basedOn w:val="11"/>
    <w:link w:val="5"/>
    <w:qFormat/>
    <w:uiPriority w:val="0"/>
    <w:rPr>
      <w:rFonts w:ascii="仿宋" w:hAnsi="仿宋" w:eastAsia="仿宋" w:cs="仿宋"/>
      <w:sz w:val="18"/>
      <w:szCs w:val="18"/>
      <w:lang w:val="zh-CN" w:bidi="zh-CN"/>
    </w:rPr>
  </w:style>
  <w:style w:type="paragraph" w:customStyle="1" w:styleId="21">
    <w:name w:val="msolistparagraph"/>
    <w:basedOn w:val="1"/>
    <w:qFormat/>
    <w:uiPriority w:val="0"/>
    <w:pPr>
      <w:ind w:firstLine="420" w:firstLineChars="200"/>
      <w:jc w:val="both"/>
    </w:pPr>
    <w:rPr>
      <w:rFonts w:ascii="Calibri" w:hAnsi="Calibri" w:eastAsia="宋体" w:cs="Times New Roman"/>
      <w:kern w:val="2"/>
      <w:sz w:val="21"/>
      <w:szCs w:val="24"/>
      <w:lang w:val="en-US" w:bidi="ar-SA"/>
    </w:rPr>
  </w:style>
  <w:style w:type="paragraph" w:styleId="22">
    <w:name w:val="List Paragraph"/>
    <w:basedOn w:val="1"/>
    <w:unhideWhenUsed/>
    <w:uiPriority w:val="99"/>
    <w:pPr>
      <w:ind w:firstLine="420" w:firstLineChars="200"/>
    </w:pPr>
  </w:style>
  <w:style w:type="paragraph" w:customStyle="1" w:styleId="23">
    <w:name w:val="Revision"/>
    <w:hidden/>
    <w:unhideWhenUsed/>
    <w:uiPriority w:val="99"/>
    <w:rPr>
      <w:rFonts w:ascii="仿宋" w:hAnsi="仿宋" w:eastAsia="仿宋" w:cs="仿宋"/>
      <w:sz w:val="22"/>
      <w:szCs w:val="22"/>
      <w:lang w:val="zh-CN" w:eastAsia="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78ca2265-283a-4266-800e-c6e05ed4a4f9</errorID>
      <errorWord>(</errorWord>
      <group>L1_Format</group>
      <groupName>格式问题</groupName>
      <ability>L2_HalfPunc_CN</ability>
      <abilityName>全半角问题</abilityName>
      <candidateList>
        <item>（</item>
      </candidateList>
      <explain>文本全半角错误。</explain>
      <paraID>70DD859A</paraID>
      <start>6</start>
      <end>7</end>
      <status>unmodified</status>
      <modifiedWord/>
      <trackRevisions>false</trackRevisions>
    </reviewItem>
    <reviewItem>
      <errorID>b50aff79-66cd-4513-bbd5-b875e7cb90d6</errorID>
      <errorWord>)</errorWord>
      <group>L1_Format</group>
      <groupName>格式问题</groupName>
      <ability>L2_HalfPunc_CN</ability>
      <abilityName>全半角问题</abilityName>
      <candidateList>
        <item>）</item>
      </candidateList>
      <explain>文本全半角错误。</explain>
      <paraID>70DD859A</paraID>
      <start>9</start>
      <end>10</end>
      <status>unmodified</status>
      <modifiedWord/>
      <trackRevisions>false</trackRevisions>
    </reviewItem>
    <reviewItem>
      <errorID>bfc5358c-2333-46e2-8bc4-7009676340f0</errorID>
      <errorWord>本次</errorWord>
      <group>L1_Word</group>
      <groupName>字词问题</groupName>
      <ability>L2_Typo</ability>
      <abilityName>字词错误</abilityName>
      <candidateList>
        <item>本文</item>
      </candidateList>
      <explain>存在字形相近字词的误用。</explain>
      <paraID>10DF8A70</paraID>
      <start>115</start>
      <end>117</end>
      <status>unmodified</status>
      <modifiedWord/>
      <trackRevisions>false</trackRevisions>
    </reviewItem>
    <reviewItem>
      <errorID>4badd0df-8647-458b-89f4-80005d1a35df</errorID>
      <errorWord>II期</errorWord>
      <group>L1_Knowledge</group>
      <groupName>知识性问题</groupName>
      <ability>L2_Knowledge</ability>
      <abilityName>其他知识</abilityName>
      <candidateList>
        <item>Ⅱ期</item>
      </candidateList>
      <explain>中文环境下罗马数字格式错误。</explain>
      <paraID>4B144935</paraID>
      <start>32</start>
      <end>35</end>
      <status>unmodified</status>
      <modifiedWord/>
      <trackRevisions>false</trackRevisions>
    </reviewItem>
    <reviewItem>
      <errorID>e5b83061-7c61-4075-b513-853effacddff</errorID>
      <errorWord>II期</errorWord>
      <group>L1_Knowledge</group>
      <groupName>知识性问题</groupName>
      <ability>L2_Knowledge</ability>
      <abilityName>其他知识</abilityName>
      <candidateList>
        <item>Ⅱ期</item>
      </candidateList>
      <explain>中文环境下罗马数字格式错误。</explain>
      <paraID> DEDE3AC</paraID>
      <start>12</start>
      <end>15</end>
      <status>unmodified</status>
      <modifiedWord/>
      <trackRevisions>false</trackRevisions>
    </reviewItem>
    <reviewItem>
      <errorID>6a48bbfd-496c-4b14-9557-08a6fbaabafa</errorID>
      <errorWord>II期</errorWord>
      <group>L1_Knowledge</group>
      <groupName>知识性问题</groupName>
      <ability>L2_Knowledge</ability>
      <abilityName>其他知识</abilityName>
      <candidateList>
        <item>Ⅱ期</item>
      </candidateList>
      <explain>中文环境下罗马数字格式错误。</explain>
      <paraID>4D4FD143</paraID>
      <start>300</start>
      <end>303</end>
      <status>unmodified</status>
      <modifiedWord/>
      <trackRevisions>false</trackRevisions>
    </reviewItem>
    <reviewItem>
      <errorID>5ec67bd9-1ef3-4ada-832a-39140aac6ca7</errorID>
      <errorWord>III期</errorWord>
      <group>L1_Knowledge</group>
      <groupName>知识性问题</groupName>
      <ability>L2_Knowledge</ability>
      <abilityName>其他知识</abilityName>
      <candidateList>
        <item>Ⅲ期</item>
      </candidateList>
      <explain>中文环境下罗马数字格式错误。</explain>
      <paraID>4D4FD143</paraID>
      <start>315</start>
      <end>319</end>
      <status>unmodified</status>
      <modifiedWord/>
      <trackRevisions>false</trackRevisions>
    </reviewItem>
    <reviewItem>
      <errorID>dc6116f6-a4b2-44a1-acf8-db91f34267d5</errorID>
      <errorWord>II期</errorWord>
      <group>L1_Knowledge</group>
      <groupName>知识性问题</groupName>
      <ability>L2_Knowledge</ability>
      <abilityName>其他知识</abilityName>
      <candidateList>
        <item>Ⅱ期</item>
      </candidateList>
      <explain>中文环境下罗马数字格式错误。</explain>
      <paraID>1749E56F</paraID>
      <start>247</start>
      <end>250</end>
      <status>unmodified</status>
      <modifiedWord/>
      <trackRevisions>false</trackRevisions>
    </reviewItem>
    <reviewItem>
      <errorID>203c3fed-670b-4557-aac9-64260575e344</errorID>
      <errorWord>II期</errorWord>
      <group>L1_Knowledge</group>
      <groupName>知识性问题</groupName>
      <ability>L2_Knowledge</ability>
      <abilityName>其他知识</abilityName>
      <candidateList>
        <item>Ⅱ期</item>
      </candidateList>
      <explain>中文环境下罗马数字格式错误。</explain>
      <paraID>  917FE3</paraID>
      <start>14</start>
      <end>17</end>
      <status>unmodified</status>
      <modifiedWord/>
      <trackRevisions>false</trackRevisions>
    </reviewItem>
    <reviewItem>
      <errorID>41ef9999-e9d3-4280-8894-04651fd56bcd</errorID>
      <errorWord>III期</errorWord>
      <group>L1_Knowledge</group>
      <groupName>知识性问题</groupName>
      <ability>L2_Knowledge</ability>
      <abilityName>其他知识</abilityName>
      <candidateList>
        <item>Ⅲ期</item>
      </candidateList>
      <explain>中文环境下罗马数字格式错误。</explain>
      <paraID> 804A396</paraID>
      <start>237</start>
      <end>241</end>
      <status>unmodified</status>
      <modifiedWord/>
      <trackRevisions>false</trackRevisions>
    </reviewItem>
    <reviewItem>
      <errorID>825e493b-2854-43ae-85a5-828597c9b087</errorID>
      <errorWord>II期</errorWord>
      <group>L1_Knowledge</group>
      <groupName>知识性问题</groupName>
      <ability>L2_Knowledge</ability>
      <abilityName>其他知识</abilityName>
      <candidateList>
        <item>Ⅱ期</item>
      </candidateList>
      <explain>中文环境下罗马数字格式错误。</explain>
      <paraID>2F375244</paraID>
      <start>54</start>
      <end>57</end>
      <status>unmodified</status>
      <modifiedWord/>
      <trackRevisions>false</trackRevisions>
    </reviewItem>
    <reviewItem>
      <errorID>aa264dc8-195e-4123-832d-7a9a36de0c63</errorID>
      <errorWord>III期</errorWord>
      <group>L1_Knowledge</group>
      <groupName>知识性问题</groupName>
      <ability>L2_Knowledge</ability>
      <abilityName>其他知识</abilityName>
      <candidateList>
        <item>Ⅲ期</item>
      </candidateList>
      <explain>中文环境下罗马数字格式错误。</explain>
      <paraID>2F375244</paraID>
      <start>76</start>
      <end>80</end>
      <status>unmodified</status>
      <modifiedWord/>
      <trackRevisions>false</trackRevisions>
    </reviewItem>
    <reviewItem>
      <errorID>1b3480b7-c201-472f-8e5f-3c9f2289532d</errorID>
      <errorWord>III期</errorWord>
      <group>L1_Knowledge</group>
      <groupName>知识性问题</groupName>
      <ability>L2_Knowledge</ability>
      <abilityName>其他知识</abilityName>
      <candidateList>
        <item>Ⅲ期</item>
      </candidateList>
      <explain>中文环境下罗马数字格式错误。</explain>
      <paraID>76160548</paraID>
      <start>18</start>
      <end>22</end>
      <status>unmodified</status>
      <modifiedWord/>
      <trackRevisions>false</trackRevisions>
    </reviewItem>
    <reviewItem>
      <errorID>f1f8cbea-9eb4-41b3-90a5-7b5d33bba8da</errorID>
      <errorWord>III期</errorWord>
      <group>L1_Knowledge</group>
      <groupName>知识性问题</groupName>
      <ability>L2_Knowledge</ability>
      <abilityName>其他知识</abilityName>
      <candidateList>
        <item>Ⅲ期</item>
      </candidateList>
      <explain>中文环境下罗马数字格式错误。</explain>
      <paraID> 70D6618</paraID>
      <start>22</start>
      <end>26</end>
      <status>unmodified</status>
      <modifiedWord/>
      <trackRevisions>false</trackRevisions>
    </reviewItem>
    <reviewItem>
      <errorID>d4a40cb4-8d6a-4854-a18f-4cb7978f502c</errorID>
      <errorWord>II期</errorWord>
      <group>L1_Knowledge</group>
      <groupName>知识性问题</groupName>
      <ability>L2_Knowledge</ability>
      <abilityName>其他知识</abilityName>
      <candidateList>
        <item>Ⅱ期</item>
      </candidateList>
      <explain>中文环境下罗马数字格式错误。</explain>
      <paraID> 70D6618</paraID>
      <start>40</start>
      <end>43</end>
      <status>unmodified</status>
      <modifiedWord/>
      <trackRevisions>false</trackRevisions>
    </reviewItem>
    <reviewItem>
      <errorID>76340355-5e07-4900-a4fd-e99aac7931e2</errorID>
      <errorWord>III期</errorWord>
      <group>L1_Knowledge</group>
      <groupName>知识性问题</groupName>
      <ability>L2_Knowledge</ability>
      <abilityName>其他知识</abilityName>
      <candidateList>
        <item>Ⅲ期</item>
      </candidateList>
      <explain>中文环境下罗马数字格式错误。</explain>
      <paraID> 70D6618</paraID>
      <start>52</start>
      <end>56</end>
      <status>unmodified</status>
      <modifiedWord/>
      <trackRevisions>false</trackRevisions>
    </reviewItem>
    <reviewItem>
      <errorID>5c38117c-6dfa-4181-bc35-142481a81fbb</errorID>
      <errorWord>II期</errorWord>
      <group>L1_Knowledge</group>
      <groupName>知识性问题</groupName>
      <ability>L2_Knowledge</ability>
      <abilityName>其他知识</abilityName>
      <candidateList>
        <item>Ⅱ期</item>
      </candidateList>
      <explain>中文环境下罗马数字格式错误。</explain>
      <paraID> 70D6618</paraID>
      <start>61</start>
      <end>64</end>
      <status>unmodified</status>
      <modifiedWord/>
      <trackRevisions>false</trackRevisions>
    </reviewItem>
    <reviewItem>
      <errorID>7706d2e2-89e6-4a9f-8e96-4f0ef7d4a7f8</errorID>
      <errorWord>III期</errorWord>
      <group>L1_Knowledge</group>
      <groupName>知识性问题</groupName>
      <ability>L2_Knowledge</ability>
      <abilityName>其他知识</abilityName>
      <candidateList>
        <item>Ⅲ期</item>
      </candidateList>
      <explain>中文环境下罗马数字格式错误。</explain>
      <paraID> 70D6618</paraID>
      <start>91</start>
      <end>95</end>
      <status>unmodified</status>
      <modifiedWord/>
      <trackRevisions>false</trackRevisions>
    </reviewItem>
    <reviewItem>
      <errorID>f5f593b6-0e44-41f2-b5c6-b0a102a9025c</errorID>
      <errorWord>III期</errorWord>
      <group>L1_Knowledge</group>
      <groupName>知识性问题</groupName>
      <ability>L2_Knowledge</ability>
      <abilityName>其他知识</abilityName>
      <candidateList>
        <item>Ⅲ期</item>
      </candidateList>
      <explain>中文环境下罗马数字格式错误。</explain>
      <paraID> 70D6618</paraID>
      <start>120</start>
      <end>124</end>
      <status>unmodified</status>
      <modifiedWord/>
      <trackRevisions>false</trackRevisions>
    </reviewItem>
    <reviewItem>
      <errorID>c615461b-d398-4517-ab68-7a523b7044c2</errorID>
      <errorWord>III期</errorWord>
      <group>L1_Knowledge</group>
      <groupName>知识性问题</groupName>
      <ability>L2_Knowledge</ability>
      <abilityName>其他知识</abilityName>
      <candidateList>
        <item>Ⅲ期</item>
      </candidateList>
      <explain>中文环境下罗马数字格式错误。</explain>
      <paraID> 70D6618</paraID>
      <start>226</start>
      <end>230</end>
      <status>unmodified</status>
      <modifiedWord/>
      <trackRevisions>false</trackRevisions>
    </reviewItem>
    <reviewItem>
      <errorID>1eb70b18-82b2-4e63-941b-e40ce647c349</errorID>
      <errorWord>II期</errorWord>
      <group>L1_Knowledge</group>
      <groupName>知识性问题</groupName>
      <ability>L2_Knowledge</ability>
      <abilityName>其他知识</abilityName>
      <candidateList>
        <item>Ⅱ期</item>
      </candidateList>
      <explain>中文环境下罗马数字格式错误。</explain>
      <paraID> 70D6618</paraID>
      <start>234</start>
      <end>237</end>
      <status>unmodified</status>
      <modifiedWord/>
      <trackRevisions>false</trackRevisions>
    </reviewItem>
    <reviewItem>
      <errorID>5e34e4e8-9b9d-49cb-b63c-753702e1d842</errorID>
      <errorWord>III期</errorWord>
      <group>L1_Knowledge</group>
      <groupName>知识性问题</groupName>
      <ability>L2_Knowledge</ability>
      <abilityName>其他知识</abilityName>
      <candidateList>
        <item>Ⅲ期</item>
      </candidateList>
      <explain>中文环境下罗马数字格式错误。</explain>
      <paraID>1F31EC0D</paraID>
      <start>6</start>
      <end>10</end>
      <status>unmodified</status>
      <modifiedWord/>
      <trackRevisions>false</trackRevisions>
    </reviewItem>
    <reviewItem>
      <errorID>f1dda5b0-e058-4079-951f-fa387cc73de8</errorID>
      <errorWord>:</errorWord>
      <group>L1_Format</group>
      <groupName>格式问题</groupName>
      <ability>L2_HalfPunc_CN</ability>
      <abilityName>全半角问题</abilityName>
      <candidateList>
        <item>：</item>
      </candidateList>
      <explain>文本全半角错误。</explain>
      <paraID>4315CF57</paraID>
      <start>1</start>
      <end>2</end>
      <status>unmodified</status>
      <modifiedWord/>
      <trackRevisions>false</trackRevisions>
    </reviewItem>
    <reviewItem>
      <errorID>02ea2ad0-c7a7-4ddd-89a1-e64273764710</errorID>
      <errorWord>III期</errorWord>
      <group>L1_Knowledge</group>
      <groupName>知识性问题</groupName>
      <ability>L2_Knowledge</ability>
      <abilityName>其他知识</abilityName>
      <candidateList>
        <item>Ⅲ期</item>
      </candidateList>
      <explain>中文环境下罗马数字格式错误。</explain>
      <paraID>4315CF57</paraID>
      <start>5</start>
      <end>9</end>
      <status>unmodified</status>
      <modifiedWord/>
      <trackRevisions>false</trackRevisions>
    </reviewItem>
    <reviewItem>
      <errorID>21f2cb46-8a1f-4bf5-a180-e12ac629f5a0</errorID>
      <errorWord>II期</errorWord>
      <group>L1_Knowledge</group>
      <groupName>知识性问题</groupName>
      <ability>L2_Knowledge</ability>
      <abilityName>其他知识</abilityName>
      <candidateList>
        <item>Ⅱ期</item>
      </candidateList>
      <explain>中文环境下罗马数字格式错误。</explain>
      <paraID>4315CF57</paraID>
      <start>35</start>
      <end>38</end>
      <status>unmodified</status>
      <modifiedWord/>
      <trackRevisions>false</trackRevisions>
    </reviewItem>
    <reviewItem>
      <errorID>4492bbe4-8374-4f5b-ac03-1bdd884f9534</errorID>
      <errorWord>II期</errorWord>
      <group>L1_Knowledge</group>
      <groupName>知识性问题</groupName>
      <ability>L2_Knowledge</ability>
      <abilityName>其他知识</abilityName>
      <candidateList>
        <item>Ⅱ期</item>
      </candidateList>
      <explain>中文环境下罗马数字格式错误。</explain>
      <paraID>4315CF57</paraID>
      <start>58</start>
      <end>61</end>
      <status>unmodified</status>
      <modifiedWord/>
      <trackRevisions>false</trackRevisions>
    </reviewItem>
    <reviewItem>
      <errorID>85fd3949-bb91-4c66-ac56-46c438ce5910</errorID>
      <errorWord>III期</errorWord>
      <group>L1_Knowledge</group>
      <groupName>知识性问题</groupName>
      <ability>L2_Knowledge</ability>
      <abilityName>其他知识</abilityName>
      <candidateList>
        <item>Ⅲ期</item>
      </candidateList>
      <explain>中文环境下罗马数字格式错误。</explain>
      <paraID>4315CF57</paraID>
      <start>66</start>
      <end>70</end>
      <status>unmodified</status>
      <modifiedWord/>
      <trackRevisions>false</trackRevisions>
    </reviewItem>
    <reviewItem>
      <errorID>1221b9d2-b7e6-4c1c-92da-4ffed21ca82d</errorID>
      <errorWord>III期</errorWord>
      <group>L1_Knowledge</group>
      <groupName>知识性问题</groupName>
      <ability>L2_Knowledge</ability>
      <abilityName>其他知识</abilityName>
      <candidateList>
        <item>Ⅲ期</item>
      </candidateList>
      <explain>中文环境下罗马数字格式错误。</explain>
      <paraID>4315CF57</paraID>
      <start>104</start>
      <end>108</end>
      <status>unmodified</status>
      <modifiedWord/>
      <trackRevisions>false</trackRevisions>
    </reviewItem>
    <reviewItem>
      <errorID>139967ef-299b-4989-a0b4-53ec7e1bf3f5</errorID>
      <errorWord>III期</errorWord>
      <group>L1_Knowledge</group>
      <groupName>知识性问题</groupName>
      <ability>L2_Knowledge</ability>
      <abilityName>其他知识</abilityName>
      <candidateList>
        <item>Ⅲ期</item>
      </candidateList>
      <explain>中文环境下罗马数字格式错误。</explain>
      <paraID>4315CF57</paraID>
      <start>225</start>
      <end>229</end>
      <status>unmodified</status>
      <modifiedWord/>
      <trackRevisions>false</trackRevisions>
    </reviewItem>
    <reviewItem>
      <errorID>4e360cea-3025-4124-ace7-4cf9d0f6d7d5</errorID>
      <errorWord>过敏开发</errorWord>
      <group>L1_Knowledge</group>
      <groupName>知识性问题</groupName>
      <ability>L2_Term</ability>
      <abilityName>专业术语</abilityName>
      <candidateList>
        <item>过度开发</item>
      </candidateList>
      <explain/>
      <paraID> 47B52FD</paraID>
      <start>20</start>
      <end>24</end>
      <status>unmodified</status>
      <modifiedWord/>
      <trackRevisions>false</trackRevisions>
    </reviewItem>
    <reviewItem>
      <errorID>44309ae2-d2de-4196-860e-231fbe8641f4</errorID>
      <errorWord>II期</errorWord>
      <group>L1_Knowledge</group>
      <groupName>知识性问题</groupName>
      <ability>L2_Knowledge</ability>
      <abilityName>其他知识</abilityName>
      <candidateList>
        <item>Ⅱ期</item>
      </candidateList>
      <explain>中文环境下罗马数字格式错误。</explain>
      <paraID>3F6CB273</paraID>
      <start>32</start>
      <end>35</end>
      <status>unmodified</status>
      <modifiedWord/>
      <trackRevisions>false</trackRevisions>
    </reviewItem>
    <reviewItem>
      <errorID>9b2126e9-a54e-48de-a8b9-dd3a41db5c37</errorID>
      <errorWord>II期</errorWord>
      <group>L1_Knowledge</group>
      <groupName>知识性问题</groupName>
      <ability>L2_Knowledge</ability>
      <abilityName>其他知识</abilityName>
      <candidateList>
        <item>Ⅱ期</item>
      </candidateList>
      <explain>中文环境下罗马数字格式错误。</explain>
      <paraID>3F6CB273</paraID>
      <start>47</start>
      <end>50</end>
      <status>unmodified</status>
      <modifiedWord/>
      <trackRevisions>false</trackRevisions>
    </reviewItem>
    <reviewItem>
      <errorID>bf556e39-9e76-4fd6-a537-a896cca00277</errorID>
      <errorWord>II期</errorWord>
      <group>L1_Knowledge</group>
      <groupName>知识性问题</groupName>
      <ability>L2_Knowledge</ability>
      <abilityName>其他知识</abilityName>
      <candidateList>
        <item>Ⅱ期</item>
      </candidateList>
      <explain>中文环境下罗马数字格式错误。</explain>
      <paraID>3F6CB273</paraID>
      <start>71</start>
      <end>74</end>
      <status>unmodified</status>
      <modifiedWord/>
      <trackRevisions>false</trackRevisions>
    </reviewItem>
    <reviewItem>
      <errorID>88231409-a5c9-473f-8d09-80945babf940</errorID>
      <errorWord>III期</errorWord>
      <group>L1_Knowledge</group>
      <groupName>知识性问题</groupName>
      <ability>L2_Knowledge</ability>
      <abilityName>其他知识</abilityName>
      <candidateList>
        <item>Ⅲ期</item>
      </candidateList>
      <explain>中文环境下罗马数字格式错误。</explain>
      <paraID>3F6CB273</paraID>
      <start>92</start>
      <end>96</end>
      <status>unmodified</status>
      <modifiedWord/>
      <trackRevisions>false</trackRevisions>
    </reviewItem>
    <reviewItem>
      <errorID>8f07db40-63e6-4ba2-b3ba-e80e0eab01d2</errorID>
      <errorWord>:</errorWord>
      <group>L1_Format</group>
      <groupName>格式问题</groupName>
      <ability>L2_HalfPunc_CN</ability>
      <abilityName>全半角问题</abilityName>
      <candidateList>
        <item>：</item>
      </candidateList>
      <explain>文本全半角错误。</explain>
      <paraID>6780835E</paraID>
      <start>1</start>
      <end>2</end>
      <status>unmodified</status>
      <modifiedWord/>
      <trackRevisions>false</trackRevisions>
    </reviewItem>
    <reviewItem>
      <errorID>fd2a41bd-c0a0-4e03-8391-dda5e18af0a0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483C9D64</paraID>
      <start>11</start>
      <end>12</end>
      <status>unmodified</status>
      <modifiedWord/>
      <trackRevisions>false</trackRevisions>
    </reviewItem>
    <reviewItem>
      <errorID>4a3f197b-d66a-4d7b-9c96-1c8c70b015c4</errorID>
      <errorWord>:</errorWord>
      <group>L1_Format</group>
      <groupName>格式问题</groupName>
      <ability>L2_HalfPunc_CN</ability>
      <abilityName>全半角问题</abilityName>
      <candidateList>
        <item>：</item>
      </candidateList>
      <explain>文本全半角错误。</explain>
      <paraID>16413FA9</paraID>
      <start>1</start>
      <end>2</end>
      <status>unmodified</status>
      <modifiedWord/>
      <trackRevisions>false</trackRevisions>
    </reviewItem>
    <reviewItem>
      <errorID>ea680334-3498-4816-a781-4b911141d0a4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16413FA9</paraID>
      <start>5</start>
      <end>6</end>
      <status>unmodified</status>
      <modifiedWord/>
      <trackRevisions>false</trackRevisions>
    </reviewItem>
    <reviewItem>
      <errorID>0ee86c91-a9df-4efd-9b6f-26bbb3066970</errorID>
      <errorWord>III期</errorWord>
      <group>L1_Knowledge</group>
      <groupName>知识性问题</groupName>
      <ability>L2_Knowledge</ability>
      <abilityName>其他知识</abilityName>
      <candidateList>
        <item>Ⅲ期</item>
      </candidateList>
      <explain>中文环境下罗马数字格式错误。</explain>
      <paraID>16413FA9</paraID>
      <start>71</start>
      <end>75</end>
      <status>unmodified</status>
      <modifiedWord/>
      <trackRevisions>false</trackRevisions>
    </reviewItem>
    <reviewItem>
      <errorID>e740d837-4080-469d-bfdf-909617c80f65</errorID>
      <errorWord>III期</errorWord>
      <group>L1_Knowledge</group>
      <groupName>知识性问题</groupName>
      <ability>L2_Knowledge</ability>
      <abilityName>其他知识</abilityName>
      <candidateList>
        <item>Ⅲ期</item>
      </candidateList>
      <explain>中文环境下罗马数字格式错误。</explain>
      <paraID>16413FA9</paraID>
      <start>137</start>
      <end>141</end>
      <status>unmodified</status>
      <modifiedWord/>
      <trackRevisions>false</trackRevisions>
    </reviewItem>
    <reviewItem>
      <errorID>b051b226-8357-4fd8-8060-fae45e6fcb0f</errorID>
      <errorWord>II期</errorWord>
      <group>L1_Knowledge</group>
      <groupName>知识性问题</groupName>
      <ability>L2_Knowledge</ability>
      <abilityName>其他知识</abilityName>
      <candidateList>
        <item>Ⅱ期</item>
      </candidateList>
      <explain>中文环境下罗马数字格式错误。</explain>
      <paraID>16413FA9</paraID>
      <start>197</start>
      <end>200</end>
      <status>unmodified</status>
      <modifiedWord/>
      <trackRevisions>false</trackRevisions>
    </reviewItem>
    <reviewItem>
      <errorID>cbe31270-d84f-4961-8eec-69eac41f313a</errorID>
      <errorWord>，</errorWord>
      <group>L1_Word</group>
      <groupName>字词问题</groupName>
      <ability>L2_Typo</ability>
      <abilityName>字词错误</abilityName>
      <candidateList>
        <item>，在</item>
      </candidateList>
      <explain/>
      <paraID>6033EDD7</paraID>
      <start>2</start>
      <end>3</end>
      <status>unmodified</status>
      <modifiedWord/>
      <trackRevisions>false</trackRevisions>
    </reviewItem>
    <reviewItem>
      <errorID>a2cb33f0-3e21-4662-b5d5-dc35e6db0198</errorID>
      <errorWord>:</errorWord>
      <group>L1_Format</group>
      <groupName>格式问题</groupName>
      <ability>L2_HalfPunc_CN</ability>
      <abilityName>全半角问题</abilityName>
      <candidateList>
        <item>：</item>
      </candidateList>
      <explain>文本全半角错误。</explain>
      <paraID>32D3DEE3</paraID>
      <start>1</start>
      <end>2</end>
      <status>unmodified</status>
      <modifiedWord/>
      <trackRevisions>false</trackRevisions>
    </reviewItem>
    <reviewItem>
      <errorID>705d01ca-ecd5-469d-a487-ae318302ebb7</errorID>
      <errorWord>III期</errorWord>
      <group>L1_Knowledge</group>
      <groupName>知识性问题</groupName>
      <ability>L2_Knowledge</ability>
      <abilityName>其他知识</abilityName>
      <candidateList>
        <item>Ⅲ期</item>
      </candidateList>
      <explain>中文环境下罗马数字格式错误。</explain>
      <paraID>32D3DEE3</paraID>
      <start>51</start>
      <end>55</end>
      <status>unmodified</status>
      <modifiedWord/>
      <trackRevisions>false</trackRevisions>
    </reviewItem>
    <reviewItem>
      <errorID>c800c5a8-51ad-42a7-8852-8eba9aebe79b</errorID>
      <errorWord>III期</errorWord>
      <group>L1_Knowledge</group>
      <groupName>知识性问题</groupName>
      <ability>L2_Knowledge</ability>
      <abilityName>其他知识</abilityName>
      <candidateList>
        <item>Ⅲ期</item>
      </candidateList>
      <explain>中文环境下罗马数字格式错误。</explain>
      <paraID>32D3DEE3</paraID>
      <start>75</start>
      <end>79</end>
      <status>unmodified</status>
      <modifiedWord/>
      <trackRevisions>false</trackRevisions>
    </reviewItem>
    <reviewItem>
      <errorID>4f98084b-81d9-4848-a314-02bda415da09</errorID>
      <errorWord>II期</errorWord>
      <group>L1_Knowledge</group>
      <groupName>知识性问题</groupName>
      <ability>L2_Knowledge</ability>
      <abilityName>其他知识</abilityName>
      <candidateList>
        <item>Ⅱ期</item>
      </candidateList>
      <explain>中文环境下罗马数字格式错误。</explain>
      <paraID>32D3DEE3</paraID>
      <start>98</start>
      <end>101</end>
      <status>unmodified</status>
      <modifiedWord/>
      <trackRevisions>false</trackRevisions>
    </reviewItem>
  </reviewItems>
  <config/>
</contractReview>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e18a8-f438-4d78-8c78-b95609f72fe4}">
  <ds:schemaRefs/>
</ds:datastoreItem>
</file>

<file path=customXml/itemProps2.xml><?xml version="1.0" encoding="utf-8"?>
<ds:datastoreItem xmlns:ds="http://schemas.openxmlformats.org/officeDocument/2006/customXml" ds:itemID="{EB9723A3-EB27-48D0-B87C-1406CB2616DC}">
  <ds:schemaRefs/>
</ds:datastoreItem>
</file>

<file path=docProps/app.xml><?xml version="1.0" encoding="utf-8"?>
<Properties xmlns="http://schemas.openxmlformats.org/officeDocument/2006/extended-properties" xmlns:vt="http://schemas.openxmlformats.org/officeDocument/2006/docPropsVTypes">
  <Template>Normal</Template>
  <Pages>6</Pages>
  <Words>4747</Words>
  <Characters>5472</Characters>
  <Lines>125</Lines>
  <Paragraphs>62</Paragraphs>
  <TotalTime>0</TotalTime>
  <ScaleCrop>false</ScaleCrop>
  <LinksUpToDate>false</LinksUpToDate>
  <CharactersWithSpaces>5542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2026-09-21T08:20:00Z</dcterms:created>
  <dc:creator>jie.huang</dc:creator>
  <cp:lastModifiedBy>SLSW2</cp:lastModifiedBy>
  <dcterms:modified xsi:type="dcterms:W3CDTF">2026-09-21T09:11:48Z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B79F334E663848F48AB7AC65213FBBFA_13</vt:lpwstr>
  </property>
  <property fmtid="{D5CDD505-2E9C-101B-9397-08002B2CF9AE}" pid="4" name="KSOTemplateDocerSaveRecord">
    <vt:lpwstr>eyJoZGlkIjoiNTg2ZWU4Nzc4ZTg2MmY4ZDUwMjZhNjZjN2U1YTU2MWUiLCJ1c2VySWQiOiI2MTk1MTgyMzIifQ==</vt:lpwstr>
  </property>
</Properties>
</file>