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51AA23">
      <w:pPr>
        <w:ind w:firstLine="120" w:firstLineChars="50"/>
        <w:rPr>
          <w:b/>
          <w:bCs/>
          <w:iCs/>
          <w:color w:val="000000"/>
        </w:rPr>
      </w:pPr>
      <w:r>
        <w:rPr>
          <w:bCs/>
          <w:iCs/>
          <w:color w:val="000000"/>
        </w:rPr>
        <w:t xml:space="preserve">证券代码：688584                                  证券简称：上海合晶   </w:t>
      </w:r>
    </w:p>
    <w:p w14:paraId="480D673F">
      <w:pPr>
        <w:ind w:firstLine="723"/>
        <w:jc w:val="center"/>
        <w:rPr>
          <w:rFonts w:ascii="黑体" w:hAnsi="黑体" w:eastAsia="黑体"/>
          <w:b/>
          <w:bCs/>
          <w:iCs/>
          <w:color w:val="FF0000"/>
          <w:sz w:val="36"/>
          <w:szCs w:val="36"/>
        </w:rPr>
      </w:pPr>
      <w:r>
        <w:rPr>
          <w:rFonts w:ascii="黑体" w:hAnsi="黑体" w:eastAsia="黑体"/>
          <w:b/>
          <w:bCs/>
          <w:iCs/>
          <w:color w:val="FF0000"/>
          <w:sz w:val="36"/>
          <w:szCs w:val="36"/>
        </w:rPr>
        <w:t>上海合晶硅材料股份有限公司</w:t>
      </w:r>
    </w:p>
    <w:p w14:paraId="736C44DA">
      <w:pPr>
        <w:ind w:firstLine="723"/>
        <w:jc w:val="center"/>
        <w:rPr>
          <w:rFonts w:ascii="黑体" w:hAnsi="黑体" w:eastAsia="黑体"/>
          <w:b/>
          <w:bCs/>
          <w:iCs/>
          <w:color w:val="FF0000"/>
          <w:sz w:val="36"/>
          <w:szCs w:val="36"/>
        </w:rPr>
      </w:pPr>
      <w:r>
        <w:rPr>
          <w:rFonts w:ascii="黑体" w:hAnsi="黑体" w:eastAsia="黑体"/>
          <w:b/>
          <w:bCs/>
          <w:iCs/>
          <w:color w:val="FF0000"/>
          <w:sz w:val="36"/>
          <w:szCs w:val="36"/>
        </w:rPr>
        <w:t>投资者关系活动记录表</w:t>
      </w:r>
    </w:p>
    <w:p w14:paraId="79ECE45C">
      <w:pPr>
        <w:ind w:firstLine="480"/>
        <w:rPr>
          <w:bCs/>
          <w:iCs/>
          <w:color w:val="000000"/>
          <w:highlight w:val="yellow"/>
        </w:rPr>
      </w:pPr>
      <w:r>
        <w:rPr>
          <w:bCs/>
          <w:iCs/>
          <w:color w:val="000000"/>
        </w:rPr>
        <w:t xml:space="preserve">                                                    编号：202</w:t>
      </w:r>
      <w:r>
        <w:rPr>
          <w:rFonts w:hint="eastAsia"/>
          <w:bCs/>
          <w:iCs/>
          <w:color w:val="000000"/>
        </w:rPr>
        <w:t>6</w:t>
      </w:r>
      <w:r>
        <w:rPr>
          <w:bCs/>
          <w:iCs/>
          <w:color w:val="000000"/>
        </w:rPr>
        <w:t>-00</w:t>
      </w:r>
      <w:r>
        <w:rPr>
          <w:rFonts w:hint="eastAsia"/>
          <w:bCs/>
          <w:iCs/>
          <w:color w:val="000000"/>
        </w:rPr>
        <w:t>2</w:t>
      </w:r>
    </w:p>
    <w:tbl>
      <w:tblPr>
        <w:tblStyle w:val="1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6"/>
        <w:gridCol w:w="6436"/>
      </w:tblGrid>
      <w:tr w14:paraId="2E854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0" w:hRule="atLeast"/>
          <w:jc w:val="center"/>
        </w:trPr>
        <w:tc>
          <w:tcPr>
            <w:tcW w:w="1866" w:type="dxa"/>
            <w:tcBorders>
              <w:top w:val="single" w:color="auto" w:sz="4" w:space="0"/>
              <w:left w:val="single" w:color="auto" w:sz="4" w:space="0"/>
              <w:bottom w:val="single" w:color="auto" w:sz="4" w:space="0"/>
              <w:right w:val="single" w:color="auto" w:sz="4" w:space="0"/>
            </w:tcBorders>
            <w:shd w:val="clear" w:color="auto" w:fill="auto"/>
            <w:vAlign w:val="center"/>
          </w:tcPr>
          <w:p w14:paraId="27CB9E76">
            <w:pPr>
              <w:ind w:firstLine="0" w:firstLineChars="0"/>
              <w:jc w:val="center"/>
              <w:rPr>
                <w:bCs/>
                <w:iCs/>
                <w:color w:val="000000"/>
              </w:rPr>
            </w:pPr>
            <w:r>
              <w:rPr>
                <w:bCs/>
                <w:iCs/>
                <w:color w:val="000000"/>
              </w:rPr>
              <w:t>投资者关系活动类别</w:t>
            </w:r>
          </w:p>
          <w:p w14:paraId="1C26D5BB">
            <w:pPr>
              <w:ind w:firstLine="0" w:firstLineChars="0"/>
              <w:jc w:val="center"/>
              <w:rPr>
                <w:bCs/>
                <w:iCs/>
                <w:color w:val="000000"/>
              </w:rPr>
            </w:pPr>
          </w:p>
        </w:tc>
        <w:tc>
          <w:tcPr>
            <w:tcW w:w="6436" w:type="dxa"/>
            <w:tcBorders>
              <w:top w:val="single" w:color="auto" w:sz="4" w:space="0"/>
              <w:left w:val="single" w:color="auto" w:sz="4" w:space="0"/>
              <w:bottom w:val="single" w:color="auto" w:sz="4" w:space="0"/>
              <w:right w:val="single" w:color="auto" w:sz="4" w:space="0"/>
            </w:tcBorders>
            <w:shd w:val="clear" w:color="auto" w:fill="auto"/>
          </w:tcPr>
          <w:p w14:paraId="0600D6AE">
            <w:pPr>
              <w:ind w:firstLine="0" w:firstLineChars="0"/>
              <w:rPr>
                <w:bCs/>
                <w:iCs/>
                <w:color w:val="000000"/>
              </w:rPr>
            </w:pPr>
            <w:r>
              <w:rPr>
                <w:bCs/>
                <w:iCs/>
                <w:color w:val="000000"/>
              </w:rPr>
              <w:t>□</w:t>
            </w:r>
            <w:r>
              <w:t xml:space="preserve">特定对象调研   </w:t>
            </w:r>
            <w:r>
              <w:rPr>
                <w:rFonts w:hint="eastAsia"/>
              </w:rPr>
              <w:t xml:space="preserve"> ☑</w:t>
            </w:r>
            <w:r>
              <w:t>分析师会议</w:t>
            </w:r>
          </w:p>
          <w:p w14:paraId="2C770E06">
            <w:pPr>
              <w:ind w:firstLine="0" w:firstLineChars="0"/>
              <w:rPr>
                <w:bCs/>
                <w:iCs/>
                <w:color w:val="000000"/>
              </w:rPr>
            </w:pPr>
            <w:r>
              <w:rPr>
                <w:bCs/>
                <w:iCs/>
                <w:color w:val="000000"/>
              </w:rPr>
              <w:t>□</w:t>
            </w:r>
            <w:r>
              <w:t xml:space="preserve">媒体采访        </w:t>
            </w:r>
            <w:r>
              <w:rPr>
                <w:rFonts w:hint="eastAsia" w:ascii="MS Gothic" w:hAnsi="MS Gothic" w:eastAsia="MS Gothic" w:cs="MS Gothic"/>
              </w:rPr>
              <w:t>☑</w:t>
            </w:r>
            <w:r>
              <w:t>业绩说明会</w:t>
            </w:r>
          </w:p>
          <w:p w14:paraId="2CF9CB72">
            <w:pPr>
              <w:ind w:firstLine="0" w:firstLineChars="0"/>
              <w:rPr>
                <w:bCs/>
                <w:iCs/>
                <w:color w:val="000000"/>
              </w:rPr>
            </w:pPr>
            <w:r>
              <w:rPr>
                <w:bCs/>
                <w:iCs/>
                <w:color w:val="000000"/>
              </w:rPr>
              <w:t>□</w:t>
            </w:r>
            <w:r>
              <w:t xml:space="preserve">新闻发布会      </w:t>
            </w:r>
            <w:r>
              <w:rPr>
                <w:rFonts w:hint="eastAsia"/>
                <w:lang w:eastAsia="zh-CN"/>
              </w:rPr>
              <w:t>☑</w:t>
            </w:r>
            <w:r>
              <w:t>路演活动</w:t>
            </w:r>
          </w:p>
          <w:p w14:paraId="45660E05">
            <w:pPr>
              <w:tabs>
                <w:tab w:val="left" w:pos="3045"/>
                <w:tab w:val="center" w:pos="3199"/>
              </w:tabs>
              <w:ind w:firstLine="0" w:firstLineChars="0"/>
              <w:rPr>
                <w:bCs/>
                <w:iCs/>
                <w:color w:val="000000"/>
              </w:rPr>
            </w:pPr>
            <w:r>
              <w:rPr>
                <w:bCs/>
                <w:iCs/>
                <w:color w:val="000000"/>
              </w:rPr>
              <w:t>□</w:t>
            </w:r>
            <w:r>
              <w:t>现场参观</w:t>
            </w:r>
            <w:r>
              <w:rPr>
                <w:bCs/>
                <w:iCs/>
                <w:color w:val="000000"/>
              </w:rPr>
              <w:t xml:space="preserve">       </w:t>
            </w:r>
            <w:r>
              <w:rPr>
                <w:rFonts w:hint="eastAsia"/>
                <w:bCs/>
                <w:iCs/>
                <w:color w:val="000000"/>
              </w:rPr>
              <w:t xml:space="preserve"> ☑</w:t>
            </w:r>
            <w:r>
              <w:rPr>
                <w:rFonts w:hint="eastAsia"/>
              </w:rPr>
              <w:t>电话会议</w:t>
            </w:r>
          </w:p>
          <w:p w14:paraId="3573A6D5">
            <w:pPr>
              <w:tabs>
                <w:tab w:val="left" w:pos="3045"/>
                <w:tab w:val="center" w:pos="3199"/>
              </w:tabs>
              <w:ind w:firstLine="0" w:firstLineChars="0"/>
              <w:rPr>
                <w:bCs/>
                <w:iCs/>
                <w:color w:val="000000"/>
                <w:u w:val="single"/>
              </w:rPr>
            </w:pPr>
            <w:r>
              <w:t>□其他</w:t>
            </w:r>
            <w:r>
              <w:rPr>
                <w:rFonts w:hint="eastAsia"/>
              </w:rPr>
              <w:t xml:space="preserve"> </w:t>
            </w:r>
          </w:p>
        </w:tc>
      </w:tr>
      <w:tr w14:paraId="3E807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6" w:type="dxa"/>
            <w:tcBorders>
              <w:top w:val="single" w:color="auto" w:sz="4" w:space="0"/>
              <w:left w:val="single" w:color="auto" w:sz="4" w:space="0"/>
              <w:bottom w:val="single" w:color="auto" w:sz="4" w:space="0"/>
              <w:right w:val="single" w:color="auto" w:sz="4" w:space="0"/>
            </w:tcBorders>
            <w:shd w:val="clear" w:color="auto" w:fill="auto"/>
            <w:vAlign w:val="center"/>
          </w:tcPr>
          <w:p w14:paraId="7CD8E026">
            <w:pPr>
              <w:ind w:firstLine="0" w:firstLineChars="0"/>
              <w:jc w:val="center"/>
              <w:rPr>
                <w:bCs/>
                <w:iCs/>
                <w:color w:val="000000"/>
              </w:rPr>
            </w:pPr>
            <w:r>
              <w:rPr>
                <w:rFonts w:hint="eastAsia"/>
                <w:bCs/>
                <w:iCs/>
                <w:color w:val="000000"/>
              </w:rPr>
              <w:t>会议主题</w:t>
            </w:r>
          </w:p>
        </w:tc>
        <w:tc>
          <w:tcPr>
            <w:tcW w:w="6436" w:type="dxa"/>
            <w:tcBorders>
              <w:top w:val="single" w:color="auto" w:sz="4" w:space="0"/>
              <w:left w:val="single" w:color="auto" w:sz="4" w:space="0"/>
              <w:bottom w:val="single" w:color="auto" w:sz="4" w:space="0"/>
              <w:right w:val="single" w:color="auto" w:sz="4" w:space="0"/>
            </w:tcBorders>
            <w:shd w:val="clear" w:color="auto" w:fill="auto"/>
          </w:tcPr>
          <w:p w14:paraId="4608F310">
            <w:pPr>
              <w:ind w:firstLine="0" w:firstLineChars="0"/>
              <w:jc w:val="left"/>
              <w:rPr>
                <w:bCs/>
                <w:iCs/>
                <w:color w:val="000000"/>
              </w:rPr>
            </w:pPr>
            <w:r>
              <w:rPr>
                <w:bCs/>
                <w:iCs/>
                <w:color w:val="000000"/>
              </w:rPr>
              <w:t>上海合晶2026年</w:t>
            </w:r>
            <w:r>
              <w:rPr>
                <w:rFonts w:hint="eastAsia"/>
                <w:bCs/>
                <w:iCs/>
                <w:color w:val="000000"/>
              </w:rPr>
              <w:t>半年报</w:t>
            </w:r>
            <w:r>
              <w:rPr>
                <w:bCs/>
                <w:iCs/>
                <w:color w:val="000000"/>
              </w:rPr>
              <w:t>业绩交流会</w:t>
            </w:r>
          </w:p>
        </w:tc>
      </w:tr>
      <w:tr w14:paraId="643DF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6" w:type="dxa"/>
            <w:tcBorders>
              <w:top w:val="single" w:color="auto" w:sz="4" w:space="0"/>
              <w:left w:val="single" w:color="auto" w:sz="4" w:space="0"/>
              <w:bottom w:val="single" w:color="auto" w:sz="4" w:space="0"/>
              <w:right w:val="single" w:color="auto" w:sz="4" w:space="0"/>
            </w:tcBorders>
            <w:shd w:val="clear" w:color="auto" w:fill="auto"/>
            <w:vAlign w:val="center"/>
          </w:tcPr>
          <w:p w14:paraId="14DF5EF9">
            <w:pPr>
              <w:ind w:firstLine="0" w:firstLineChars="0"/>
              <w:jc w:val="center"/>
              <w:rPr>
                <w:bCs/>
                <w:iCs/>
                <w:color w:val="000000"/>
              </w:rPr>
            </w:pPr>
            <w:r>
              <w:rPr>
                <w:bCs/>
                <w:iCs/>
                <w:color w:val="000000"/>
              </w:rPr>
              <w:t>参与单位名称</w:t>
            </w:r>
          </w:p>
        </w:tc>
        <w:tc>
          <w:tcPr>
            <w:tcW w:w="6436" w:type="dxa"/>
            <w:tcBorders>
              <w:top w:val="single" w:color="auto" w:sz="4" w:space="0"/>
              <w:left w:val="single" w:color="auto" w:sz="4" w:space="0"/>
              <w:bottom w:val="single" w:color="auto" w:sz="4" w:space="0"/>
              <w:right w:val="single" w:color="auto" w:sz="4" w:space="0"/>
            </w:tcBorders>
            <w:shd w:val="clear" w:color="auto" w:fill="auto"/>
          </w:tcPr>
          <w:p w14:paraId="763AC5E5">
            <w:pPr>
              <w:ind w:firstLine="0" w:firstLineChars="0"/>
              <w:rPr>
                <w:rFonts w:hint="eastAsia"/>
              </w:rPr>
            </w:pPr>
            <w:r>
              <w:rPr>
                <w:rFonts w:hint="eastAsia"/>
                <w:lang w:val="en-US" w:eastAsia="zh-CN"/>
              </w:rPr>
              <w:t xml:space="preserve">9月14日 </w:t>
            </w:r>
            <w:r>
              <w:rPr>
                <w:rFonts w:hint="eastAsia"/>
              </w:rPr>
              <w:t>中信证券、国金证券、人保资产、红杉资本、光大自营、英轩捷信、益民基金、国新证券、金石投资、道谊投资、华夏财富创新、中新融创、粤信资产、瞰道资产、磊亚投资、泾溪投资、中信里昂、中移资本控股、信银理财、杭银理财、日斗投资、上海合远、杭州富涌谷资产、闻天投资、禹田资本、禧悦私募基金、昊晟基金、泰牛基金、浙商自营、长见投资、渊泓投资、晓甪投资、长盛基金、安捷证券</w:t>
            </w:r>
          </w:p>
          <w:p w14:paraId="12CEF0E9">
            <w:pPr>
              <w:ind w:firstLine="0" w:firstLineChars="0"/>
              <w:rPr>
                <w:rFonts w:hint="eastAsia"/>
                <w:lang w:val="en-US" w:eastAsia="zh-CN"/>
              </w:rPr>
            </w:pPr>
            <w:r>
              <w:rPr>
                <w:rFonts w:hint="eastAsia"/>
                <w:lang w:val="en-US" w:eastAsia="zh-CN"/>
              </w:rPr>
              <w:t>9月16日 远信投资、民生通惠、鸿商资本、腾跃基金</w:t>
            </w:r>
          </w:p>
          <w:p w14:paraId="0FDD1B04">
            <w:pPr>
              <w:ind w:firstLine="0" w:firstLineChars="0"/>
              <w:rPr>
                <w:rFonts w:hint="default"/>
                <w:lang w:val="en-US" w:eastAsia="zh-CN"/>
              </w:rPr>
            </w:pPr>
            <w:r>
              <w:rPr>
                <w:rFonts w:hint="eastAsia"/>
                <w:lang w:val="en-US" w:eastAsia="zh-CN"/>
              </w:rPr>
              <w:t>9月17日 前海人寿、建信理财</w:t>
            </w:r>
          </w:p>
          <w:p w14:paraId="7EB59004">
            <w:pPr>
              <w:ind w:firstLine="0" w:firstLineChars="0"/>
              <w:rPr>
                <w:bCs/>
                <w:iCs/>
                <w:color w:val="000000"/>
                <w:u w:val="single"/>
              </w:rPr>
            </w:pPr>
            <w:r>
              <w:rPr>
                <w:rFonts w:hint="eastAsia"/>
                <w:lang w:val="en-US" w:eastAsia="zh-CN"/>
              </w:rPr>
              <w:t>9月18日 信达澳亚基金、海港人寿</w:t>
            </w:r>
          </w:p>
        </w:tc>
      </w:tr>
      <w:tr w14:paraId="4F59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6" w:type="dxa"/>
            <w:tcBorders>
              <w:top w:val="single" w:color="auto" w:sz="4" w:space="0"/>
              <w:left w:val="single" w:color="auto" w:sz="4" w:space="0"/>
              <w:bottom w:val="single" w:color="auto" w:sz="4" w:space="0"/>
              <w:right w:val="single" w:color="auto" w:sz="4" w:space="0"/>
            </w:tcBorders>
            <w:shd w:val="clear" w:color="auto" w:fill="auto"/>
            <w:vAlign w:val="center"/>
          </w:tcPr>
          <w:p w14:paraId="3F76E343">
            <w:pPr>
              <w:ind w:firstLine="0" w:firstLineChars="0"/>
              <w:jc w:val="center"/>
              <w:rPr>
                <w:bCs/>
                <w:iCs/>
                <w:color w:val="000000"/>
              </w:rPr>
            </w:pPr>
            <w:r>
              <w:rPr>
                <w:bCs/>
                <w:iCs/>
                <w:color w:val="000000"/>
              </w:rPr>
              <w:t>时间</w:t>
            </w:r>
          </w:p>
        </w:tc>
        <w:tc>
          <w:tcPr>
            <w:tcW w:w="6436" w:type="dxa"/>
            <w:tcBorders>
              <w:top w:val="single" w:color="auto" w:sz="4" w:space="0"/>
              <w:left w:val="single" w:color="auto" w:sz="4" w:space="0"/>
              <w:bottom w:val="single" w:color="auto" w:sz="4" w:space="0"/>
              <w:right w:val="single" w:color="auto" w:sz="4" w:space="0"/>
            </w:tcBorders>
            <w:shd w:val="clear" w:color="auto" w:fill="auto"/>
          </w:tcPr>
          <w:p w14:paraId="288C25A4">
            <w:pPr>
              <w:ind w:firstLine="0" w:firstLineChars="0"/>
              <w:jc w:val="left"/>
              <w:rPr>
                <w:bCs/>
                <w:iCs/>
                <w:color w:val="000000"/>
              </w:rPr>
            </w:pPr>
            <w:r>
              <w:rPr>
                <w:bCs/>
                <w:iCs/>
                <w:color w:val="000000"/>
              </w:rPr>
              <w:t>202</w:t>
            </w:r>
            <w:r>
              <w:rPr>
                <w:rFonts w:hint="eastAsia"/>
                <w:bCs/>
                <w:iCs/>
                <w:color w:val="000000"/>
              </w:rPr>
              <w:t>6</w:t>
            </w:r>
            <w:r>
              <w:rPr>
                <w:bCs/>
                <w:iCs/>
                <w:color w:val="000000"/>
              </w:rPr>
              <w:t>年</w:t>
            </w:r>
            <w:r>
              <w:rPr>
                <w:rFonts w:hint="eastAsia"/>
                <w:bCs/>
                <w:iCs/>
                <w:color w:val="000000"/>
              </w:rPr>
              <w:t>9</w:t>
            </w:r>
            <w:r>
              <w:rPr>
                <w:bCs/>
                <w:iCs/>
                <w:color w:val="000000"/>
              </w:rPr>
              <w:t>月</w:t>
            </w:r>
            <w:r>
              <w:rPr>
                <w:rFonts w:hint="eastAsia"/>
                <w:bCs/>
                <w:iCs/>
                <w:color w:val="000000"/>
              </w:rPr>
              <w:t>14</w:t>
            </w:r>
            <w:r>
              <w:rPr>
                <w:bCs/>
                <w:iCs/>
                <w:color w:val="000000"/>
              </w:rPr>
              <w:t>日</w:t>
            </w:r>
            <w:r>
              <w:rPr>
                <w:rFonts w:hint="eastAsia"/>
                <w:bCs/>
                <w:iCs/>
                <w:color w:val="000000"/>
                <w:u w:val="none"/>
                <w:lang w:eastAsia="zh-CN"/>
              </w:rPr>
              <w:t>，</w:t>
            </w:r>
            <w:r>
              <w:rPr>
                <w:rFonts w:hint="eastAsia"/>
                <w:bCs/>
                <w:iCs/>
                <w:color w:val="000000" w:themeColor="text1"/>
                <w:u w:val="none"/>
                <w14:textFill>
                  <w14:solidFill>
                    <w14:schemeClr w14:val="tx1"/>
                  </w14:solidFill>
                </w14:textFill>
              </w:rPr>
              <w:t>9月</w:t>
            </w:r>
            <w:r>
              <w:rPr>
                <w:rFonts w:hint="eastAsia"/>
                <w:bCs/>
                <w:iCs/>
                <w:color w:val="000000" w:themeColor="text1"/>
                <w:u w:val="none"/>
                <w:lang w:val="en-US" w:eastAsia="zh-CN"/>
                <w14:textFill>
                  <w14:solidFill>
                    <w14:schemeClr w14:val="tx1"/>
                  </w14:solidFill>
                </w14:textFill>
              </w:rPr>
              <w:t>16-</w:t>
            </w:r>
            <w:r>
              <w:rPr>
                <w:rFonts w:hint="eastAsia"/>
                <w:bCs/>
                <w:iCs/>
                <w:color w:val="000000" w:themeColor="text1"/>
                <w:u w:val="none"/>
                <w14:textFill>
                  <w14:solidFill>
                    <w14:schemeClr w14:val="tx1"/>
                  </w14:solidFill>
                </w14:textFill>
              </w:rPr>
              <w:t>18日</w:t>
            </w:r>
          </w:p>
        </w:tc>
      </w:tr>
      <w:tr w14:paraId="4FE89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866" w:type="dxa"/>
            <w:tcBorders>
              <w:top w:val="single" w:color="auto" w:sz="4" w:space="0"/>
              <w:left w:val="single" w:color="auto" w:sz="4" w:space="0"/>
              <w:bottom w:val="single" w:color="auto" w:sz="4" w:space="0"/>
              <w:right w:val="single" w:color="auto" w:sz="4" w:space="0"/>
            </w:tcBorders>
            <w:shd w:val="clear" w:color="auto" w:fill="auto"/>
            <w:vAlign w:val="center"/>
          </w:tcPr>
          <w:p w14:paraId="61C9C57F">
            <w:pPr>
              <w:ind w:firstLine="0" w:firstLineChars="0"/>
              <w:jc w:val="center"/>
              <w:rPr>
                <w:bCs/>
                <w:iCs/>
                <w:color w:val="000000"/>
              </w:rPr>
            </w:pPr>
            <w:r>
              <w:rPr>
                <w:bCs/>
                <w:iCs/>
                <w:color w:val="000000"/>
              </w:rPr>
              <w:t>地点</w:t>
            </w:r>
          </w:p>
        </w:tc>
        <w:tc>
          <w:tcPr>
            <w:tcW w:w="6436" w:type="dxa"/>
            <w:tcBorders>
              <w:top w:val="single" w:color="auto" w:sz="4" w:space="0"/>
              <w:left w:val="single" w:color="auto" w:sz="4" w:space="0"/>
              <w:bottom w:val="single" w:color="auto" w:sz="4" w:space="0"/>
              <w:right w:val="single" w:color="auto" w:sz="4" w:space="0"/>
            </w:tcBorders>
            <w:shd w:val="clear" w:color="auto" w:fill="auto"/>
            <w:vAlign w:val="center"/>
          </w:tcPr>
          <w:p w14:paraId="3302D9DC">
            <w:pPr>
              <w:ind w:firstLine="0" w:firstLineChars="0"/>
              <w:jc w:val="left"/>
              <w:rPr>
                <w:rFonts w:hint="default" w:eastAsia="宋体"/>
                <w:bCs/>
                <w:iCs/>
                <w:color w:val="000000"/>
                <w:lang w:val="en-US" w:eastAsia="zh-CN"/>
              </w:rPr>
            </w:pPr>
            <w:r>
              <w:rPr>
                <w:rFonts w:hint="eastAsia"/>
                <w:bCs/>
                <w:iCs/>
                <w:color w:val="000000"/>
              </w:rPr>
              <w:t>线上</w:t>
            </w:r>
            <w:r>
              <w:rPr>
                <w:rFonts w:hint="eastAsia"/>
                <w:bCs/>
                <w:iCs/>
                <w:color w:val="000000"/>
                <w:lang w:eastAsia="zh-CN"/>
              </w:rPr>
              <w:t>、</w:t>
            </w:r>
            <w:r>
              <w:rPr>
                <w:rFonts w:hint="eastAsia"/>
                <w:bCs/>
                <w:iCs/>
                <w:color w:val="000000"/>
                <w:lang w:val="en-US" w:eastAsia="zh-CN"/>
              </w:rPr>
              <w:t>上海、深圳</w:t>
            </w:r>
          </w:p>
        </w:tc>
      </w:tr>
      <w:tr w14:paraId="07673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66" w:type="dxa"/>
            <w:tcBorders>
              <w:top w:val="single" w:color="auto" w:sz="4" w:space="0"/>
              <w:left w:val="single" w:color="auto" w:sz="4" w:space="0"/>
              <w:bottom w:val="single" w:color="auto" w:sz="4" w:space="0"/>
              <w:right w:val="single" w:color="auto" w:sz="4" w:space="0"/>
            </w:tcBorders>
            <w:shd w:val="clear" w:color="auto" w:fill="auto"/>
            <w:vAlign w:val="center"/>
          </w:tcPr>
          <w:p w14:paraId="78E4592C">
            <w:pPr>
              <w:ind w:firstLine="0" w:firstLineChars="0"/>
              <w:jc w:val="center"/>
              <w:rPr>
                <w:bCs/>
                <w:iCs/>
                <w:color w:val="000000"/>
              </w:rPr>
            </w:pPr>
            <w:r>
              <w:rPr>
                <w:bCs/>
                <w:iCs/>
                <w:color w:val="000000"/>
              </w:rPr>
              <w:t>上市公司接待</w:t>
            </w:r>
            <w:r>
              <w:rPr>
                <w:bCs/>
                <w:iCs/>
                <w:color w:val="000000"/>
              </w:rPr>
              <w:br w:type="textWrapping"/>
            </w:r>
            <w:r>
              <w:rPr>
                <w:bCs/>
                <w:iCs/>
                <w:color w:val="000000"/>
              </w:rPr>
              <w:t>人员姓名</w:t>
            </w:r>
          </w:p>
        </w:tc>
        <w:tc>
          <w:tcPr>
            <w:tcW w:w="6436" w:type="dxa"/>
            <w:tcBorders>
              <w:top w:val="single" w:color="auto" w:sz="4" w:space="0"/>
              <w:left w:val="single" w:color="auto" w:sz="4" w:space="0"/>
              <w:bottom w:val="single" w:color="auto" w:sz="4" w:space="0"/>
              <w:right w:val="single" w:color="auto" w:sz="4" w:space="0"/>
            </w:tcBorders>
            <w:shd w:val="clear" w:color="auto" w:fill="auto"/>
            <w:vAlign w:val="center"/>
          </w:tcPr>
          <w:p w14:paraId="7295F256">
            <w:pPr>
              <w:ind w:firstLine="0" w:firstLineChars="0"/>
              <w:jc w:val="left"/>
              <w:rPr>
                <w:bCs/>
                <w:iCs/>
                <w:color w:val="000000"/>
              </w:rPr>
            </w:pPr>
            <w:r>
              <w:rPr>
                <w:rFonts w:hint="eastAsia"/>
                <w:bCs/>
                <w:iCs/>
                <w:color w:val="000000"/>
              </w:rPr>
              <w:t>执行董事、总经理      陈建纲</w:t>
            </w:r>
          </w:p>
          <w:p w14:paraId="3E28AA53">
            <w:pPr>
              <w:ind w:firstLine="0" w:firstLineChars="0"/>
              <w:jc w:val="left"/>
              <w:rPr>
                <w:bCs/>
                <w:iCs/>
                <w:color w:val="000000"/>
              </w:rPr>
            </w:pPr>
            <w:r>
              <w:rPr>
                <w:rFonts w:hint="eastAsia"/>
                <w:bCs/>
                <w:iCs/>
                <w:color w:val="000000"/>
              </w:rPr>
              <w:t>首席技术官            李文中</w:t>
            </w:r>
          </w:p>
          <w:p w14:paraId="607F937F">
            <w:pPr>
              <w:ind w:firstLine="0" w:firstLineChars="0"/>
              <w:jc w:val="left"/>
              <w:rPr>
                <w:bCs/>
                <w:iCs/>
                <w:color w:val="000000"/>
              </w:rPr>
            </w:pPr>
            <w:r>
              <w:rPr>
                <w:rFonts w:hint="eastAsia"/>
                <w:bCs/>
                <w:iCs/>
                <w:color w:val="000000"/>
              </w:rPr>
              <w:t xml:space="preserve">财务总监              方时彬            </w:t>
            </w:r>
          </w:p>
          <w:p w14:paraId="71D66CA9">
            <w:pPr>
              <w:ind w:firstLine="0" w:firstLineChars="0"/>
              <w:jc w:val="left"/>
              <w:rPr>
                <w:bCs/>
                <w:iCs/>
                <w:color w:val="000000"/>
              </w:rPr>
            </w:pPr>
            <w:r>
              <w:rPr>
                <w:rFonts w:hint="eastAsia"/>
                <w:bCs/>
                <w:iCs/>
                <w:color w:val="000000"/>
              </w:rPr>
              <w:t>董事会秘书            庄子祊</w:t>
            </w:r>
          </w:p>
        </w:tc>
      </w:tr>
      <w:tr w14:paraId="145ED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1866" w:type="dxa"/>
            <w:tcBorders>
              <w:top w:val="single" w:color="auto" w:sz="4" w:space="0"/>
              <w:left w:val="single" w:color="auto" w:sz="4" w:space="0"/>
              <w:bottom w:val="single" w:color="auto" w:sz="4" w:space="0"/>
              <w:right w:val="single" w:color="auto" w:sz="4" w:space="0"/>
            </w:tcBorders>
            <w:shd w:val="clear" w:color="auto" w:fill="auto"/>
            <w:vAlign w:val="center"/>
          </w:tcPr>
          <w:p w14:paraId="0D82E99D">
            <w:pPr>
              <w:ind w:firstLine="0" w:firstLineChars="0"/>
              <w:jc w:val="center"/>
              <w:rPr>
                <w:bCs/>
                <w:iCs/>
                <w:color w:val="000000"/>
              </w:rPr>
            </w:pPr>
            <w:r>
              <w:rPr>
                <w:bCs/>
                <w:iCs/>
                <w:color w:val="000000"/>
              </w:rPr>
              <w:t>投资者关系活动主要内容</w:t>
            </w:r>
            <w:r>
              <w:rPr>
                <w:bCs/>
                <w:iCs/>
                <w:color w:val="000000"/>
              </w:rPr>
              <w:br w:type="textWrapping"/>
            </w:r>
            <w:r>
              <w:rPr>
                <w:bCs/>
                <w:iCs/>
                <w:color w:val="000000"/>
              </w:rPr>
              <w:t>介绍</w:t>
            </w:r>
          </w:p>
          <w:p w14:paraId="7C626E90">
            <w:pPr>
              <w:ind w:firstLine="0" w:firstLineChars="0"/>
              <w:jc w:val="center"/>
              <w:rPr>
                <w:bCs/>
                <w:iCs/>
                <w:color w:val="000000"/>
              </w:rPr>
            </w:pPr>
          </w:p>
        </w:tc>
        <w:tc>
          <w:tcPr>
            <w:tcW w:w="6436" w:type="dxa"/>
            <w:tcBorders>
              <w:top w:val="single" w:color="auto" w:sz="4" w:space="0"/>
              <w:left w:val="single" w:color="auto" w:sz="4" w:space="0"/>
              <w:bottom w:val="single" w:color="auto" w:sz="4" w:space="0"/>
              <w:right w:val="single" w:color="auto" w:sz="4" w:space="0"/>
            </w:tcBorders>
            <w:shd w:val="clear" w:color="auto" w:fill="auto"/>
          </w:tcPr>
          <w:p w14:paraId="13EC3AFF">
            <w:pPr>
              <w:widowControl/>
              <w:numPr>
                <w:ilvl w:val="0"/>
                <w:numId w:val="3"/>
              </w:numPr>
              <w:ind w:firstLine="482"/>
              <w:jc w:val="left"/>
              <w:rPr>
                <w:b/>
                <w:bCs/>
              </w:rPr>
            </w:pPr>
            <w:r>
              <w:rPr>
                <w:rFonts w:hint="eastAsia"/>
                <w:b/>
                <w:bCs/>
              </w:rPr>
              <w:t>公司2026年半年报业绩说明</w:t>
            </w:r>
          </w:p>
          <w:p w14:paraId="517A9189">
            <w:pPr>
              <w:widowControl/>
              <w:ind w:firstLine="480"/>
            </w:pPr>
            <w:r>
              <w:rPr>
                <w:rFonts w:hint="eastAsia"/>
              </w:rPr>
              <w:t>上海合晶坚持以成为行业领先的半导体电子材料供应商为目标，是中国少数具备从晶体成长、衬底成型到外延生长全流程生产能力的制造商，主营业务聚焦于半导体硅外延片及其他高端半导体电子材料的研发、生产与销售。</w:t>
            </w:r>
          </w:p>
          <w:p w14:paraId="34FACE34">
            <w:pPr>
              <w:widowControl/>
              <w:ind w:firstLine="480"/>
            </w:pPr>
            <w:r>
              <w:rPr>
                <w:rFonts w:hint="eastAsia"/>
              </w:rPr>
              <w:t>2026年上半年，公司实现营业收入5.93亿元，相比于去年同期减少5.13%；归母净利润2,673.66万元，相比于去年同期减少55.22%；扣非归母净利润1,800.54万元，同比减少69.58%。上半年利润端承压主要受2026年4月1日起取消增值税出口退税影响毛利额减少，公司出口销售影响明显，且报告期内，受募投项目资金投入导致货币资金减少，本期利息收入同比下降，汇率波动造成汇兑损失增加，财务费用叠加上述不利因素同比大幅增加。</w:t>
            </w:r>
          </w:p>
          <w:p w14:paraId="759A9BFB">
            <w:pPr>
              <w:widowControl/>
              <w:ind w:firstLine="480"/>
            </w:pPr>
            <w:r>
              <w:rPr>
                <w:rFonts w:hint="eastAsia"/>
              </w:rPr>
              <w:t>公司经营稳健，2026年上半年公司经营活动产生的现金流量净额达到1.49亿，主业造血能力依然健康；报告期末总资产50.31亿元，净资产41.05亿元，资产负债结构稳健。这充分说明，公司的核心业务运营质量和财务底盘是扎实的。短期利润波动主要受出口退税、财务费用等非经营性因素影响，并未削弱主业的现金创造能力和资产厚度。</w:t>
            </w:r>
          </w:p>
          <w:p w14:paraId="3D21D353">
            <w:pPr>
              <w:widowControl/>
              <w:ind w:firstLine="480"/>
            </w:pPr>
            <w:r>
              <w:rPr>
                <w:rFonts w:hint="eastAsia"/>
              </w:rPr>
              <w:t>分季度来看，环比持续改善。公司2026年第二季度营业收入3.13亿元，相比第一季度的2.8亿元，环比增长11.78%；2026年第二季度归属于上市公司股东的净利润为1,418.60万元，相比第一季度的1,255.06万元，环比增长13.03%。Q2单季营收和净利润均实现双位数环比增长，表明公司业务在二季度已经呈现边际修复态势，与当前半导体硅片行业特别是特色外延片领域景气度上行的趋势相互印证。</w:t>
            </w:r>
          </w:p>
          <w:p w14:paraId="032B9FBD">
            <w:pPr>
              <w:widowControl/>
              <w:ind w:firstLine="482"/>
              <w:jc w:val="left"/>
              <w:rPr>
                <w:b/>
                <w:bCs/>
              </w:rPr>
            </w:pPr>
            <w:r>
              <w:rPr>
                <w:rFonts w:hint="eastAsia"/>
                <w:b/>
                <w:bCs/>
              </w:rPr>
              <w:t>二、公司战略布局介绍</w:t>
            </w:r>
          </w:p>
          <w:p w14:paraId="5CE2F49D">
            <w:pPr>
              <w:widowControl/>
              <w:ind w:firstLine="482"/>
              <w:jc w:val="left"/>
              <w:rPr>
                <w:b/>
                <w:bCs/>
              </w:rPr>
            </w:pPr>
            <w:r>
              <w:rPr>
                <w:rFonts w:hint="eastAsia"/>
                <w:b/>
                <w:bCs/>
              </w:rPr>
              <w:t>1、12英寸外延片产品产能释放，聚焦高端应用领域</w:t>
            </w:r>
          </w:p>
          <w:p w14:paraId="4A2FCCAC">
            <w:pPr>
              <w:widowControl/>
              <w:ind w:firstLine="480"/>
            </w:pPr>
            <w:r>
              <w:rPr>
                <w:rFonts w:hint="eastAsia"/>
              </w:rPr>
              <w:t>12英寸外延片是公司重要的增长引擎。子公司上海晶盟现有12英寸外延片产能48万片/年；郑州合晶二期12英寸半导体硅片扩产项目稳步推进，规划新增外延片产能72万片/年。项目达产后，公司12英寸外延总产能将提升至120万片/年。郑州合晶二期项目聚焦CIS图像传感器、逻辑芯片等高端应用，个别关键客户已验证通过，进入量产阶段。</w:t>
            </w:r>
          </w:p>
          <w:p w14:paraId="35C14545">
            <w:pPr>
              <w:widowControl/>
              <w:ind w:firstLine="482"/>
              <w:jc w:val="left"/>
              <w:rPr>
                <w:b/>
                <w:bCs/>
              </w:rPr>
            </w:pPr>
            <w:r>
              <w:rPr>
                <w:rFonts w:hint="eastAsia"/>
                <w:b/>
                <w:bCs/>
              </w:rPr>
              <w:t>2、在功率器件领域，重点开展AI智能载具及数据中心用功率器件所需外延片</w:t>
            </w:r>
          </w:p>
          <w:p w14:paraId="1E510B42">
            <w:pPr>
              <w:widowControl/>
              <w:ind w:firstLine="480"/>
            </w:pPr>
            <w:r>
              <w:rPr>
                <w:rFonts w:hint="eastAsia"/>
              </w:rPr>
              <w:t>当前功率器件领域，AI及数据中心用功率器件为增长最快的赛道。AI智能载具及数据中心用功率器件需满足超高稳定性、低电压高电流的要求，所需外延片的技术对应超低阻的衬底外延及掺砷外延。当前公司重点客户的相关订单集中于数据中心用功率器件领域，公司的超低阻加掺砷外延产品可匹配相关需求。</w:t>
            </w:r>
          </w:p>
          <w:p w14:paraId="0DEDBFDD">
            <w:pPr>
              <w:widowControl/>
              <w:ind w:firstLine="482"/>
              <w:jc w:val="left"/>
              <w:rPr>
                <w:b/>
                <w:bCs/>
              </w:rPr>
            </w:pPr>
            <w:r>
              <w:rPr>
                <w:rFonts w:hint="eastAsia"/>
                <w:b/>
                <w:bCs/>
              </w:rPr>
              <w:t>3、战略升级：设立SOI合资公司河南芯晶半导体，切入高附加值领域</w:t>
            </w:r>
          </w:p>
          <w:p w14:paraId="7B013DC4">
            <w:pPr>
              <w:widowControl/>
              <w:ind w:firstLine="480"/>
            </w:pPr>
            <w:r>
              <w:rPr>
                <w:rFonts w:hint="eastAsia"/>
              </w:rPr>
              <w:t>除硅外延片外，上海合晶积极布局高端半导体材料SOI（绝缘体上硅）。公司与地方国资产业资本及员工持股平台共同设立SOI合资公司—河南芯晶半导体有限公司，规划总投资额3.6亿元。上海合晶出资1.07亿元，持股约29.72%。SOI项目分三期建设，最终实现21.6万片/年产能，产品类型包含Power-SOI、RF-SOI、FD-SOI、Photonics-SOI和MEMS-SOI，主要面向AI算力、硅光子、高端射频、汽车电子等前沿领域。</w:t>
            </w:r>
          </w:p>
          <w:p w14:paraId="32563C66">
            <w:pPr>
              <w:widowControl/>
              <w:ind w:firstLine="480"/>
            </w:pPr>
            <w:r>
              <w:rPr>
                <w:rFonts w:hint="eastAsia"/>
              </w:rPr>
              <w:t>一方面，公司目标在SOI层面实现高端国产化替代。另一方面，SOI合资公司河南芯晶与郑州合晶二期扩产项目形成协同及叠加效应，将形成原料自主、基础设施共享与成本协同，实现高端产品低成本化。</w:t>
            </w:r>
          </w:p>
          <w:p w14:paraId="7F298B0E">
            <w:pPr>
              <w:widowControl/>
              <w:numPr>
                <w:ilvl w:val="0"/>
                <w:numId w:val="4"/>
              </w:numPr>
              <w:ind w:firstLine="482"/>
              <w:jc w:val="left"/>
              <w:rPr>
                <w:b/>
                <w:bCs/>
              </w:rPr>
            </w:pPr>
            <w:r>
              <w:rPr>
                <w:rFonts w:hint="eastAsia"/>
                <w:b/>
                <w:bCs/>
              </w:rPr>
              <w:t>以三项核心技术为锚，布局先进CIS+AI新赛道</w:t>
            </w:r>
          </w:p>
          <w:p w14:paraId="358A73E3">
            <w:pPr>
              <w:widowControl/>
              <w:ind w:firstLine="480"/>
            </w:pPr>
            <w:r>
              <w:rPr>
                <w:rFonts w:hint="eastAsia"/>
              </w:rPr>
              <w:t>如果说合资设立河南芯晶上海合晶切入SOI高附加值赛道的关键布局，那么背后更深层的战略意图，则是依托上海合晶深厚的技术底蕴，锚定先进CIS与AI融合的新赛道。</w:t>
            </w:r>
          </w:p>
          <w:p w14:paraId="35623CC1">
            <w:pPr>
              <w:widowControl/>
              <w:ind w:firstLine="480"/>
            </w:pPr>
            <w:r>
              <w:rPr>
                <w:rFonts w:hint="eastAsia"/>
              </w:rPr>
              <w:t>全球CIS市场与技术领导者索尼已将CIS技术蓝图推进至第五代、第六代，但国内的CIS大多仍属于第一代或第二代。上述先进CIS所需的P/P+及FD-SOI，其中的核心技术有三项：重掺长晶与晶片技术（重掺硼衬底）、超高纯度外延技术（轻掺硼外延）、SOI晶片技术（FD-SOI）。</w:t>
            </w:r>
          </w:p>
          <w:p w14:paraId="7F9B66AF">
            <w:pPr>
              <w:widowControl/>
              <w:ind w:firstLine="240" w:firstLineChars="100"/>
            </w:pPr>
            <w:r>
              <w:rPr>
                <w:rFonts w:hint="eastAsia"/>
              </w:rPr>
              <w:t>上海合晶前两项技术已有多年国内外市场的实绩，第三项的SOI也已开发成功，SOI合资公司河南芯晶将在国内建厂投入量产。上海合晶使用自身技术优势并及早布局，针对先进CIS结合AI的中国优势市场所需的各类芯片，将助力中国智能载具的快速发展，扮演先进CIS结合AI的芯片完整方案提供者。</w:t>
            </w:r>
          </w:p>
          <w:p w14:paraId="329377E1">
            <w:pPr>
              <w:widowControl/>
              <w:ind w:firstLine="482"/>
              <w:jc w:val="left"/>
              <w:rPr>
                <w:b/>
                <w:bCs/>
              </w:rPr>
            </w:pPr>
            <w:r>
              <w:rPr>
                <w:rFonts w:hint="eastAsia"/>
                <w:b/>
                <w:bCs/>
              </w:rPr>
              <w:t>5、资本运作：定增+科创债</w:t>
            </w:r>
          </w:p>
          <w:p w14:paraId="03A7E053">
            <w:pPr>
              <w:widowControl/>
              <w:ind w:firstLine="480"/>
            </w:pPr>
            <w:r>
              <w:rPr>
                <w:rFonts w:hint="eastAsia"/>
              </w:rPr>
              <w:t>定增项目自公司2026年3月董事会后启动，募集资金总额不超过人民币9亿元，其中7亿元用于郑州合晶12英寸半导体大硅片产业化项目，2亿元用于补充流动资金。目前已提交申报材料，正在上交所审核中。</w:t>
            </w:r>
          </w:p>
          <w:p w14:paraId="4FC8C50B">
            <w:pPr>
              <w:widowControl/>
              <w:ind w:firstLine="480"/>
            </w:pPr>
            <w:r>
              <w:rPr>
                <w:rFonts w:hint="eastAsia"/>
              </w:rPr>
              <w:t>同时，我们也积极拓宽债权融资渠道。科创债于2026年4月底已拿到批文，拟募集资金总额不超过人民币6亿元，用于郑州合晶12英寸半导体大硅片产业化项目。首发人民币2亿元于2026年8月底前完成发行，它将与本次定增形成互补，为公司大硅片战略提供多元化的资金保障，同时有助于控制融资成本。</w:t>
            </w:r>
          </w:p>
          <w:p w14:paraId="2CC86741">
            <w:pPr>
              <w:widowControl/>
              <w:numPr>
                <w:ilvl w:val="3"/>
                <w:numId w:val="0"/>
              </w:numPr>
              <w:ind w:left="480" w:leftChars="200"/>
              <w:jc w:val="left"/>
              <w:rPr>
                <w:b/>
                <w:bCs/>
              </w:rPr>
            </w:pPr>
            <w:r>
              <w:rPr>
                <w:rFonts w:hint="eastAsia"/>
                <w:b/>
                <w:bCs/>
              </w:rPr>
              <w:t>三、问答交流环节</w:t>
            </w:r>
          </w:p>
          <w:p w14:paraId="5B259E78">
            <w:pPr>
              <w:widowControl/>
              <w:ind w:firstLine="482"/>
              <w:jc w:val="left"/>
              <w:rPr>
                <w:b/>
                <w:bCs/>
              </w:rPr>
            </w:pPr>
            <w:r>
              <w:rPr>
                <w:rFonts w:hint="eastAsia"/>
                <w:b/>
                <w:bCs/>
              </w:rPr>
              <w:t>问题1：请问公司对半导体硅片的景气度和价格怎么看？</w:t>
            </w:r>
          </w:p>
          <w:p w14:paraId="32C3A6D0">
            <w:pPr>
              <w:widowControl/>
              <w:ind w:firstLine="482"/>
            </w:pPr>
            <w:r>
              <w:rPr>
                <w:b/>
                <w:bCs/>
              </w:rPr>
              <w:t>答复</w:t>
            </w:r>
            <w:r>
              <w:t>：就全球半导体硅片行业，受AI应用拓展，硅片需求将持续增加，2025年走出下行周期，12英寸硅片市场持续扩容，对市场持乐观态度；就国内半导体硅片行业，基于国产化替代进一步加速需求，给高端国产化替代及产品差异化竞争带来更大机会。</w:t>
            </w:r>
          </w:p>
          <w:p w14:paraId="268C01B3">
            <w:pPr>
              <w:widowControl/>
              <w:ind w:firstLine="480"/>
            </w:pPr>
            <w:r>
              <w:t>上海合晶发展策略之一：国际客户是基本盘，高端国产化替代是新的增长点。部分国际客户已达成涨价协议，但与国际大厂合作通常签订长期供货协议，价格传导存在滞后</w:t>
            </w:r>
            <w:bookmarkStart w:id="0" w:name="_GoBack"/>
            <w:r>
              <w:rPr>
                <w:color w:val="auto"/>
              </w:rPr>
              <w:t>性。</w:t>
            </w:r>
            <w:bookmarkEnd w:id="0"/>
            <w:r>
              <w:rPr>
                <w:color w:val="auto"/>
              </w:rPr>
              <w:t>另一</w:t>
            </w:r>
            <w:r>
              <w:t>方面，上海合晶进行高端国产化替代，通过产品差异化竞争优化产品组合来获得更好的利润。</w:t>
            </w:r>
          </w:p>
          <w:p w14:paraId="5A610A9E">
            <w:pPr>
              <w:widowControl/>
              <w:ind w:firstLine="482"/>
              <w:jc w:val="left"/>
              <w:rPr>
                <w:b/>
                <w:bCs/>
              </w:rPr>
            </w:pPr>
            <w:r>
              <w:rPr>
                <w:rFonts w:hint="eastAsia"/>
                <w:b/>
                <w:bCs/>
              </w:rPr>
              <w:t>问题2：</w:t>
            </w:r>
            <w:r>
              <w:rPr>
                <w:b/>
                <w:bCs/>
              </w:rPr>
              <w:t>公司在功率器件领域，重点开展AI导向及数据中心用功率器件所需外延片</w:t>
            </w:r>
            <w:r>
              <w:rPr>
                <w:rFonts w:hint="eastAsia"/>
                <w:b/>
                <w:bCs/>
              </w:rPr>
              <w:t>，</w:t>
            </w:r>
            <w:r>
              <w:rPr>
                <w:b/>
                <w:bCs/>
              </w:rPr>
              <w:t>当前的进展如何？</w:t>
            </w:r>
          </w:p>
          <w:p w14:paraId="116237BD">
            <w:pPr>
              <w:widowControl/>
              <w:ind w:firstLine="482"/>
            </w:pPr>
            <w:r>
              <w:rPr>
                <w:b/>
                <w:bCs/>
              </w:rPr>
              <w:t>答复：</w:t>
            </w:r>
            <w:r>
              <w:t>当前功率器件领域，AI导向及数据中心用功率器件为增长最快的赛道。AI</w:t>
            </w:r>
            <w:r>
              <w:rPr>
                <w:rFonts w:hint="eastAsia"/>
              </w:rPr>
              <w:t>导向</w:t>
            </w:r>
            <w:r>
              <w:t>及数据中心用功率器件需满足高稳定性、低电压高电流的要求，所需</w:t>
            </w:r>
            <w:r>
              <w:rPr>
                <w:rFonts w:hint="eastAsia"/>
              </w:rPr>
              <w:t>外延片的技术对应超低阻的衬底外延及掺砷外延，恰好匹配上海合晶多年的技术积累。</w:t>
            </w:r>
          </w:p>
          <w:p w14:paraId="493ECA0D">
            <w:pPr>
              <w:widowControl/>
              <w:ind w:firstLine="480"/>
            </w:pPr>
            <w:r>
              <w:rPr>
                <w:rFonts w:hint="eastAsia"/>
              </w:rPr>
              <w:t>目前重点客户的相关产品订单已排至今年年底，当前正通过工序调整、产品结构优化匹配相关产能。</w:t>
            </w:r>
          </w:p>
          <w:p w14:paraId="65397EAE">
            <w:pPr>
              <w:widowControl/>
              <w:ind w:firstLine="482"/>
              <w:jc w:val="left"/>
              <w:rPr>
                <w:b/>
                <w:bCs/>
              </w:rPr>
            </w:pPr>
            <w:r>
              <w:rPr>
                <w:rFonts w:hint="eastAsia"/>
                <w:b/>
                <w:bCs/>
              </w:rPr>
              <w:t>问题3：郑州合晶二期的项目进展如何？</w:t>
            </w:r>
          </w:p>
          <w:p w14:paraId="02F87867">
            <w:pPr>
              <w:widowControl/>
              <w:ind w:firstLine="482"/>
            </w:pPr>
            <w:r>
              <w:rPr>
                <w:rFonts w:hint="eastAsia"/>
                <w:b/>
                <w:bCs/>
              </w:rPr>
              <w:t>答复：</w:t>
            </w:r>
            <w:r>
              <w:rPr>
                <w:rFonts w:hint="eastAsia"/>
              </w:rPr>
              <w:t>郑州合晶二期12英寸半导体硅片扩产项目稳步推进，规划新增外延片产能72万片/年。项目达产后，公司12英寸外延总产能将提升至120万片/年。郑州合晶二期项目聚焦CIS图像传感器、逻辑芯片等高端应用，个别关键客户已验证通过，进入量产阶段。</w:t>
            </w:r>
          </w:p>
          <w:p w14:paraId="6EC68E4B">
            <w:pPr>
              <w:widowControl/>
              <w:ind w:firstLine="480"/>
            </w:pPr>
            <w:r>
              <w:rPr>
                <w:rFonts w:hint="eastAsia"/>
              </w:rPr>
              <w:t>12英寸CIS外延片产品是</w:t>
            </w:r>
            <w:r>
              <w:t>公司未来中长期营收增长的核心，产品标准化程度高，一旦认证通过将带来大规模的稳定订单需求。</w:t>
            </w:r>
            <w:r>
              <w:rPr>
                <w:rFonts w:hint="eastAsia"/>
              </w:rPr>
              <w:t>同时，郑州合晶二期将和SOI合资公司河南芯晶相互协作，结合SOI</w:t>
            </w:r>
            <w:r>
              <w:t>推动CIS产品向高端化升级，通过全流程的协同</w:t>
            </w:r>
            <w:r>
              <w:rPr>
                <w:rFonts w:hint="eastAsia"/>
              </w:rPr>
              <w:t>及叠加</w:t>
            </w:r>
            <w:r>
              <w:t>效应，实现高端产品的低成本化。</w:t>
            </w:r>
          </w:p>
          <w:p w14:paraId="65CB6BBA">
            <w:pPr>
              <w:widowControl/>
              <w:ind w:firstLine="482"/>
              <w:jc w:val="left"/>
              <w:rPr>
                <w:b/>
                <w:bCs/>
              </w:rPr>
            </w:pPr>
            <w:r>
              <w:rPr>
                <w:b/>
                <w:bCs/>
              </w:rPr>
              <w:t>问题</w:t>
            </w:r>
            <w:r>
              <w:rPr>
                <w:rFonts w:hint="eastAsia"/>
                <w:b/>
                <w:bCs/>
              </w:rPr>
              <w:t>4</w:t>
            </w:r>
            <w:r>
              <w:rPr>
                <w:b/>
                <w:bCs/>
              </w:rPr>
              <w:t>：</w:t>
            </w:r>
            <w:r>
              <w:rPr>
                <w:rFonts w:hint="eastAsia"/>
                <w:b/>
                <w:bCs/>
              </w:rPr>
              <w:t>本次合资设立的河南芯晶</w:t>
            </w:r>
            <w:r>
              <w:rPr>
                <w:b/>
                <w:bCs/>
              </w:rPr>
              <w:t>布局的SOI产品类型和相关应用</w:t>
            </w:r>
            <w:r>
              <w:rPr>
                <w:rFonts w:hint="eastAsia"/>
                <w:b/>
                <w:bCs/>
              </w:rPr>
              <w:t>有哪些？</w:t>
            </w:r>
          </w:p>
          <w:p w14:paraId="071CD574">
            <w:pPr>
              <w:widowControl/>
              <w:ind w:firstLine="482"/>
            </w:pPr>
            <w:r>
              <w:rPr>
                <w:b/>
                <w:bCs/>
              </w:rPr>
              <w:t>答复：</w:t>
            </w:r>
            <w:r>
              <w:rPr>
                <w:rFonts w:hint="eastAsia"/>
              </w:rPr>
              <w:t>河南芯晶SOI</w:t>
            </w:r>
            <w:r>
              <w:t>项目</w:t>
            </w:r>
            <w:r>
              <w:rPr>
                <w:rFonts w:hint="eastAsia"/>
              </w:rPr>
              <w:t>的</w:t>
            </w:r>
            <w:r>
              <w:t>建厂周期为18-24个月，核心团队已全部进驻，当前正处于前期建设与筹备阶段</w:t>
            </w:r>
            <w:r>
              <w:rPr>
                <w:rFonts w:hint="eastAsia"/>
              </w:rPr>
              <w:t>。</w:t>
            </w:r>
          </w:p>
          <w:p w14:paraId="435515FE">
            <w:pPr>
              <w:widowControl/>
              <w:ind w:firstLine="480"/>
            </w:pPr>
            <w:r>
              <w:t>区别于传统6英寸/8英寸SOI多用于功率器件的定位，合资公司的12英寸SOI项目（兼容8英寸）主要切入高端应用场景。布局的SOI产品类型包括FD-SOI</w:t>
            </w:r>
            <w:r>
              <w:rPr>
                <w:rFonts w:hint="eastAsia"/>
              </w:rPr>
              <w:t>、</w:t>
            </w:r>
            <w:r>
              <w:t>RF-SOI</w:t>
            </w:r>
            <w:r>
              <w:rPr>
                <w:rFonts w:hint="eastAsia"/>
              </w:rPr>
              <w:t>、</w:t>
            </w:r>
            <w:r>
              <w:t>Photonics-SOI</w:t>
            </w:r>
            <w:r>
              <w:rPr>
                <w:rFonts w:hint="eastAsia"/>
              </w:rPr>
              <w:t>、</w:t>
            </w:r>
            <w:r>
              <w:t>Power-SOI和MEMS-SOI。半导体产业发展，主要包含智能运算、功率通讯、智能感测三个主轴，当中SOI作为关键材料，用于制造AI导向逻辑器件、通讯器件、功率器件、影像感测器件、硅光子器件，及各类器件系统整合。</w:t>
            </w:r>
          </w:p>
          <w:p w14:paraId="3EA44E5B">
            <w:pPr>
              <w:widowControl/>
              <w:ind w:firstLine="480"/>
            </w:pPr>
            <w:r>
              <w:t>FD-SOI用于AI云端运算和边缘运算及智能影像</w:t>
            </w:r>
            <w:r>
              <w:rPr>
                <w:rFonts w:hint="eastAsia"/>
              </w:rPr>
              <w:t>；</w:t>
            </w:r>
            <w:r>
              <w:t>RF-SOI用于高频通讯</w:t>
            </w:r>
            <w:r>
              <w:rPr>
                <w:rFonts w:hint="eastAsia"/>
              </w:rPr>
              <w:t>；</w:t>
            </w:r>
            <w:r>
              <w:t>Photonics-SOI则着重在硅光子的应用领域，在AI导向的高效运算所需的先进封装方面具有高度发展潜力</w:t>
            </w:r>
            <w:r>
              <w:rPr>
                <w:rFonts w:hint="eastAsia"/>
              </w:rPr>
              <w:t>；</w:t>
            </w:r>
            <w:r>
              <w:t>Power-SOI用于工业、智能车、数据中心等功率系统</w:t>
            </w:r>
            <w:r>
              <w:rPr>
                <w:rFonts w:hint="eastAsia"/>
              </w:rPr>
              <w:t>；</w:t>
            </w:r>
            <w:r>
              <w:t>MEMS-SOI主要用于智能载具的定位定向等感测系统。SOI材料凭借独特的绝缘埋层结构，具备低功耗、低噪声、抗干扰和异质整合等显著优势，成为这些应用不可或缺的关键晶片。</w:t>
            </w:r>
          </w:p>
          <w:p w14:paraId="35B961CE">
            <w:pPr>
              <w:widowControl/>
              <w:ind w:firstLine="482"/>
              <w:jc w:val="left"/>
              <w:rPr>
                <w:b/>
                <w:bCs/>
              </w:rPr>
            </w:pPr>
            <w:r>
              <w:rPr>
                <w:rFonts w:hint="eastAsia"/>
                <w:b/>
                <w:bCs/>
              </w:rPr>
              <w:t>问题5：SOI产品的市场规模如何？</w:t>
            </w:r>
          </w:p>
          <w:p w14:paraId="2A822664">
            <w:pPr>
              <w:widowControl/>
              <w:ind w:firstLine="482"/>
            </w:pPr>
            <w:r>
              <w:rPr>
                <w:rFonts w:hint="eastAsia"/>
                <w:b/>
                <w:bCs/>
              </w:rPr>
              <w:t>答复：</w:t>
            </w:r>
            <w:r>
              <w:rPr>
                <w:rFonts w:hint="eastAsia"/>
              </w:rPr>
              <w:t>根据行业报告，2018年-2028年，全球SOI市场规模从11亿美元增长到35亿美元，2018年-2025年CAGR在10%左右，2025-2028年CAGR在18%左右。其中，12寸SOI的市场份额已占半数以上且持续上升，是未来的主流。</w:t>
            </w:r>
            <w:r>
              <w:t>Photonics-SOI</w:t>
            </w:r>
            <w:r>
              <w:rPr>
                <w:rFonts w:hint="eastAsia"/>
              </w:rPr>
              <w:t>增速最快，根据市场报告预测，未来5年的复合增长率在29%左右。</w:t>
            </w:r>
          </w:p>
        </w:tc>
      </w:tr>
      <w:tr w14:paraId="18CD1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2" w:hRule="atLeast"/>
          <w:jc w:val="center"/>
        </w:trPr>
        <w:tc>
          <w:tcPr>
            <w:tcW w:w="1866" w:type="dxa"/>
            <w:tcBorders>
              <w:top w:val="single" w:color="auto" w:sz="4" w:space="0"/>
              <w:left w:val="single" w:color="auto" w:sz="4" w:space="0"/>
              <w:bottom w:val="single" w:color="auto" w:sz="4" w:space="0"/>
              <w:right w:val="single" w:color="auto" w:sz="4" w:space="0"/>
            </w:tcBorders>
            <w:shd w:val="clear" w:color="auto" w:fill="auto"/>
            <w:vAlign w:val="center"/>
          </w:tcPr>
          <w:p w14:paraId="11398DF9">
            <w:pPr>
              <w:ind w:firstLine="0" w:firstLineChars="0"/>
              <w:jc w:val="center"/>
              <w:rPr>
                <w:bCs/>
                <w:iCs/>
                <w:color w:val="000000"/>
              </w:rPr>
            </w:pPr>
            <w:r>
              <w:rPr>
                <w:bCs/>
                <w:iCs/>
                <w:color w:val="000000"/>
              </w:rPr>
              <w:t>关于本次活动是否涉及应当披露重大信息的说明</w:t>
            </w:r>
          </w:p>
        </w:tc>
        <w:tc>
          <w:tcPr>
            <w:tcW w:w="6436" w:type="dxa"/>
            <w:tcBorders>
              <w:top w:val="single" w:color="auto" w:sz="4" w:space="0"/>
              <w:left w:val="single" w:color="auto" w:sz="4" w:space="0"/>
              <w:bottom w:val="single" w:color="auto" w:sz="4" w:space="0"/>
              <w:right w:val="single" w:color="auto" w:sz="4" w:space="0"/>
            </w:tcBorders>
            <w:shd w:val="clear" w:color="auto" w:fill="auto"/>
            <w:vAlign w:val="center"/>
          </w:tcPr>
          <w:p w14:paraId="5CCBB4F9">
            <w:pPr>
              <w:ind w:firstLine="0" w:firstLineChars="0"/>
              <w:jc w:val="left"/>
              <w:rPr>
                <w:bCs/>
                <w:iCs/>
                <w:color w:val="000000"/>
              </w:rPr>
            </w:pPr>
            <w:r>
              <w:rPr>
                <w:bCs/>
                <w:iCs/>
                <w:color w:val="000000"/>
              </w:rPr>
              <w:t>不涉及。</w:t>
            </w:r>
          </w:p>
        </w:tc>
      </w:tr>
      <w:tr w14:paraId="2EEC0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866" w:type="dxa"/>
            <w:tcBorders>
              <w:top w:val="single" w:color="auto" w:sz="4" w:space="0"/>
              <w:left w:val="single" w:color="auto" w:sz="4" w:space="0"/>
              <w:bottom w:val="single" w:color="auto" w:sz="4" w:space="0"/>
              <w:right w:val="single" w:color="auto" w:sz="4" w:space="0"/>
            </w:tcBorders>
            <w:shd w:val="clear" w:color="auto" w:fill="auto"/>
            <w:vAlign w:val="center"/>
          </w:tcPr>
          <w:p w14:paraId="5121E87B">
            <w:pPr>
              <w:ind w:firstLine="0" w:firstLineChars="0"/>
              <w:jc w:val="center"/>
              <w:rPr>
                <w:bCs/>
                <w:iCs/>
                <w:color w:val="000000"/>
              </w:rPr>
            </w:pPr>
            <w:r>
              <w:rPr>
                <w:bCs/>
                <w:iCs/>
                <w:color w:val="000000"/>
              </w:rPr>
              <w:t>附件清单（如有）</w:t>
            </w:r>
          </w:p>
        </w:tc>
        <w:tc>
          <w:tcPr>
            <w:tcW w:w="6436" w:type="dxa"/>
            <w:tcBorders>
              <w:top w:val="single" w:color="auto" w:sz="4" w:space="0"/>
              <w:left w:val="single" w:color="auto" w:sz="4" w:space="0"/>
              <w:bottom w:val="single" w:color="auto" w:sz="4" w:space="0"/>
              <w:right w:val="single" w:color="auto" w:sz="4" w:space="0"/>
            </w:tcBorders>
            <w:shd w:val="clear" w:color="auto" w:fill="auto"/>
            <w:vAlign w:val="center"/>
          </w:tcPr>
          <w:p w14:paraId="6E3F6548">
            <w:pPr>
              <w:ind w:firstLine="0" w:firstLineChars="0"/>
              <w:jc w:val="left"/>
              <w:rPr>
                <w:bCs/>
                <w:iCs/>
                <w:color w:val="000000"/>
              </w:rPr>
            </w:pPr>
          </w:p>
        </w:tc>
      </w:tr>
    </w:tbl>
    <w:p w14:paraId="263E864F">
      <w:pPr>
        <w:tabs>
          <w:tab w:val="left" w:pos="2151"/>
        </w:tabs>
        <w:ind w:firstLine="0" w:firstLineChars="0"/>
        <w:jc w:val="left"/>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37" w:footer="680"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6" w:usb3="00000000" w:csb0="00040001" w:csb1="00000000"/>
  </w:font>
  <w:font w:name="楷体">
    <w:panose1 w:val="02010609060101010101"/>
    <w:charset w:val="86"/>
    <w:family w:val="auto"/>
    <w:pitch w:val="default"/>
    <w:sig w:usb0="800002BF" w:usb1="38CF7CFA" w:usb2="00000016" w:usb3="00000000" w:csb0="00040001" w:csb1="00000000"/>
  </w:font>
  <w:font w:name="ArialUnicodeMS,Bold">
    <w:altName w:val="等线"/>
    <w:panose1 w:val="00000000000000000000"/>
    <w:charset w:val="86"/>
    <w:family w:val="auto"/>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MS Gothic">
    <w:panose1 w:val="020B0609070205080204"/>
    <w:charset w:val="80"/>
    <w:family w:val="modern"/>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40C03">
    <w:pPr>
      <w:pStyle w:val="8"/>
      <w:ind w:firstLine="0" w:firstLineChars="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C6AA38">
    <w:pPr>
      <w:pStyle w:val="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F8F118">
    <w:pPr>
      <w:pStyle w:val="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5761F">
    <w:pPr>
      <w:pStyle w:val="9"/>
      <w:pBdr>
        <w:top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81560">
    <w:pPr>
      <w:pStyle w:val="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77156">
    <w:pPr>
      <w:pStyle w:val="9"/>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5A28CC"/>
    <w:multiLevelType w:val="singleLevel"/>
    <w:tmpl w:val="B65A28CC"/>
    <w:lvl w:ilvl="0" w:tentative="0">
      <w:start w:val="1"/>
      <w:numFmt w:val="chineseCounting"/>
      <w:suff w:val="nothing"/>
      <w:lvlText w:val="%1、"/>
      <w:lvlJc w:val="left"/>
      <w:rPr>
        <w:rFonts w:hint="eastAsia"/>
      </w:rPr>
    </w:lvl>
  </w:abstractNum>
  <w:abstractNum w:abstractNumId="1">
    <w:nsid w:val="29EC7227"/>
    <w:multiLevelType w:val="multilevel"/>
    <w:tmpl w:val="29EC7227"/>
    <w:lvl w:ilvl="0" w:tentative="0">
      <w:start w:val="1"/>
      <w:numFmt w:val="chineseCountingThousand"/>
      <w:pStyle w:val="19"/>
      <w:lvlText w:val="%1、"/>
      <w:lvlJc w:val="left"/>
      <w:pPr>
        <w:ind w:left="420" w:hanging="420"/>
      </w:pPr>
      <w:rPr>
        <w:rFonts w:hint="eastAsia" w:ascii="黑体" w:hAnsi="黑体" w:eastAsia="黑体"/>
        <w:b/>
        <w:i w:val="0"/>
        <w:sz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353156D7"/>
    <w:multiLevelType w:val="multilevel"/>
    <w:tmpl w:val="353156D7"/>
    <w:lvl w:ilvl="0" w:tentative="0">
      <w:start w:val="1"/>
      <w:numFmt w:val="decimal"/>
      <w:pStyle w:val="24"/>
      <w:lvlText w:val="%1、"/>
      <w:lvlJc w:val="left"/>
      <w:pPr>
        <w:ind w:left="420" w:hanging="420"/>
      </w:pPr>
      <w:rPr>
        <w:rFonts w:hint="eastAsia" w:ascii="楷体_GB2312" w:hAnsi="黑体" w:eastAsia="楷体_GB2312"/>
        <w:b/>
        <w:i w:val="0"/>
        <w:sz w:val="28"/>
      </w:rPr>
    </w:lvl>
    <w:lvl w:ilvl="1" w:tentative="0">
      <w:start w:val="1"/>
      <w:numFmt w:val="lowerLetter"/>
      <w:lvlText w:val="%2)"/>
      <w:lvlJc w:val="left"/>
      <w:pPr>
        <w:ind w:left="1402" w:hanging="420"/>
      </w:pPr>
    </w:lvl>
    <w:lvl w:ilvl="2" w:tentative="0">
      <w:start w:val="1"/>
      <w:numFmt w:val="lowerRoman"/>
      <w:lvlText w:val="%3."/>
      <w:lvlJc w:val="right"/>
      <w:pPr>
        <w:ind w:left="1822" w:hanging="420"/>
      </w:pPr>
    </w:lvl>
    <w:lvl w:ilvl="3" w:tentative="0">
      <w:start w:val="1"/>
      <w:numFmt w:val="decimal"/>
      <w:lvlText w:val="%4."/>
      <w:lvlJc w:val="left"/>
      <w:pPr>
        <w:ind w:left="2242" w:hanging="420"/>
      </w:pPr>
    </w:lvl>
    <w:lvl w:ilvl="4" w:tentative="0">
      <w:start w:val="1"/>
      <w:numFmt w:val="lowerLetter"/>
      <w:lvlText w:val="%5)"/>
      <w:lvlJc w:val="left"/>
      <w:pPr>
        <w:ind w:left="2662" w:hanging="420"/>
      </w:pPr>
    </w:lvl>
    <w:lvl w:ilvl="5" w:tentative="0">
      <w:start w:val="1"/>
      <w:numFmt w:val="lowerRoman"/>
      <w:lvlText w:val="%6."/>
      <w:lvlJc w:val="right"/>
      <w:pPr>
        <w:ind w:left="3082" w:hanging="420"/>
      </w:pPr>
    </w:lvl>
    <w:lvl w:ilvl="6" w:tentative="0">
      <w:start w:val="1"/>
      <w:numFmt w:val="decimal"/>
      <w:lvlText w:val="%7."/>
      <w:lvlJc w:val="left"/>
      <w:pPr>
        <w:ind w:left="3502" w:hanging="420"/>
      </w:pPr>
    </w:lvl>
    <w:lvl w:ilvl="7" w:tentative="0">
      <w:start w:val="1"/>
      <w:numFmt w:val="lowerLetter"/>
      <w:lvlText w:val="%8)"/>
      <w:lvlJc w:val="left"/>
      <w:pPr>
        <w:ind w:left="3922" w:hanging="420"/>
      </w:pPr>
    </w:lvl>
    <w:lvl w:ilvl="8" w:tentative="0">
      <w:start w:val="1"/>
      <w:numFmt w:val="lowerRoman"/>
      <w:lvlText w:val="%9."/>
      <w:lvlJc w:val="right"/>
      <w:pPr>
        <w:ind w:left="4342" w:hanging="420"/>
      </w:pPr>
    </w:lvl>
  </w:abstractNum>
  <w:abstractNum w:abstractNumId="3">
    <w:nsid w:val="44535CB5"/>
    <w:multiLevelType w:val="singleLevel"/>
    <w:tmpl w:val="44535CB5"/>
    <w:lvl w:ilvl="0" w:tentative="0">
      <w:start w:val="4"/>
      <w:numFmt w:val="decimal"/>
      <w:suff w:val="nothing"/>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36FFD"/>
    <w:rsid w:val="000C3419"/>
    <w:rsid w:val="000C4589"/>
    <w:rsid w:val="000C79A1"/>
    <w:rsid w:val="000D3F69"/>
    <w:rsid w:val="0010400F"/>
    <w:rsid w:val="00106913"/>
    <w:rsid w:val="001257BD"/>
    <w:rsid w:val="001509A2"/>
    <w:rsid w:val="0016371B"/>
    <w:rsid w:val="00172A27"/>
    <w:rsid w:val="00174460"/>
    <w:rsid w:val="001C67C2"/>
    <w:rsid w:val="001E6EB8"/>
    <w:rsid w:val="0021539C"/>
    <w:rsid w:val="00256BB4"/>
    <w:rsid w:val="00282F34"/>
    <w:rsid w:val="002B53D2"/>
    <w:rsid w:val="002C05FE"/>
    <w:rsid w:val="002C0B51"/>
    <w:rsid w:val="002C41DD"/>
    <w:rsid w:val="002F390C"/>
    <w:rsid w:val="002F68C4"/>
    <w:rsid w:val="00317D4B"/>
    <w:rsid w:val="0032520A"/>
    <w:rsid w:val="00344A35"/>
    <w:rsid w:val="003517B4"/>
    <w:rsid w:val="00356A06"/>
    <w:rsid w:val="003651F3"/>
    <w:rsid w:val="00374FEC"/>
    <w:rsid w:val="00381F51"/>
    <w:rsid w:val="00396C6E"/>
    <w:rsid w:val="003A73CF"/>
    <w:rsid w:val="003B2E6D"/>
    <w:rsid w:val="003B4CB4"/>
    <w:rsid w:val="003C1B41"/>
    <w:rsid w:val="003D3177"/>
    <w:rsid w:val="003F46C3"/>
    <w:rsid w:val="004006B3"/>
    <w:rsid w:val="0040411D"/>
    <w:rsid w:val="004134D2"/>
    <w:rsid w:val="004959D2"/>
    <w:rsid w:val="00496223"/>
    <w:rsid w:val="004973ED"/>
    <w:rsid w:val="004C77AD"/>
    <w:rsid w:val="004D1922"/>
    <w:rsid w:val="004D3B91"/>
    <w:rsid w:val="004D473C"/>
    <w:rsid w:val="00503C16"/>
    <w:rsid w:val="005162E4"/>
    <w:rsid w:val="005325EC"/>
    <w:rsid w:val="005370BD"/>
    <w:rsid w:val="00562841"/>
    <w:rsid w:val="00567232"/>
    <w:rsid w:val="0057701E"/>
    <w:rsid w:val="005E4691"/>
    <w:rsid w:val="005E6301"/>
    <w:rsid w:val="00606C9E"/>
    <w:rsid w:val="0061361B"/>
    <w:rsid w:val="006171EF"/>
    <w:rsid w:val="00650390"/>
    <w:rsid w:val="00650847"/>
    <w:rsid w:val="00660B39"/>
    <w:rsid w:val="00670FF1"/>
    <w:rsid w:val="006726A2"/>
    <w:rsid w:val="006735A3"/>
    <w:rsid w:val="00683039"/>
    <w:rsid w:val="006D3645"/>
    <w:rsid w:val="00717131"/>
    <w:rsid w:val="00733FA5"/>
    <w:rsid w:val="00734C80"/>
    <w:rsid w:val="007417F7"/>
    <w:rsid w:val="00755394"/>
    <w:rsid w:val="00772E92"/>
    <w:rsid w:val="00774C9A"/>
    <w:rsid w:val="0079707D"/>
    <w:rsid w:val="00825D81"/>
    <w:rsid w:val="00830F42"/>
    <w:rsid w:val="00845C55"/>
    <w:rsid w:val="00860E1C"/>
    <w:rsid w:val="00875B1D"/>
    <w:rsid w:val="00896D77"/>
    <w:rsid w:val="008B704C"/>
    <w:rsid w:val="008D6CD3"/>
    <w:rsid w:val="008E2435"/>
    <w:rsid w:val="008F6373"/>
    <w:rsid w:val="00901059"/>
    <w:rsid w:val="009102E6"/>
    <w:rsid w:val="00910710"/>
    <w:rsid w:val="00947357"/>
    <w:rsid w:val="009A72E4"/>
    <w:rsid w:val="009F5FB0"/>
    <w:rsid w:val="00A40371"/>
    <w:rsid w:val="00A448F9"/>
    <w:rsid w:val="00A45133"/>
    <w:rsid w:val="00A6153D"/>
    <w:rsid w:val="00A763B8"/>
    <w:rsid w:val="00A93CAD"/>
    <w:rsid w:val="00AA1BA7"/>
    <w:rsid w:val="00AC0EC1"/>
    <w:rsid w:val="00AD6420"/>
    <w:rsid w:val="00AF261D"/>
    <w:rsid w:val="00B008A7"/>
    <w:rsid w:val="00B22358"/>
    <w:rsid w:val="00B4309F"/>
    <w:rsid w:val="00B50AC6"/>
    <w:rsid w:val="00B73039"/>
    <w:rsid w:val="00B915B6"/>
    <w:rsid w:val="00B97074"/>
    <w:rsid w:val="00BB73A6"/>
    <w:rsid w:val="00BE0F12"/>
    <w:rsid w:val="00C0569E"/>
    <w:rsid w:val="00C20A31"/>
    <w:rsid w:val="00C40164"/>
    <w:rsid w:val="00C47D91"/>
    <w:rsid w:val="00C74EA8"/>
    <w:rsid w:val="00C83546"/>
    <w:rsid w:val="00CC3A33"/>
    <w:rsid w:val="00CD6C03"/>
    <w:rsid w:val="00CE38DB"/>
    <w:rsid w:val="00D14A0F"/>
    <w:rsid w:val="00D374BC"/>
    <w:rsid w:val="00D43AD2"/>
    <w:rsid w:val="00D46F26"/>
    <w:rsid w:val="00D57E15"/>
    <w:rsid w:val="00D806A3"/>
    <w:rsid w:val="00D85E5F"/>
    <w:rsid w:val="00D94E70"/>
    <w:rsid w:val="00DB3B76"/>
    <w:rsid w:val="00DB609C"/>
    <w:rsid w:val="00DD6239"/>
    <w:rsid w:val="00DD7215"/>
    <w:rsid w:val="00DE05CA"/>
    <w:rsid w:val="00DE6BDD"/>
    <w:rsid w:val="00DF409A"/>
    <w:rsid w:val="00E4567B"/>
    <w:rsid w:val="00E60BF2"/>
    <w:rsid w:val="00E66802"/>
    <w:rsid w:val="00E72DD9"/>
    <w:rsid w:val="00E772CF"/>
    <w:rsid w:val="00E82FA2"/>
    <w:rsid w:val="00E948B4"/>
    <w:rsid w:val="00E962A9"/>
    <w:rsid w:val="00EA18E6"/>
    <w:rsid w:val="00EC472F"/>
    <w:rsid w:val="00ED1CE3"/>
    <w:rsid w:val="00ED3EE7"/>
    <w:rsid w:val="00ED46DC"/>
    <w:rsid w:val="00EE2EBB"/>
    <w:rsid w:val="00F25A1B"/>
    <w:rsid w:val="00F26D6B"/>
    <w:rsid w:val="00F44F2E"/>
    <w:rsid w:val="00F65812"/>
    <w:rsid w:val="00FA03A0"/>
    <w:rsid w:val="00FB0F7B"/>
    <w:rsid w:val="00FC2163"/>
    <w:rsid w:val="03A4285C"/>
    <w:rsid w:val="03AD2702"/>
    <w:rsid w:val="0475016D"/>
    <w:rsid w:val="049C1B9D"/>
    <w:rsid w:val="055F77F4"/>
    <w:rsid w:val="05947980"/>
    <w:rsid w:val="05E95813"/>
    <w:rsid w:val="082A23A3"/>
    <w:rsid w:val="09234332"/>
    <w:rsid w:val="0C3425FF"/>
    <w:rsid w:val="0CE9794A"/>
    <w:rsid w:val="0FBB221A"/>
    <w:rsid w:val="13166FBF"/>
    <w:rsid w:val="133D454B"/>
    <w:rsid w:val="15931220"/>
    <w:rsid w:val="15F53D3A"/>
    <w:rsid w:val="16475DC4"/>
    <w:rsid w:val="165B7DDA"/>
    <w:rsid w:val="18260FFC"/>
    <w:rsid w:val="18E216F1"/>
    <w:rsid w:val="1C1E6EE4"/>
    <w:rsid w:val="1DB34C1F"/>
    <w:rsid w:val="1DCF20A1"/>
    <w:rsid w:val="1DFD3341"/>
    <w:rsid w:val="1E9516DF"/>
    <w:rsid w:val="1EF108E0"/>
    <w:rsid w:val="1F9C4158"/>
    <w:rsid w:val="1FCF6E73"/>
    <w:rsid w:val="1FFF02D0"/>
    <w:rsid w:val="21246D4B"/>
    <w:rsid w:val="21F0441B"/>
    <w:rsid w:val="2288155B"/>
    <w:rsid w:val="23190B5B"/>
    <w:rsid w:val="23732C50"/>
    <w:rsid w:val="238B30B1"/>
    <w:rsid w:val="23963804"/>
    <w:rsid w:val="23E61BBD"/>
    <w:rsid w:val="240D3609"/>
    <w:rsid w:val="25007ACF"/>
    <w:rsid w:val="25203CCD"/>
    <w:rsid w:val="25293712"/>
    <w:rsid w:val="26CF103A"/>
    <w:rsid w:val="27B5694E"/>
    <w:rsid w:val="29E36C2E"/>
    <w:rsid w:val="2B8E1990"/>
    <w:rsid w:val="2BE21CDC"/>
    <w:rsid w:val="2D3C541C"/>
    <w:rsid w:val="2E870AF6"/>
    <w:rsid w:val="2EAB0AAB"/>
    <w:rsid w:val="2FD14541"/>
    <w:rsid w:val="3034062C"/>
    <w:rsid w:val="30542A7D"/>
    <w:rsid w:val="328912A2"/>
    <w:rsid w:val="33727DEA"/>
    <w:rsid w:val="33945FB2"/>
    <w:rsid w:val="34792A3C"/>
    <w:rsid w:val="35305866"/>
    <w:rsid w:val="35FC6A17"/>
    <w:rsid w:val="36A71B58"/>
    <w:rsid w:val="36A858D0"/>
    <w:rsid w:val="37BC724A"/>
    <w:rsid w:val="38806B05"/>
    <w:rsid w:val="3C221C81"/>
    <w:rsid w:val="3C37397E"/>
    <w:rsid w:val="3C830972"/>
    <w:rsid w:val="3E3514CB"/>
    <w:rsid w:val="3E5527E2"/>
    <w:rsid w:val="3EF96273"/>
    <w:rsid w:val="42B21FB1"/>
    <w:rsid w:val="43315E48"/>
    <w:rsid w:val="445E033A"/>
    <w:rsid w:val="44670B79"/>
    <w:rsid w:val="449B0822"/>
    <w:rsid w:val="469B51A2"/>
    <w:rsid w:val="47EB386F"/>
    <w:rsid w:val="47FE0E85"/>
    <w:rsid w:val="486F624E"/>
    <w:rsid w:val="4A050C18"/>
    <w:rsid w:val="4C0F1190"/>
    <w:rsid w:val="4D3D4B6D"/>
    <w:rsid w:val="4EAF55F6"/>
    <w:rsid w:val="4EB42C0C"/>
    <w:rsid w:val="4FEB2860"/>
    <w:rsid w:val="502F7886"/>
    <w:rsid w:val="5058707D"/>
    <w:rsid w:val="50852AB2"/>
    <w:rsid w:val="511D0F3D"/>
    <w:rsid w:val="516011BA"/>
    <w:rsid w:val="52A96E42"/>
    <w:rsid w:val="52EC3F1D"/>
    <w:rsid w:val="53557E16"/>
    <w:rsid w:val="536F35A6"/>
    <w:rsid w:val="54BC0FA6"/>
    <w:rsid w:val="54C811C0"/>
    <w:rsid w:val="54D67D81"/>
    <w:rsid w:val="55110DB9"/>
    <w:rsid w:val="55651EA5"/>
    <w:rsid w:val="56471F62"/>
    <w:rsid w:val="56AE34FD"/>
    <w:rsid w:val="571526B6"/>
    <w:rsid w:val="573C40E7"/>
    <w:rsid w:val="58CC7179"/>
    <w:rsid w:val="5A2A0227"/>
    <w:rsid w:val="5AF34ABD"/>
    <w:rsid w:val="5B7C71A8"/>
    <w:rsid w:val="5BE34B31"/>
    <w:rsid w:val="5E0F46F7"/>
    <w:rsid w:val="5EF41C52"/>
    <w:rsid w:val="60455DBA"/>
    <w:rsid w:val="63002FC0"/>
    <w:rsid w:val="642108EC"/>
    <w:rsid w:val="64432611"/>
    <w:rsid w:val="655A23C0"/>
    <w:rsid w:val="660364FC"/>
    <w:rsid w:val="66707E9F"/>
    <w:rsid w:val="6A344D47"/>
    <w:rsid w:val="6C6E0447"/>
    <w:rsid w:val="6CAF2850"/>
    <w:rsid w:val="6FEF0E2A"/>
    <w:rsid w:val="71502811"/>
    <w:rsid w:val="72831C00"/>
    <w:rsid w:val="73EF41A9"/>
    <w:rsid w:val="7480340D"/>
    <w:rsid w:val="75243D99"/>
    <w:rsid w:val="7553467E"/>
    <w:rsid w:val="75840CDB"/>
    <w:rsid w:val="77B30459"/>
    <w:rsid w:val="78EF0B61"/>
    <w:rsid w:val="798C2A8F"/>
    <w:rsid w:val="7A966A95"/>
    <w:rsid w:val="7BA93249"/>
    <w:rsid w:val="7BC736D0"/>
    <w:rsid w:val="7CF722B1"/>
    <w:rsid w:val="7CF9D12D"/>
    <w:rsid w:val="7F3D42AF"/>
    <w:rsid w:val="AEFF915A"/>
    <w:rsid w:val="BA473294"/>
    <w:rsid w:val="DFBE22C5"/>
    <w:rsid w:val="FE3A4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link w:val="26"/>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21"/>
    <w:qFormat/>
    <w:uiPriority w:val="0"/>
    <w:pPr>
      <w:keepNext/>
      <w:keepLines/>
      <w:spacing w:before="260" w:after="260" w:line="416" w:lineRule="auto"/>
      <w:outlineLvl w:val="1"/>
    </w:pPr>
    <w:rPr>
      <w:rFonts w:ascii="Arial" w:hAnsi="Arial" w:eastAsia="黑体" w:cstheme="majorBidi"/>
      <w:b/>
      <w:bCs/>
      <w:sz w:val="32"/>
      <w:szCs w:val="32"/>
    </w:rPr>
  </w:style>
  <w:style w:type="paragraph" w:styleId="4">
    <w:name w:val="heading 3"/>
    <w:basedOn w:val="1"/>
    <w:next w:val="1"/>
    <w:link w:val="27"/>
    <w:qFormat/>
    <w:uiPriority w:val="0"/>
    <w:pPr>
      <w:keepNext/>
      <w:keepLines/>
      <w:spacing w:before="260" w:after="260" w:line="416" w:lineRule="auto"/>
      <w:outlineLvl w:val="2"/>
    </w:pPr>
    <w:rPr>
      <w:b/>
      <w:bCs/>
      <w:sz w:val="32"/>
      <w:szCs w:val="32"/>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32"/>
    <w:semiHidden/>
    <w:unhideWhenUsed/>
    <w:qFormat/>
    <w:uiPriority w:val="99"/>
    <w:pPr>
      <w:jc w:val="left"/>
    </w:pPr>
  </w:style>
  <w:style w:type="paragraph" w:styleId="6">
    <w:name w:val="toc 3"/>
    <w:basedOn w:val="1"/>
    <w:next w:val="1"/>
    <w:autoRedefine/>
    <w:qFormat/>
    <w:uiPriority w:val="39"/>
    <w:pPr>
      <w:tabs>
        <w:tab w:val="left" w:pos="1020"/>
        <w:tab w:val="left" w:pos="1680"/>
        <w:tab w:val="right" w:leader="dot" w:pos="8450"/>
      </w:tabs>
      <w:spacing w:line="500" w:lineRule="exact"/>
      <w:ind w:firstLine="480"/>
    </w:pPr>
    <w:rPr>
      <w:rFonts w:eastAsia="楷体_GB2312"/>
    </w:rPr>
  </w:style>
  <w:style w:type="paragraph" w:styleId="7">
    <w:name w:val="Balloon Text"/>
    <w:basedOn w:val="1"/>
    <w:link w:val="34"/>
    <w:semiHidden/>
    <w:unhideWhenUsed/>
    <w:qFormat/>
    <w:uiPriority w:val="99"/>
    <w:pPr>
      <w:spacing w:line="240" w:lineRule="auto"/>
    </w:pPr>
    <w:rPr>
      <w:sz w:val="18"/>
      <w:szCs w:val="18"/>
    </w:rPr>
  </w:style>
  <w:style w:type="paragraph" w:styleId="8">
    <w:name w:val="footer"/>
    <w:basedOn w:val="1"/>
    <w:link w:val="29"/>
    <w:qFormat/>
    <w:uiPriority w:val="0"/>
    <w:pPr>
      <w:tabs>
        <w:tab w:val="center" w:pos="4153"/>
        <w:tab w:val="right" w:pos="8306"/>
      </w:tabs>
      <w:snapToGrid w:val="0"/>
      <w:jc w:val="left"/>
    </w:pPr>
    <w:rPr>
      <w:sz w:val="18"/>
    </w:rPr>
  </w:style>
  <w:style w:type="paragraph" w:styleId="9">
    <w:name w:val="header"/>
    <w:basedOn w:val="1"/>
    <w:link w:val="30"/>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0">
    <w:name w:val="toc 1"/>
    <w:basedOn w:val="1"/>
    <w:next w:val="1"/>
    <w:autoRedefine/>
    <w:qFormat/>
    <w:uiPriority w:val="39"/>
    <w:pPr>
      <w:tabs>
        <w:tab w:val="right" w:leader="dot" w:pos="8450"/>
      </w:tabs>
      <w:jc w:val="right"/>
    </w:pPr>
    <w:rPr>
      <w:rFonts w:ascii="楷体_GB2312" w:eastAsia="楷体_GB2312"/>
      <w:b/>
    </w:rPr>
  </w:style>
  <w:style w:type="paragraph" w:styleId="11">
    <w:name w:val="toc 2"/>
    <w:basedOn w:val="1"/>
    <w:next w:val="1"/>
    <w:autoRedefine/>
    <w:qFormat/>
    <w:uiPriority w:val="39"/>
    <w:pPr>
      <w:tabs>
        <w:tab w:val="right" w:leader="dot" w:pos="8450"/>
      </w:tabs>
      <w:spacing w:line="500" w:lineRule="exact"/>
      <w:ind w:firstLine="480"/>
    </w:pPr>
    <w:rPr>
      <w:rFonts w:ascii="黑体" w:hAnsi="黑体" w:eastAsia="黑体"/>
    </w:rPr>
  </w:style>
  <w:style w:type="paragraph" w:styleId="12">
    <w:name w:val="annotation subject"/>
    <w:basedOn w:val="5"/>
    <w:next w:val="5"/>
    <w:link w:val="33"/>
    <w:semiHidden/>
    <w:unhideWhenUsed/>
    <w:qFormat/>
    <w:uiPriority w:val="99"/>
    <w:rPr>
      <w:b/>
      <w:bCs/>
    </w:rPr>
  </w:style>
  <w:style w:type="character" w:styleId="15">
    <w:name w:val="page number"/>
    <w:basedOn w:val="14"/>
    <w:semiHidden/>
    <w:unhideWhenUsed/>
    <w:qFormat/>
    <w:uiPriority w:val="99"/>
  </w:style>
  <w:style w:type="character" w:styleId="16">
    <w:name w:val="annotation reference"/>
    <w:basedOn w:val="14"/>
    <w:semiHidden/>
    <w:unhideWhenUsed/>
    <w:qFormat/>
    <w:uiPriority w:val="99"/>
    <w:rPr>
      <w:sz w:val="21"/>
      <w:szCs w:val="21"/>
    </w:rPr>
  </w:style>
  <w:style w:type="paragraph" w:customStyle="1" w:styleId="17">
    <w:name w:val="标题一"/>
    <w:basedOn w:val="1"/>
    <w:link w:val="18"/>
    <w:qFormat/>
    <w:uiPriority w:val="0"/>
    <w:pPr>
      <w:autoSpaceDE w:val="0"/>
      <w:autoSpaceDN w:val="0"/>
      <w:adjustRightInd w:val="0"/>
      <w:spacing w:before="312" w:beforeLines="100" w:after="156" w:afterLines="50"/>
      <w:jc w:val="center"/>
    </w:pPr>
    <w:rPr>
      <w:rFonts w:ascii="黑体" w:hAnsi="黑体" w:eastAsia="黑体" w:cs="ArialUnicodeMS,Bold"/>
      <w:b/>
      <w:bCs/>
      <w:kern w:val="0"/>
      <w:sz w:val="30"/>
      <w:szCs w:val="30"/>
    </w:rPr>
  </w:style>
  <w:style w:type="character" w:customStyle="1" w:styleId="18">
    <w:name w:val="标题一 Char"/>
    <w:link w:val="17"/>
    <w:qFormat/>
    <w:uiPriority w:val="0"/>
    <w:rPr>
      <w:rFonts w:ascii="黑体" w:hAnsi="黑体" w:eastAsia="黑体" w:cs="ArialUnicodeMS,Bold"/>
      <w:b/>
      <w:bCs/>
      <w:sz w:val="30"/>
      <w:szCs w:val="30"/>
    </w:rPr>
  </w:style>
  <w:style w:type="paragraph" w:customStyle="1" w:styleId="19">
    <w:name w:val="标题二"/>
    <w:basedOn w:val="3"/>
    <w:link w:val="20"/>
    <w:qFormat/>
    <w:uiPriority w:val="0"/>
    <w:pPr>
      <w:numPr>
        <w:ilvl w:val="0"/>
        <w:numId w:val="1"/>
      </w:numPr>
      <w:tabs>
        <w:tab w:val="left" w:pos="567"/>
      </w:tabs>
      <w:spacing w:before="156" w:beforeLines="50" w:after="156" w:afterLines="50" w:line="240" w:lineRule="auto"/>
    </w:pPr>
    <w:rPr>
      <w:rFonts w:cs="Times New Roman"/>
      <w:sz w:val="28"/>
      <w:szCs w:val="28"/>
      <w:lang w:val="zh-CN"/>
    </w:rPr>
  </w:style>
  <w:style w:type="character" w:customStyle="1" w:styleId="20">
    <w:name w:val="标题二 Char"/>
    <w:link w:val="19"/>
    <w:qFormat/>
    <w:uiPriority w:val="0"/>
    <w:rPr>
      <w:rFonts w:ascii="Arial" w:hAnsi="Arial" w:eastAsia="黑体"/>
      <w:b/>
      <w:bCs/>
      <w:kern w:val="2"/>
      <w:sz w:val="28"/>
      <w:szCs w:val="28"/>
      <w:lang w:val="zh-CN" w:eastAsia="zh-CN"/>
    </w:rPr>
  </w:style>
  <w:style w:type="character" w:customStyle="1" w:styleId="21">
    <w:name w:val="标题 2 Char"/>
    <w:link w:val="3"/>
    <w:qFormat/>
    <w:uiPriority w:val="0"/>
    <w:rPr>
      <w:rFonts w:ascii="Arial" w:hAnsi="Arial" w:eastAsia="黑体" w:cstheme="majorBidi"/>
      <w:b/>
      <w:bCs/>
      <w:kern w:val="2"/>
      <w:sz w:val="32"/>
      <w:szCs w:val="32"/>
    </w:rPr>
  </w:style>
  <w:style w:type="paragraph" w:customStyle="1" w:styleId="22">
    <w:name w:val="标题四"/>
    <w:basedOn w:val="19"/>
    <w:link w:val="23"/>
    <w:qFormat/>
    <w:uiPriority w:val="0"/>
    <w:pPr>
      <w:numPr>
        <w:numId w:val="0"/>
      </w:numPr>
      <w:tabs>
        <w:tab w:val="left" w:pos="851"/>
      </w:tabs>
    </w:pPr>
  </w:style>
  <w:style w:type="character" w:customStyle="1" w:styleId="23">
    <w:name w:val="标题四 Char"/>
    <w:basedOn w:val="20"/>
    <w:link w:val="22"/>
    <w:qFormat/>
    <w:uiPriority w:val="0"/>
    <w:rPr>
      <w:rFonts w:ascii="Arial" w:hAnsi="Arial" w:eastAsia="黑体"/>
      <w:kern w:val="2"/>
      <w:sz w:val="28"/>
      <w:szCs w:val="28"/>
      <w:lang w:val="zh-CN" w:eastAsia="zh-CN"/>
    </w:rPr>
  </w:style>
  <w:style w:type="paragraph" w:customStyle="1" w:styleId="24">
    <w:name w:val="标题三"/>
    <w:basedOn w:val="1"/>
    <w:link w:val="25"/>
    <w:qFormat/>
    <w:uiPriority w:val="0"/>
    <w:pPr>
      <w:numPr>
        <w:ilvl w:val="0"/>
        <w:numId w:val="2"/>
      </w:numPr>
      <w:tabs>
        <w:tab w:val="left" w:pos="993"/>
      </w:tabs>
      <w:autoSpaceDE w:val="0"/>
      <w:autoSpaceDN w:val="0"/>
      <w:adjustRightInd w:val="0"/>
      <w:spacing w:before="156" w:beforeLines="50"/>
    </w:pPr>
    <w:rPr>
      <w:rFonts w:ascii="楷体_GB2312" w:eastAsia="楷体_GB2312"/>
      <w:b/>
      <w:kern w:val="0"/>
      <w:sz w:val="28"/>
      <w:szCs w:val="28"/>
      <w:lang w:val="zh-CN"/>
    </w:rPr>
  </w:style>
  <w:style w:type="character" w:customStyle="1" w:styleId="25">
    <w:name w:val="标题三 Char"/>
    <w:link w:val="24"/>
    <w:qFormat/>
    <w:uiPriority w:val="0"/>
    <w:rPr>
      <w:rFonts w:ascii="楷体_GB2312" w:eastAsia="楷体_GB2312"/>
      <w:b/>
      <w:sz w:val="28"/>
      <w:szCs w:val="28"/>
      <w:lang w:val="zh-CN" w:eastAsia="zh-CN"/>
    </w:rPr>
  </w:style>
  <w:style w:type="character" w:customStyle="1" w:styleId="26">
    <w:name w:val="标题 1 Char"/>
    <w:link w:val="2"/>
    <w:qFormat/>
    <w:uiPriority w:val="0"/>
    <w:rPr>
      <w:b/>
      <w:bCs/>
      <w:kern w:val="44"/>
      <w:sz w:val="44"/>
      <w:szCs w:val="44"/>
    </w:rPr>
  </w:style>
  <w:style w:type="character" w:customStyle="1" w:styleId="27">
    <w:name w:val="标题 3 Char"/>
    <w:basedOn w:val="14"/>
    <w:link w:val="4"/>
    <w:qFormat/>
    <w:uiPriority w:val="0"/>
    <w:rPr>
      <w:b/>
      <w:bCs/>
      <w:kern w:val="2"/>
      <w:sz w:val="32"/>
      <w:szCs w:val="32"/>
    </w:rPr>
  </w:style>
  <w:style w:type="paragraph" w:customStyle="1" w:styleId="28">
    <w:name w:val="TOC 标题1"/>
    <w:basedOn w:val="2"/>
    <w:next w:val="1"/>
    <w:semiHidden/>
    <w:unhideWhenUsed/>
    <w:qFormat/>
    <w:uiPriority w:val="39"/>
    <w:pPr>
      <w:widowControl/>
      <w:spacing w:before="480" w:after="0" w:line="276" w:lineRule="auto"/>
      <w:jc w:val="left"/>
      <w:outlineLvl w:val="9"/>
    </w:pPr>
    <w:rPr>
      <w:rFonts w:ascii="Cambria" w:hAnsi="Cambria"/>
      <w:color w:val="365F91"/>
      <w:kern w:val="0"/>
      <w:sz w:val="28"/>
      <w:szCs w:val="28"/>
      <w:lang w:val="zh-CN"/>
    </w:rPr>
  </w:style>
  <w:style w:type="character" w:customStyle="1" w:styleId="29">
    <w:name w:val="页脚 Char"/>
    <w:basedOn w:val="14"/>
    <w:link w:val="8"/>
    <w:qFormat/>
    <w:uiPriority w:val="0"/>
    <w:rPr>
      <w:kern w:val="2"/>
      <w:sz w:val="18"/>
      <w:szCs w:val="24"/>
    </w:rPr>
  </w:style>
  <w:style w:type="character" w:customStyle="1" w:styleId="30">
    <w:name w:val="页眉 Char"/>
    <w:basedOn w:val="14"/>
    <w:link w:val="9"/>
    <w:qFormat/>
    <w:uiPriority w:val="0"/>
    <w:rPr>
      <w:kern w:val="2"/>
      <w:sz w:val="18"/>
      <w:szCs w:val="24"/>
    </w:rPr>
  </w:style>
  <w:style w:type="paragraph" w:styleId="31">
    <w:name w:val="List Paragraph"/>
    <w:basedOn w:val="1"/>
    <w:qFormat/>
    <w:uiPriority w:val="34"/>
    <w:pPr>
      <w:ind w:firstLine="420"/>
    </w:pPr>
  </w:style>
  <w:style w:type="character" w:customStyle="1" w:styleId="32">
    <w:name w:val="批注文字 Char"/>
    <w:basedOn w:val="14"/>
    <w:link w:val="5"/>
    <w:semiHidden/>
    <w:qFormat/>
    <w:uiPriority w:val="99"/>
    <w:rPr>
      <w:kern w:val="2"/>
      <w:sz w:val="24"/>
      <w:szCs w:val="24"/>
    </w:rPr>
  </w:style>
  <w:style w:type="character" w:customStyle="1" w:styleId="33">
    <w:name w:val="批注主题 Char"/>
    <w:basedOn w:val="32"/>
    <w:link w:val="12"/>
    <w:semiHidden/>
    <w:qFormat/>
    <w:uiPriority w:val="99"/>
    <w:rPr>
      <w:b/>
      <w:bCs/>
      <w:kern w:val="2"/>
      <w:sz w:val="24"/>
      <w:szCs w:val="24"/>
    </w:rPr>
  </w:style>
  <w:style w:type="character" w:customStyle="1" w:styleId="34">
    <w:name w:val="批注框文本 Char"/>
    <w:basedOn w:val="14"/>
    <w:link w:val="7"/>
    <w:semiHidden/>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8e2e57ab-06bc-43c8-95be-c21ecbb21b9c</errorID>
      <errorWord>-</errorWord>
      <group>L1_Format</group>
      <groupName>格式问题</groupName>
      <ability>L2_HalfPunc</ability>
      <abilityName>全半角检查</abilityName>
      <candidateList>
        <item>－</item>
      </candidateList>
      <explain>文本全半角错误。</explain>
      <paraID>73866402</paraID>
      <start>79</start>
      <end>80</end>
      <status>modified</status>
      <modifiedWord>－</modifiedWord>
      <trackRevisions>false</trackRevisions>
    </reviewItem>
    <reviewItem>
      <errorID>f480f87f-d22b-44b0-9255-e5d1c3c29bf5</errorID>
      <errorWord>根据市场研究资料显示</errorWord>
      <group>L1_Word</group>
      <groupName>字词问题</groupName>
      <ability>L2_Typo</ability>
      <abilityName>字词错误</abilityName>
      <candidateList>
        <item>根据市场研究资料</item>
      </candidateList>
      <explain/>
      <paraID>49BA794C</paraID>
      <start>3</start>
      <end>11</end>
      <status>modified</status>
      <modifiedWord>根据市场研究资料</modifiedWord>
      <trackRevisions>false</trackRevisions>
    </reviewItem>
    <reviewItem>
      <errorID>3b6ef370-102a-45ca-8520-76fad667c205</errorID>
      <errorWord>截止到</errorWord>
      <group>L1_Word</group>
      <groupName>字词问题</groupName>
      <ability>L2_Typo</ability>
      <abilityName>字词错误</abilityName>
      <candidateList>
        <item>截止</item>
      </candidateList>
      <explain>〈动〉（到一定期限）停止：报名在昨天已经～。</explain>
      <paraID>3DCBDA59</paraID>
      <start>0</start>
      <end>2</end>
      <status>modified</status>
      <modifiedWord>截止</modifiedWord>
      <trackRevisions>false</trackRevisions>
    </reviewItem>
    <reviewItem>
      <errorID>aac3e48d-8591-40c9-8d5d-96ba2587a67b</errorID>
      <errorWord>?</errorWord>
      <group>L1_Format</group>
      <groupName>格式问题</groupName>
      <ability>L2_HalfPunc</ability>
      <abilityName>全半角检查</abilityName>
      <candidateList>
        <item>？</item>
      </candidateList>
      <explain>文本全半角错误。</explain>
      <paraID>64BB5777</paraID>
      <start>20</start>
      <end>21</end>
      <status>modified</status>
      <modifiedWord>？</modifiedWord>
      <trackRevisions>false</trackRevisions>
    </reviewItem>
  </reviewItems>
  <config/>
</contractReview>
</file>

<file path=customXml/itemProps1.xml><?xml version="1.0" encoding="utf-8"?>
<ds:datastoreItem xmlns:ds="http://schemas.openxmlformats.org/officeDocument/2006/customXml" ds:itemID="{C2CF7ABF-7568-43CD-BC39-B03F11D03C0B}">
  <ds:schemaRefs/>
</ds:datastoreItem>
</file>

<file path=docProps/app.xml><?xml version="1.0" encoding="utf-8"?>
<Properties xmlns="http://schemas.openxmlformats.org/officeDocument/2006/extended-properties" xmlns:vt="http://schemas.openxmlformats.org/officeDocument/2006/docPropsVTypes">
  <Template>Normal</Template>
  <Pages>7</Pages>
  <Words>3499</Words>
  <Characters>3923</Characters>
  <Lines>29</Lines>
  <Paragraphs>8</Paragraphs>
  <TotalTime>19</TotalTime>
  <ScaleCrop>false</ScaleCrop>
  <LinksUpToDate>false</LinksUpToDate>
  <CharactersWithSpaces>4099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2026-09-15T07:09:00Z</dcterms:created>
  <dc:creator>zhaoyinxiang</dc:creator>
  <cp:lastModifiedBy>Phoebe45</cp:lastModifiedBy>
  <cp:lastPrinted>2025-09-04T04:36:00Z</cp:lastPrinted>
  <dcterms:modified xsi:type="dcterms:W3CDTF">2026-09-21T08:39:30Z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8EBA45E1CAA74A5A81CD940062E571E3_13</vt:lpwstr>
  </property>
  <property fmtid="{D5CDD505-2E9C-101B-9397-08002B2CF9AE}" pid="4" name="KSOTemplateDocerSaveRecord">
    <vt:lpwstr>eyJoZGlkIjoiNTc2MzBhNzFlM2RlNWMwZDg3NTA4NWM3NjRkYzM4ZjAiLCJ1c2VySWQiOiI0Mzc0MTU2NzgifQ==</vt:lpwstr>
  </property>
</Properties>
</file>