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3DB78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</w:rPr>
        <w:t>黑龙江天有为电子股份有限公司</w:t>
      </w:r>
    </w:p>
    <w:p w14:paraId="00FBE4AE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投资者关系活动记录表</w:t>
      </w:r>
    </w:p>
    <w:p w14:paraId="49677F1B">
      <w:pPr>
        <w:ind w:firstLine="241" w:firstLineChars="100"/>
        <w:rPr>
          <w:b/>
          <w:bCs/>
          <w:szCs w:val="24"/>
        </w:rPr>
      </w:pPr>
      <w:r>
        <w:rPr>
          <w:rFonts w:hint="eastAsia"/>
          <w:b/>
          <w:bCs/>
          <w:szCs w:val="24"/>
        </w:rPr>
        <w:t>证券简称：天有为</w:t>
      </w:r>
      <w:r>
        <w:rPr>
          <w:b/>
          <w:bCs/>
          <w:szCs w:val="24"/>
        </w:rPr>
        <w:t xml:space="preserve"> </w:t>
      </w:r>
      <w:r>
        <w:rPr>
          <w:rFonts w:hint="eastAsia"/>
          <w:b/>
          <w:bCs/>
          <w:szCs w:val="24"/>
        </w:rPr>
        <w:t xml:space="preserve">    </w:t>
      </w:r>
      <w:r>
        <w:rPr>
          <w:b/>
          <w:bCs/>
          <w:szCs w:val="24"/>
        </w:rPr>
        <w:t xml:space="preserve">  </w:t>
      </w:r>
      <w:r>
        <w:rPr>
          <w:rFonts w:hint="eastAsia"/>
          <w:b/>
          <w:bCs/>
          <w:szCs w:val="24"/>
        </w:rPr>
        <w:t>证券代码：603202</w:t>
      </w:r>
      <w:r>
        <w:rPr>
          <w:b/>
          <w:bCs/>
          <w:szCs w:val="24"/>
        </w:rPr>
        <w:t xml:space="preserve"> </w:t>
      </w:r>
      <w:r>
        <w:rPr>
          <w:rFonts w:hint="eastAsia"/>
          <w:b/>
          <w:bCs/>
          <w:szCs w:val="24"/>
        </w:rPr>
        <w:t xml:space="preserve">       </w:t>
      </w:r>
      <w:r>
        <w:rPr>
          <w:b/>
          <w:bCs/>
          <w:szCs w:val="24"/>
        </w:rPr>
        <w:t xml:space="preserve">    </w:t>
      </w:r>
      <w:r>
        <w:rPr>
          <w:rFonts w:hint="eastAsia"/>
          <w:b/>
          <w:bCs/>
          <w:szCs w:val="24"/>
        </w:rPr>
        <w:t>编号：2026-003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6751"/>
      </w:tblGrid>
      <w:tr w14:paraId="0BBA3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pct"/>
            <w:vAlign w:val="center"/>
          </w:tcPr>
          <w:p w14:paraId="1B5C188D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投资者关系活动类别</w:t>
            </w:r>
          </w:p>
        </w:tc>
        <w:tc>
          <w:tcPr>
            <w:tcW w:w="3961" w:type="pct"/>
          </w:tcPr>
          <w:p w14:paraId="601D821C">
            <w:pPr>
              <w:spacing w:line="360" w:lineRule="auto"/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 xml:space="preserve">□特定对象调研 </w:t>
            </w:r>
            <w:r>
              <w:rPr>
                <w:rFonts w:ascii="宋体" w:hAnsi="宋体"/>
                <w:szCs w:val="24"/>
              </w:rPr>
              <w:t xml:space="preserve">   </w:t>
            </w:r>
            <w:r>
              <w:rPr>
                <w:rFonts w:hint="eastAsia" w:ascii="宋体" w:hAnsi="宋体"/>
                <w:szCs w:val="24"/>
              </w:rPr>
              <w:t>□分析师会议</w:t>
            </w:r>
          </w:p>
          <w:p w14:paraId="49709E3F">
            <w:pPr>
              <w:spacing w:line="360" w:lineRule="auto"/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 xml:space="preserve">□媒体采访 </w:t>
            </w:r>
            <w:r>
              <w:rPr>
                <w:rFonts w:ascii="宋体" w:hAnsi="宋体"/>
                <w:szCs w:val="24"/>
              </w:rPr>
              <w:t xml:space="preserve">       </w:t>
            </w:r>
            <w:r>
              <w:rPr>
                <w:rFonts w:hint="eastAsia" w:ascii="宋体" w:hAnsi="宋体"/>
                <w:szCs w:val="24"/>
              </w:rPr>
              <w:t>☑业绩说明会</w:t>
            </w:r>
          </w:p>
          <w:p w14:paraId="53A8CB61">
            <w:pPr>
              <w:spacing w:line="360" w:lineRule="auto"/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 xml:space="preserve">□新闻发布会 </w:t>
            </w:r>
            <w:r>
              <w:rPr>
                <w:rFonts w:ascii="宋体" w:hAnsi="宋体"/>
                <w:szCs w:val="24"/>
              </w:rPr>
              <w:t xml:space="preserve">     </w:t>
            </w:r>
            <w:r>
              <w:rPr>
                <w:rFonts w:hint="eastAsia" w:ascii="宋体" w:hAnsi="宋体"/>
                <w:szCs w:val="24"/>
              </w:rPr>
              <w:t>□路演活动</w:t>
            </w:r>
          </w:p>
          <w:p w14:paraId="66D3FB07">
            <w:pPr>
              <w:spacing w:line="360" w:lineRule="auto"/>
              <w:rPr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□现场参观□其他（</w:t>
            </w:r>
            <w:r>
              <w:rPr>
                <w:rFonts w:hint="eastAsia" w:ascii="宋体" w:hAnsi="宋体"/>
                <w:szCs w:val="24"/>
                <w:u w:val="thick"/>
              </w:rPr>
              <w:t>请文字说明其他活动内容</w:t>
            </w:r>
            <w:r>
              <w:rPr>
                <w:rFonts w:hint="eastAsia" w:ascii="宋体" w:hAnsi="宋体"/>
                <w:szCs w:val="24"/>
              </w:rPr>
              <w:t>）</w:t>
            </w:r>
          </w:p>
        </w:tc>
      </w:tr>
      <w:tr w14:paraId="64031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039" w:type="pct"/>
            <w:vAlign w:val="center"/>
          </w:tcPr>
          <w:p w14:paraId="5F35790F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参会人员</w:t>
            </w:r>
          </w:p>
        </w:tc>
        <w:tc>
          <w:tcPr>
            <w:tcW w:w="3961" w:type="pct"/>
            <w:vAlign w:val="center"/>
          </w:tcPr>
          <w:p w14:paraId="30FCB7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4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4"/>
                <w:lang w:bidi="ar"/>
              </w:rPr>
              <w:t>线上参与公司</w:t>
            </w:r>
            <w:r>
              <w:rPr>
                <w:rFonts w:hint="eastAsia" w:cs="Times New Roman"/>
                <w:color w:val="000000"/>
                <w:kern w:val="0"/>
                <w:szCs w:val="24"/>
                <w:lang w:val="en-GB" w:bidi="ar"/>
              </w:rPr>
              <w:t>2026年半年度业绩说明会</w:t>
            </w:r>
            <w:r>
              <w:rPr>
                <w:rFonts w:cs="Times New Roman"/>
                <w:color w:val="000000"/>
                <w:kern w:val="0"/>
                <w:szCs w:val="24"/>
                <w:lang w:bidi="ar"/>
              </w:rPr>
              <w:t>的投资者</w:t>
            </w:r>
          </w:p>
        </w:tc>
      </w:tr>
      <w:tr w14:paraId="078D9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39" w:type="pct"/>
            <w:vAlign w:val="center"/>
          </w:tcPr>
          <w:p w14:paraId="09C6063F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时    间</w:t>
            </w:r>
          </w:p>
        </w:tc>
        <w:tc>
          <w:tcPr>
            <w:tcW w:w="3961" w:type="pct"/>
            <w:vAlign w:val="center"/>
          </w:tcPr>
          <w:p w14:paraId="1E55659E"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2026年9月22日（周二）10:00-11:00</w:t>
            </w:r>
          </w:p>
        </w:tc>
      </w:tr>
      <w:tr w14:paraId="1BC9A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pct"/>
            <w:vAlign w:val="center"/>
          </w:tcPr>
          <w:p w14:paraId="56DCC634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地点/方式</w:t>
            </w:r>
          </w:p>
        </w:tc>
        <w:tc>
          <w:tcPr>
            <w:tcW w:w="3961" w:type="pct"/>
          </w:tcPr>
          <w:p w14:paraId="4C50A06D">
            <w:pPr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上证路演中心</w:t>
            </w:r>
            <w:r>
              <w:rPr>
                <w:rFonts w:cs="Times New Roman"/>
                <w:bCs/>
              </w:rPr>
              <w:t xml:space="preserve"> https://roadshow.sseinfo.com</w:t>
            </w:r>
          </w:p>
          <w:p w14:paraId="5DDCAE84">
            <w:pPr>
              <w:rPr>
                <w:szCs w:val="24"/>
              </w:rPr>
            </w:pPr>
            <w:r>
              <w:rPr>
                <w:rFonts w:hint="eastAsia" w:ascii="宋体" w:hAnsi="宋体"/>
                <w:bCs/>
              </w:rPr>
              <w:t>网络文字互动</w:t>
            </w:r>
          </w:p>
        </w:tc>
      </w:tr>
      <w:tr w14:paraId="6E82E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pct"/>
            <w:vAlign w:val="center"/>
          </w:tcPr>
          <w:p w14:paraId="20E7DE9F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上市公司接待人员姓名</w:t>
            </w:r>
          </w:p>
        </w:tc>
        <w:tc>
          <w:tcPr>
            <w:tcW w:w="3961" w:type="pct"/>
          </w:tcPr>
          <w:p w14:paraId="5D204BDB">
            <w:pPr>
              <w:jc w:val="left"/>
              <w:rPr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董事长王文博先生，董事、总经理吕冬芳女士，独立董事王栋先生、刘志伟先生，董事会秘书张智先生，财务负责人于洪波先生。</w:t>
            </w:r>
          </w:p>
        </w:tc>
      </w:tr>
      <w:tr w14:paraId="31FF8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1039" w:type="pct"/>
            <w:vAlign w:val="center"/>
          </w:tcPr>
          <w:p w14:paraId="16493B7B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投资者关系活动主要内容介绍</w:t>
            </w:r>
          </w:p>
        </w:tc>
        <w:tc>
          <w:tcPr>
            <w:tcW w:w="3961" w:type="pct"/>
          </w:tcPr>
          <w:p w14:paraId="122B21F2">
            <w:pPr>
              <w:widowControl/>
              <w:ind w:firstLine="480" w:firstLineChars="200"/>
              <w:rPr>
                <w:rFonts w:cs="Times New Roman"/>
              </w:rPr>
            </w:pPr>
            <w:r>
              <w:rPr>
                <w:rFonts w:cs="Times New Roman"/>
                <w:color w:val="000000"/>
                <w:kern w:val="0"/>
                <w:szCs w:val="24"/>
                <w:lang w:bidi="ar"/>
              </w:rPr>
              <w:t>公司于</w:t>
            </w:r>
            <w:r>
              <w:rPr>
                <w:rFonts w:hint="eastAsia" w:cs="Times New Roman"/>
                <w:color w:val="000000"/>
                <w:kern w:val="0"/>
                <w:szCs w:val="24"/>
                <w:lang w:bidi="ar"/>
              </w:rPr>
              <w:t>2026年9月22日</w:t>
            </w:r>
            <w:r>
              <w:rPr>
                <w:rFonts w:cs="Times New Roman"/>
                <w:color w:val="000000"/>
                <w:kern w:val="0"/>
                <w:szCs w:val="24"/>
                <w:lang w:bidi="ar"/>
              </w:rPr>
              <w:t>（</w:t>
            </w:r>
            <w:r>
              <w:rPr>
                <w:rFonts w:hint="eastAsia" w:cs="Times New Roman"/>
                <w:color w:val="000000"/>
                <w:kern w:val="0"/>
                <w:szCs w:val="24"/>
                <w:lang w:bidi="ar"/>
              </w:rPr>
              <w:t>周二</w:t>
            </w:r>
            <w:r>
              <w:rPr>
                <w:rFonts w:cs="Times New Roman"/>
                <w:color w:val="000000"/>
                <w:kern w:val="0"/>
                <w:szCs w:val="24"/>
                <w:lang w:bidi="ar"/>
              </w:rPr>
              <w:t>）召开</w:t>
            </w:r>
            <w:r>
              <w:rPr>
                <w:rFonts w:hint="eastAsia" w:cs="Times New Roman"/>
                <w:color w:val="000000"/>
                <w:kern w:val="0"/>
                <w:szCs w:val="24"/>
                <w:lang w:bidi="ar"/>
              </w:rPr>
              <w:t>2026年半年度业绩说明会</w:t>
            </w:r>
            <w:r>
              <w:rPr>
                <w:rFonts w:cs="Times New Roman"/>
                <w:color w:val="000000"/>
                <w:kern w:val="0"/>
                <w:szCs w:val="24"/>
                <w:lang w:bidi="ar"/>
              </w:rPr>
              <w:t xml:space="preserve">。本次业绩说明会采取网络文字互动形式召开。完整交流内容请见上证路演中心网站。 </w:t>
            </w:r>
          </w:p>
          <w:p w14:paraId="52BEA2C9">
            <w:pPr>
              <w:widowControl/>
              <w:ind w:firstLine="480" w:firstLineChars="20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kern w:val="0"/>
                <w:szCs w:val="24"/>
                <w:lang w:bidi="ar"/>
              </w:rPr>
              <w:t>主要交流内容如下：</w:t>
            </w:r>
          </w:p>
          <w:p w14:paraId="2DA908E0">
            <w:pPr>
              <w:ind w:firstLine="482" w:firstLineChars="200"/>
              <w:rPr>
                <w:rFonts w:cs="Times New Roman"/>
                <w:b/>
              </w:rPr>
            </w:pPr>
            <w:r>
              <w:rPr>
                <w:rFonts w:hint="eastAsia" w:cs="Times New Roman"/>
                <w:b/>
              </w:rPr>
              <w:t>问题1：公司上市以来一直高比例分红，往后是否会延续此策略？</w:t>
            </w:r>
          </w:p>
          <w:p w14:paraId="20EBB68C">
            <w:pPr>
              <w:ind w:firstLine="480" w:firstLineChars="200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尊敬的投资者您好，公司始终将股东的合理回报置于重要的地位，在综合考虑公司的经营发展实际、股东诉求、社会资金成本、外部融资环境等因素的基础上，建立对投资者持续、稳定、科学的回报规划和机制，保持利润分配政策的连续性和稳定性。具体分红计划将结合全年经营情况、资金规划等因素综合确定。感谢您的关注。</w:t>
            </w:r>
          </w:p>
          <w:p w14:paraId="2C6E1A0E">
            <w:pPr>
              <w:ind w:firstLine="482" w:firstLineChars="200"/>
              <w:rPr>
                <w:rFonts w:cs="Times New Roman"/>
                <w:b/>
              </w:rPr>
            </w:pPr>
            <w:r>
              <w:rPr>
                <w:rFonts w:hint="eastAsia" w:cs="Times New Roman"/>
                <w:b/>
              </w:rPr>
              <w:t>问题2：</w:t>
            </w:r>
            <w:r>
              <w:rPr>
                <w:rFonts w:ascii="宋体"/>
                <w:b/>
                <w:bCs/>
              </w:rPr>
              <w:t>公司在海外的韩国、墨西哥、摩洛哥几个生产基地的建设情况如何？有已经投产的吗？</w:t>
            </w:r>
          </w:p>
          <w:p w14:paraId="05D820F3">
            <w:pPr>
              <w:ind w:firstLine="480" w:firstLineChars="200"/>
              <w:rPr>
                <w:rFonts w:cs="Times New Roman"/>
              </w:rPr>
            </w:pPr>
            <w:r>
              <w:rPr>
                <w:rFonts w:cs="Times New Roman"/>
              </w:rPr>
              <w:t>尊敬的投资者您好</w:t>
            </w:r>
            <w:r>
              <w:rPr>
                <w:rFonts w:hint="eastAsia" w:cs="Times New Roman"/>
              </w:rPr>
              <w:t>，</w:t>
            </w:r>
            <w:r>
              <w:rPr>
                <w:rFonts w:cs="Times New Roman"/>
              </w:rPr>
              <w:t>天有为海外生产基地中，墨西哥生产基地一期已于2025年投产，今年二期扩建项目已经开工，将在既有基础上新建现代化厂房，进一步拓展产品矩阵与产线规模，提升墨西哥本地化制造能力，精准对接美洲客户在汽车及两轮车领域不断攀升的配套需求，深度融入区域供应链体系；其余生产基地暂未投产。感谢您的关注。</w:t>
            </w:r>
          </w:p>
          <w:p w14:paraId="2AB590F8">
            <w:pPr>
              <w:ind w:firstLine="482" w:firstLineChars="200"/>
              <w:rPr>
                <w:rFonts w:cs="Times New Roman"/>
                <w:b/>
              </w:rPr>
            </w:pPr>
            <w:r>
              <w:rPr>
                <w:rFonts w:hint="eastAsia" w:cs="Times New Roman"/>
                <w:b/>
              </w:rPr>
              <w:t>问题</w:t>
            </w:r>
            <w:r>
              <w:rPr>
                <w:rFonts w:cs="Times New Roman"/>
                <w:b/>
              </w:rPr>
              <w:t>3</w:t>
            </w:r>
            <w:r>
              <w:rPr>
                <w:rFonts w:hint="eastAsia" w:cs="Times New Roman"/>
                <w:b/>
              </w:rPr>
              <w:t>：董事长你好，贵公司股价连续低位，公司也有充足的自有资金，是否考虑回购股票，提振投资信心？</w:t>
            </w:r>
          </w:p>
          <w:p w14:paraId="6BFC039A">
            <w:pPr>
              <w:ind w:firstLine="480" w:firstLineChars="200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尊敬的投资者您好，如有相关计划，公司将依据监管要求及时履行信息披露义务。谢谢关注！</w:t>
            </w:r>
          </w:p>
          <w:p w14:paraId="79144C1F">
            <w:pPr>
              <w:ind w:firstLine="482" w:firstLineChars="200"/>
              <w:rPr>
                <w:rFonts w:cs="Times New Roman"/>
                <w:b/>
              </w:rPr>
            </w:pPr>
            <w:r>
              <w:rPr>
                <w:rFonts w:hint="eastAsia" w:cs="Times New Roman"/>
                <w:b/>
              </w:rPr>
              <w:t>问题</w:t>
            </w:r>
            <w:r>
              <w:rPr>
                <w:rFonts w:cs="Times New Roman"/>
                <w:b/>
              </w:rPr>
              <w:t>4</w:t>
            </w:r>
            <w:r>
              <w:rPr>
                <w:rFonts w:hint="eastAsia" w:cs="Times New Roman"/>
                <w:b/>
              </w:rPr>
              <w:t>：公司是否有直接或间接向张雪机车提供部件？如没有，是否会争取合作？</w:t>
            </w:r>
          </w:p>
          <w:p w14:paraId="6483A383">
            <w:pPr>
              <w:ind w:firstLine="480" w:firstLineChars="200"/>
              <w:rPr>
                <w:rFonts w:cs="Times New Roman"/>
                <w:b/>
              </w:rPr>
            </w:pPr>
            <w:r>
              <w:rPr>
                <w:rFonts w:cs="Times New Roman"/>
              </w:rPr>
              <w:t>尊敬的投资者，您好！目前公司暂未与张雪机车开展合作。公司始终关注汽车及两轮车市场的技术创新与客户需求，未来我们会持续积极寻求与优秀行业伙伴的合作机会。感谢您的关注与支持！</w:t>
            </w:r>
          </w:p>
          <w:p w14:paraId="246E1C04">
            <w:pPr>
              <w:ind w:firstLine="482" w:firstLineChars="200"/>
              <w:rPr>
                <w:rFonts w:cs="Times New Roman"/>
                <w:b/>
              </w:rPr>
            </w:pPr>
            <w:r>
              <w:rPr>
                <w:rFonts w:hint="eastAsia" w:cs="Times New Roman"/>
                <w:b/>
              </w:rPr>
              <w:t>问题5：请问贵公司别克至境E7的15.6寸中控屏是贵公司提供的吗？</w:t>
            </w:r>
          </w:p>
          <w:p w14:paraId="29CAF0F9">
            <w:pPr>
              <w:ind w:firstLine="480" w:firstLineChars="200"/>
              <w:rPr>
                <w:rFonts w:cs="Times New Roman"/>
              </w:rPr>
            </w:pPr>
            <w:r>
              <w:rPr>
                <w:rFonts w:cs="Times New Roman"/>
              </w:rPr>
              <w:t>尊敬的投资者，您好！别克至境E7由公司配套仪表及中控屏产品，目前已量产交付。感谢您的关注与支持！</w:t>
            </w:r>
          </w:p>
        </w:tc>
      </w:tr>
      <w:tr w14:paraId="7272E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pct"/>
            <w:vAlign w:val="center"/>
          </w:tcPr>
          <w:p w14:paraId="619167A6">
            <w:pPr>
              <w:jc w:val="center"/>
              <w:rPr>
                <w:b/>
                <w:bCs/>
                <w:szCs w:val="24"/>
              </w:rPr>
            </w:pPr>
          </w:p>
          <w:p w14:paraId="4B6D6670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附件清单（如有）</w:t>
            </w:r>
          </w:p>
          <w:p w14:paraId="6A1C020B">
            <w:pPr>
              <w:rPr>
                <w:b/>
                <w:bCs/>
                <w:szCs w:val="24"/>
              </w:rPr>
            </w:pPr>
          </w:p>
        </w:tc>
        <w:tc>
          <w:tcPr>
            <w:tcW w:w="3961" w:type="pct"/>
          </w:tcPr>
          <w:p w14:paraId="5CBCBF0A">
            <w:pPr>
              <w:jc w:val="left"/>
              <w:rPr>
                <w:szCs w:val="24"/>
              </w:rPr>
            </w:pPr>
          </w:p>
          <w:p w14:paraId="2F7ACD83">
            <w:pPr>
              <w:tabs>
                <w:tab w:val="left" w:pos="20"/>
              </w:tabs>
              <w:rPr>
                <w:szCs w:val="24"/>
              </w:rPr>
            </w:pPr>
            <w:r>
              <w:rPr>
                <w:szCs w:val="24"/>
              </w:rPr>
              <w:tab/>
            </w:r>
            <w:r>
              <w:rPr>
                <w:rFonts w:hint="eastAsia"/>
                <w:szCs w:val="24"/>
              </w:rPr>
              <w:t>无</w:t>
            </w:r>
          </w:p>
        </w:tc>
      </w:tr>
      <w:tr w14:paraId="75D1A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pct"/>
            <w:vAlign w:val="center"/>
          </w:tcPr>
          <w:p w14:paraId="54060DD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关于本次活动是否涉及应当披露重大信息的说明</w:t>
            </w:r>
          </w:p>
        </w:tc>
        <w:tc>
          <w:tcPr>
            <w:tcW w:w="3961" w:type="pct"/>
            <w:vAlign w:val="center"/>
          </w:tcPr>
          <w:p w14:paraId="2F873D13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不涉及</w:t>
            </w:r>
          </w:p>
        </w:tc>
      </w:tr>
    </w:tbl>
    <w:p w14:paraId="3FCD667C">
      <w:pPr>
        <w:spacing w:line="360" w:lineRule="auto"/>
        <w:rPr>
          <w:szCs w:val="24"/>
        </w:rPr>
      </w:pPr>
    </w:p>
    <w:p w14:paraId="1713B5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E82C30"/>
    <w:rsid w:val="0011466E"/>
    <w:rsid w:val="00154C54"/>
    <w:rsid w:val="00160AED"/>
    <w:rsid w:val="001D138F"/>
    <w:rsid w:val="00406DCA"/>
    <w:rsid w:val="00466870"/>
    <w:rsid w:val="004D4865"/>
    <w:rsid w:val="005A7AE8"/>
    <w:rsid w:val="006477D1"/>
    <w:rsid w:val="00662734"/>
    <w:rsid w:val="00765EF2"/>
    <w:rsid w:val="00822435"/>
    <w:rsid w:val="008E65FF"/>
    <w:rsid w:val="00A8673A"/>
    <w:rsid w:val="00AD6625"/>
    <w:rsid w:val="00B36130"/>
    <w:rsid w:val="00B800A4"/>
    <w:rsid w:val="00CA3C20"/>
    <w:rsid w:val="00CC72DA"/>
    <w:rsid w:val="00D33D4A"/>
    <w:rsid w:val="00F9416A"/>
    <w:rsid w:val="016E7389"/>
    <w:rsid w:val="069E11EB"/>
    <w:rsid w:val="07795121"/>
    <w:rsid w:val="08142376"/>
    <w:rsid w:val="0C33690E"/>
    <w:rsid w:val="0D062D98"/>
    <w:rsid w:val="0E20525B"/>
    <w:rsid w:val="0E2609AD"/>
    <w:rsid w:val="102E5041"/>
    <w:rsid w:val="109C285E"/>
    <w:rsid w:val="142E2699"/>
    <w:rsid w:val="14F84B69"/>
    <w:rsid w:val="17B76CE3"/>
    <w:rsid w:val="18865F4F"/>
    <w:rsid w:val="1D753E62"/>
    <w:rsid w:val="1E3A3CAC"/>
    <w:rsid w:val="1F993F88"/>
    <w:rsid w:val="1FAC1400"/>
    <w:rsid w:val="21CC79CE"/>
    <w:rsid w:val="230B27FC"/>
    <w:rsid w:val="24311562"/>
    <w:rsid w:val="28124331"/>
    <w:rsid w:val="28C96CAB"/>
    <w:rsid w:val="28E1427A"/>
    <w:rsid w:val="2AEC0B11"/>
    <w:rsid w:val="2D054B16"/>
    <w:rsid w:val="2D995F65"/>
    <w:rsid w:val="303A23F2"/>
    <w:rsid w:val="310867AA"/>
    <w:rsid w:val="33865B4F"/>
    <w:rsid w:val="35D00E44"/>
    <w:rsid w:val="36F84DB2"/>
    <w:rsid w:val="37A4502A"/>
    <w:rsid w:val="3A3313FA"/>
    <w:rsid w:val="3D143D6C"/>
    <w:rsid w:val="3D8362B5"/>
    <w:rsid w:val="40744E24"/>
    <w:rsid w:val="407451A1"/>
    <w:rsid w:val="40BF4803"/>
    <w:rsid w:val="41543FB7"/>
    <w:rsid w:val="41E87D96"/>
    <w:rsid w:val="42620BA7"/>
    <w:rsid w:val="47F03D9D"/>
    <w:rsid w:val="4CAF02E1"/>
    <w:rsid w:val="53F57F4F"/>
    <w:rsid w:val="561422D7"/>
    <w:rsid w:val="57E56460"/>
    <w:rsid w:val="584D19EF"/>
    <w:rsid w:val="58E82C30"/>
    <w:rsid w:val="5BEA3334"/>
    <w:rsid w:val="5BF2791D"/>
    <w:rsid w:val="613536E7"/>
    <w:rsid w:val="624100D3"/>
    <w:rsid w:val="635051A2"/>
    <w:rsid w:val="65054177"/>
    <w:rsid w:val="6A9A4A03"/>
    <w:rsid w:val="6B152B46"/>
    <w:rsid w:val="6B7802DF"/>
    <w:rsid w:val="6BE83CEB"/>
    <w:rsid w:val="6E9C10D5"/>
    <w:rsid w:val="6E9E361D"/>
    <w:rsid w:val="721E505F"/>
    <w:rsid w:val="731719F3"/>
    <w:rsid w:val="75663ABD"/>
    <w:rsid w:val="7A727261"/>
    <w:rsid w:val="7ECF3AD1"/>
    <w:rsid w:val="7F89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qFormat/>
    <w:uiPriority w:val="0"/>
    <w:pPr>
      <w:jc w:val="left"/>
    </w:pPr>
  </w:style>
  <w:style w:type="paragraph" w:styleId="3">
    <w:name w:val="Balloon Text"/>
    <w:basedOn w:val="1"/>
    <w:link w:val="15"/>
    <w:qFormat/>
    <w:uiPriority w:val="0"/>
    <w:rPr>
      <w:sz w:val="18"/>
      <w:szCs w:val="18"/>
    </w:rPr>
  </w:style>
  <w:style w:type="paragraph" w:styleId="4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qFormat/>
    <w:uiPriority w:val="0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unhideWhenUsed/>
    <w:qFormat/>
    <w:uiPriority w:val="99"/>
    <w:rPr>
      <w:color w:val="0563C1"/>
      <w:u w:val="single"/>
    </w:rPr>
  </w:style>
  <w:style w:type="character" w:styleId="12">
    <w:name w:val="annotation reference"/>
    <w:basedOn w:val="9"/>
    <w:qFormat/>
    <w:uiPriority w:val="0"/>
    <w:rPr>
      <w:sz w:val="21"/>
      <w:szCs w:val="21"/>
    </w:rPr>
  </w:style>
  <w:style w:type="character" w:customStyle="1" w:styleId="13">
    <w:name w:val="批注文字 Char"/>
    <w:basedOn w:val="9"/>
    <w:link w:val="2"/>
    <w:qFormat/>
    <w:uiPriority w:val="0"/>
    <w:rPr>
      <w:rFonts w:cstheme="minorBidi"/>
      <w:kern w:val="2"/>
      <w:sz w:val="24"/>
      <w:szCs w:val="22"/>
    </w:rPr>
  </w:style>
  <w:style w:type="character" w:customStyle="1" w:styleId="14">
    <w:name w:val="批注主题 Char"/>
    <w:basedOn w:val="13"/>
    <w:link w:val="6"/>
    <w:qFormat/>
    <w:uiPriority w:val="0"/>
    <w:rPr>
      <w:rFonts w:cstheme="minorBidi"/>
      <w:b/>
      <w:bCs/>
      <w:kern w:val="2"/>
      <w:sz w:val="24"/>
      <w:szCs w:val="22"/>
    </w:rPr>
  </w:style>
  <w:style w:type="character" w:customStyle="1" w:styleId="15">
    <w:name w:val="批注框文本 Char"/>
    <w:basedOn w:val="9"/>
    <w:link w:val="3"/>
    <w:qFormat/>
    <w:uiPriority w:val="0"/>
    <w:rPr>
      <w:rFonts w:cstheme="minorBidi"/>
      <w:kern w:val="2"/>
      <w:sz w:val="18"/>
      <w:szCs w:val="18"/>
    </w:rPr>
  </w:style>
  <w:style w:type="character" w:customStyle="1" w:styleId="16">
    <w:name w:val="页眉 Char"/>
    <w:basedOn w:val="9"/>
    <w:link w:val="5"/>
    <w:qFormat/>
    <w:uiPriority w:val="0"/>
    <w:rPr>
      <w:rFonts w:cstheme="minorBidi"/>
      <w:kern w:val="2"/>
      <w:sz w:val="18"/>
      <w:szCs w:val="18"/>
    </w:rPr>
  </w:style>
  <w:style w:type="character" w:customStyle="1" w:styleId="17">
    <w:name w:val="页脚 Char"/>
    <w:basedOn w:val="9"/>
    <w:link w:val="4"/>
    <w:qFormat/>
    <w:uiPriority w:val="0"/>
    <w:rPr>
      <w:rFonts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1002</Words>
  <Characters>1073</Characters>
  <Lines>8</Lines>
  <Paragraphs>2</Paragraphs>
  <TotalTime>24</TotalTime>
  <ScaleCrop>false</ScaleCrop>
  <LinksUpToDate>false</LinksUpToDate>
  <CharactersWithSpaces>1117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2026-09-22T09:06:00Z</dcterms:created>
  <dc:creator>企业用户_411354505</dc:creator>
  <cp:lastModifiedBy>企业用户_411354505</cp:lastModifiedBy>
  <dcterms:modified xsi:type="dcterms:W3CDTF">2026-09-23T00:44:13Z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32A3C1EF49804DB6981D50CBD8FCCE39_13</vt:lpwstr>
  </property>
  <property fmtid="{D5CDD505-2E9C-101B-9397-08002B2CF9AE}" pid="4" name="KSOTemplateDocerSaveRecord">
    <vt:lpwstr>eyJoZGlkIjoiNzdkMDBiZGE4YTg1NGIzNGY3NWExNzg3NDMzY2U2MzIiLCJ1c2VySWQiOiIxNjE2MzkxMTIzIn0=</vt:lpwstr>
  </property>
</Properties>
</file>