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30561C">
      <w:pPr>
        <w:rPr>
          <w:rFonts w:hint="eastAsia" w:ascii="宋体" w:hAnsi="宋体" w:eastAsia="宋体"/>
          <w:sz w:val="24"/>
          <w:szCs w:val="24"/>
          <w:lang w:eastAsia="zh-CN"/>
        </w:rPr>
      </w:pPr>
      <w:r>
        <w:rPr>
          <w:rFonts w:hint="eastAsia" w:ascii="宋体" w:hAnsi="宋体" w:eastAsia="宋体"/>
          <w:sz w:val="24"/>
          <w:szCs w:val="24"/>
        </w:rPr>
        <w:t>证券代码：6</w:t>
      </w:r>
      <w:r>
        <w:rPr>
          <w:rFonts w:ascii="宋体" w:hAnsi="宋体" w:eastAsia="宋体"/>
          <w:sz w:val="24"/>
          <w:szCs w:val="24"/>
        </w:rPr>
        <w:t xml:space="preserve">03337                                   </w:t>
      </w:r>
      <w:r>
        <w:rPr>
          <w:rFonts w:hint="eastAsia" w:ascii="宋体" w:hAnsi="宋体" w:eastAsia="宋体"/>
          <w:sz w:val="24"/>
          <w:szCs w:val="24"/>
        </w:rPr>
        <w:t>证券简称：杰克</w:t>
      </w:r>
      <w:r>
        <w:rPr>
          <w:rFonts w:hint="eastAsia" w:ascii="宋体" w:hAnsi="宋体" w:eastAsia="宋体"/>
          <w:sz w:val="24"/>
          <w:szCs w:val="24"/>
          <w:lang w:val="en-US" w:eastAsia="zh-CN"/>
        </w:rPr>
        <w:t>科技</w:t>
      </w:r>
    </w:p>
    <w:p w14:paraId="12BDEE04">
      <w:pPr>
        <w:rPr>
          <w:rFonts w:ascii="宋体" w:hAnsi="宋体" w:eastAsia="宋体"/>
          <w:sz w:val="24"/>
          <w:szCs w:val="24"/>
        </w:rPr>
      </w:pPr>
    </w:p>
    <w:p w14:paraId="14146363">
      <w:pPr>
        <w:jc w:val="center"/>
        <w:rPr>
          <w:rFonts w:ascii="宋体" w:hAnsi="宋体" w:eastAsia="宋体"/>
          <w:b/>
          <w:sz w:val="32"/>
          <w:szCs w:val="32"/>
        </w:rPr>
      </w:pPr>
      <w:r>
        <w:rPr>
          <w:rFonts w:hint="eastAsia" w:ascii="宋体" w:hAnsi="宋体" w:eastAsia="宋体"/>
          <w:b/>
          <w:sz w:val="32"/>
          <w:szCs w:val="32"/>
        </w:rPr>
        <w:t>杰克科技股份有限公司</w:t>
      </w:r>
    </w:p>
    <w:p w14:paraId="307E8D4C">
      <w:pPr>
        <w:jc w:val="center"/>
        <w:rPr>
          <w:rFonts w:ascii="宋体" w:hAnsi="宋体" w:eastAsia="宋体"/>
          <w:b/>
          <w:sz w:val="32"/>
          <w:szCs w:val="32"/>
        </w:rPr>
      </w:pPr>
      <w:r>
        <w:rPr>
          <w:rFonts w:hint="eastAsia" w:ascii="宋体" w:hAnsi="宋体" w:eastAsia="宋体"/>
          <w:b/>
          <w:sz w:val="32"/>
          <w:szCs w:val="32"/>
        </w:rPr>
        <w:t>投资者关系活动记录表</w:t>
      </w:r>
    </w:p>
    <w:p w14:paraId="7D5D879A">
      <w:pPr>
        <w:rPr>
          <w:rFonts w:ascii="宋体" w:hAnsi="宋体" w:eastAsia="宋体"/>
          <w:sz w:val="24"/>
          <w:szCs w:val="24"/>
        </w:rPr>
      </w:pPr>
    </w:p>
    <w:p w14:paraId="77791364">
      <w:pPr>
        <w:jc w:val="right"/>
        <w:rPr>
          <w:rFonts w:hint="default" w:ascii="宋体" w:hAnsi="宋体" w:eastAsia="宋体"/>
          <w:sz w:val="24"/>
          <w:szCs w:val="24"/>
          <w:lang w:val="en-US" w:eastAsia="zh-CN"/>
        </w:rPr>
      </w:pPr>
      <w:r>
        <w:rPr>
          <w:rFonts w:hint="eastAsia" w:ascii="宋体" w:hAnsi="宋体" w:eastAsia="宋体"/>
          <w:sz w:val="24"/>
          <w:szCs w:val="24"/>
        </w:rPr>
        <w:t>编号：202</w:t>
      </w:r>
      <w:r>
        <w:rPr>
          <w:rFonts w:hint="eastAsia" w:ascii="宋体" w:hAnsi="宋体" w:eastAsia="宋体"/>
          <w:sz w:val="24"/>
          <w:szCs w:val="24"/>
          <w:lang w:val="en-US" w:eastAsia="zh-CN"/>
        </w:rPr>
        <w:t>6-00</w:t>
      </w:r>
      <w:r>
        <w:rPr>
          <w:rFonts w:hint="default" w:ascii="宋体" w:hAnsi="宋体" w:eastAsia="宋体"/>
          <w:sz w:val="24"/>
          <w:szCs w:val="24"/>
          <w:lang w:val="en-US" w:eastAsia="zh-CN"/>
        </w:rPr>
        <w:t>2</w:t>
      </w:r>
    </w:p>
    <w:tbl>
      <w:tblPr>
        <w:tblStyle w:val="6"/>
        <w:tblW w:w="8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9"/>
        <w:gridCol w:w="6487"/>
      </w:tblGrid>
      <w:tr w14:paraId="20F2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shd w:val="clear" w:color="auto" w:fill="auto"/>
            <w:vAlign w:val="center"/>
          </w:tcPr>
          <w:p w14:paraId="22042B54">
            <w:pPr>
              <w:spacing w:line="360" w:lineRule="auto"/>
              <w:jc w:val="center"/>
              <w:rPr>
                <w:rFonts w:ascii="宋体" w:hAnsi="宋体" w:eastAsia="宋体"/>
                <w:b/>
                <w:bCs/>
                <w:iCs/>
                <w:sz w:val="24"/>
                <w:szCs w:val="24"/>
              </w:rPr>
            </w:pPr>
            <w:r>
              <w:rPr>
                <w:rFonts w:hint="eastAsia" w:ascii="宋体" w:hAnsi="宋体" w:eastAsia="宋体"/>
                <w:b/>
                <w:bCs/>
                <w:iCs/>
                <w:sz w:val="24"/>
                <w:szCs w:val="24"/>
              </w:rPr>
              <w:t>投资者关系</w:t>
            </w:r>
          </w:p>
          <w:p w14:paraId="2668E889">
            <w:pPr>
              <w:spacing w:line="360" w:lineRule="auto"/>
              <w:jc w:val="center"/>
              <w:rPr>
                <w:rFonts w:ascii="宋体" w:hAnsi="宋体" w:eastAsia="宋体"/>
                <w:b/>
                <w:bCs/>
                <w:iCs/>
                <w:sz w:val="24"/>
                <w:szCs w:val="24"/>
              </w:rPr>
            </w:pPr>
            <w:r>
              <w:rPr>
                <w:rFonts w:hint="eastAsia" w:ascii="宋体" w:hAnsi="宋体" w:eastAsia="宋体"/>
                <w:b/>
                <w:bCs/>
                <w:iCs/>
                <w:sz w:val="24"/>
                <w:szCs w:val="24"/>
              </w:rPr>
              <w:t>活动类别</w:t>
            </w:r>
          </w:p>
        </w:tc>
        <w:tc>
          <w:tcPr>
            <w:tcW w:w="6487" w:type="dxa"/>
            <w:shd w:val="clear" w:color="auto" w:fill="auto"/>
            <w:vAlign w:val="center"/>
          </w:tcPr>
          <w:p w14:paraId="04CAE132">
            <w:pPr>
              <w:tabs>
                <w:tab w:val="left" w:pos="3045"/>
                <w:tab w:val="center" w:pos="3199"/>
              </w:tabs>
              <w:spacing w:line="360" w:lineRule="auto"/>
              <w:jc w:val="both"/>
              <w:rPr>
                <w:rFonts w:hint="default" w:ascii="宋体" w:hAnsi="宋体" w:eastAsia="宋体"/>
                <w:bCs/>
                <w:iCs/>
                <w:sz w:val="24"/>
                <w:szCs w:val="24"/>
                <w:lang w:val="en-US" w:eastAsia="zh-CN"/>
              </w:rPr>
            </w:pPr>
            <w:r>
              <w:rPr>
                <w:rFonts w:hint="eastAsia" w:ascii="宋体" w:hAnsi="宋体" w:eastAsia="宋体"/>
                <w:bCs/>
                <w:iCs/>
                <w:sz w:val="24"/>
                <w:szCs w:val="24"/>
                <w:lang w:val="en-US" w:eastAsia="zh-CN"/>
              </w:rPr>
              <w:t>业绩说明会</w:t>
            </w:r>
          </w:p>
        </w:tc>
      </w:tr>
      <w:tr w14:paraId="5DC0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019" w:type="dxa"/>
            <w:shd w:val="clear" w:color="auto" w:fill="auto"/>
            <w:vAlign w:val="center"/>
          </w:tcPr>
          <w:p w14:paraId="65708B3C">
            <w:pPr>
              <w:spacing w:line="360" w:lineRule="auto"/>
              <w:jc w:val="center"/>
              <w:rPr>
                <w:rFonts w:hint="eastAsia" w:ascii="宋体" w:hAnsi="宋体" w:eastAsia="宋体"/>
                <w:b/>
                <w:bCs/>
                <w:iCs/>
                <w:sz w:val="24"/>
                <w:szCs w:val="24"/>
              </w:rPr>
            </w:pPr>
            <w:r>
              <w:rPr>
                <w:rFonts w:hint="eastAsia" w:ascii="宋体" w:hAnsi="宋体" w:eastAsia="宋体"/>
                <w:b/>
                <w:bCs/>
                <w:iCs/>
                <w:sz w:val="24"/>
                <w:szCs w:val="24"/>
              </w:rPr>
              <w:t>活动主题</w:t>
            </w:r>
          </w:p>
        </w:tc>
        <w:tc>
          <w:tcPr>
            <w:tcW w:w="6487" w:type="dxa"/>
            <w:shd w:val="clear" w:color="auto" w:fill="auto"/>
            <w:vAlign w:val="center"/>
          </w:tcPr>
          <w:p w14:paraId="37600A8D">
            <w:pPr>
              <w:spacing w:line="360" w:lineRule="auto"/>
              <w:jc w:val="both"/>
              <w:rPr>
                <w:rFonts w:ascii="宋体" w:hAnsi="宋体" w:eastAsia="宋体"/>
                <w:bCs/>
                <w:iCs/>
                <w:sz w:val="24"/>
                <w:szCs w:val="24"/>
              </w:rPr>
            </w:pPr>
            <w:r>
              <w:rPr>
                <w:rFonts w:hint="eastAsia" w:ascii="宋体" w:hAnsi="宋体" w:eastAsia="宋体" w:cs="宋体"/>
                <w:bCs/>
                <w:iCs/>
                <w:color w:val="000000"/>
                <w:sz w:val="24"/>
                <w:highlight w:val="none"/>
                <w:lang w:val="en-GB"/>
              </w:rPr>
              <w:t>杰克科技2026年半年度业绩说明会</w:t>
            </w:r>
          </w:p>
        </w:tc>
      </w:tr>
      <w:tr w14:paraId="73C26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shd w:val="clear" w:color="auto" w:fill="auto"/>
            <w:vAlign w:val="center"/>
          </w:tcPr>
          <w:p w14:paraId="70A34522">
            <w:pPr>
              <w:spacing w:line="360" w:lineRule="auto"/>
              <w:jc w:val="center"/>
              <w:rPr>
                <w:rFonts w:hint="eastAsia" w:ascii="宋体" w:hAnsi="宋体" w:eastAsia="宋体"/>
                <w:b/>
                <w:bCs/>
                <w:iCs/>
                <w:sz w:val="24"/>
                <w:szCs w:val="24"/>
              </w:rPr>
            </w:pPr>
            <w:r>
              <w:rPr>
                <w:rFonts w:hint="eastAsia" w:ascii="宋体" w:hAnsi="宋体" w:eastAsia="宋体"/>
                <w:b/>
                <w:bCs/>
                <w:iCs/>
                <w:sz w:val="24"/>
                <w:szCs w:val="24"/>
              </w:rPr>
              <w:t>时  间</w:t>
            </w:r>
          </w:p>
        </w:tc>
        <w:tc>
          <w:tcPr>
            <w:tcW w:w="6487" w:type="dxa"/>
            <w:shd w:val="clear" w:color="auto" w:fill="auto"/>
            <w:vAlign w:val="top"/>
          </w:tcPr>
          <w:p w14:paraId="5A7F0C7F">
            <w:pPr>
              <w:spacing w:line="360" w:lineRule="auto"/>
              <w:rPr>
                <w:rFonts w:ascii="宋体" w:hAnsi="宋体" w:eastAsia="宋体"/>
                <w:bCs/>
                <w:iCs/>
                <w:sz w:val="24"/>
                <w:szCs w:val="24"/>
              </w:rPr>
            </w:pPr>
            <w:r>
              <w:rPr>
                <w:rFonts w:hint="eastAsia" w:ascii="宋体" w:hAnsi="宋体" w:eastAsia="宋体"/>
                <w:bCs/>
                <w:iCs/>
                <w:sz w:val="24"/>
                <w:szCs w:val="24"/>
              </w:rPr>
              <w:t>20</w:t>
            </w:r>
            <w:r>
              <w:rPr>
                <w:rFonts w:ascii="宋体" w:hAnsi="宋体" w:eastAsia="宋体"/>
                <w:bCs/>
                <w:iCs/>
                <w:sz w:val="24"/>
                <w:szCs w:val="24"/>
              </w:rPr>
              <w:t>2</w:t>
            </w:r>
            <w:r>
              <w:rPr>
                <w:rFonts w:hint="eastAsia" w:ascii="宋体" w:hAnsi="宋体" w:eastAsia="宋体"/>
                <w:bCs/>
                <w:iCs/>
                <w:sz w:val="24"/>
                <w:szCs w:val="24"/>
                <w:lang w:val="en-US" w:eastAsia="zh-CN"/>
              </w:rPr>
              <w:t>6</w:t>
            </w:r>
            <w:r>
              <w:rPr>
                <w:rFonts w:hint="eastAsia" w:ascii="宋体" w:hAnsi="宋体" w:eastAsia="宋体"/>
                <w:bCs/>
                <w:iCs/>
                <w:sz w:val="24"/>
                <w:szCs w:val="24"/>
              </w:rPr>
              <w:t>年</w:t>
            </w:r>
            <w:r>
              <w:rPr>
                <w:rFonts w:hint="eastAsia" w:ascii="宋体" w:hAnsi="宋体" w:eastAsia="宋体"/>
                <w:bCs/>
                <w:iCs/>
                <w:sz w:val="24"/>
                <w:szCs w:val="24"/>
                <w:lang w:val="en-US" w:eastAsia="zh-CN"/>
              </w:rPr>
              <w:t>9月23</w:t>
            </w:r>
            <w:r>
              <w:rPr>
                <w:rFonts w:hint="eastAsia" w:ascii="宋体" w:hAnsi="宋体" w:eastAsia="宋体"/>
                <w:bCs/>
                <w:iCs/>
                <w:sz w:val="24"/>
                <w:szCs w:val="24"/>
              </w:rPr>
              <w:t>日</w:t>
            </w:r>
            <w:r>
              <w:rPr>
                <w:rFonts w:hint="eastAsia" w:ascii="宋体" w:hAnsi="宋体" w:eastAsia="宋体"/>
                <w:bCs/>
                <w:iCs/>
                <w:sz w:val="24"/>
                <w:szCs w:val="24"/>
                <w:lang w:val="en-US" w:eastAsia="zh-CN"/>
              </w:rPr>
              <w:t xml:space="preserve"> 9</w:t>
            </w:r>
            <w:r>
              <w:rPr>
                <w:rFonts w:hint="eastAsia" w:ascii="宋体" w:hAnsi="宋体" w:eastAsia="宋体"/>
                <w:bCs/>
                <w:iCs/>
                <w:sz w:val="24"/>
                <w:szCs w:val="24"/>
              </w:rPr>
              <w:t>:0</w:t>
            </w:r>
            <w:r>
              <w:rPr>
                <w:rFonts w:ascii="宋体" w:hAnsi="宋体" w:eastAsia="宋体"/>
                <w:bCs/>
                <w:iCs/>
                <w:sz w:val="24"/>
                <w:szCs w:val="24"/>
              </w:rPr>
              <w:t>0</w:t>
            </w:r>
            <w:r>
              <w:rPr>
                <w:rFonts w:hint="eastAsia" w:ascii="宋体" w:hAnsi="宋体" w:eastAsia="宋体"/>
                <w:bCs/>
                <w:iCs/>
                <w:sz w:val="24"/>
                <w:szCs w:val="24"/>
              </w:rPr>
              <w:t>-</w:t>
            </w:r>
            <w:r>
              <w:rPr>
                <w:rFonts w:ascii="宋体" w:hAnsi="宋体" w:eastAsia="宋体"/>
                <w:bCs/>
                <w:iCs/>
                <w:sz w:val="24"/>
                <w:szCs w:val="24"/>
              </w:rPr>
              <w:t>1</w:t>
            </w:r>
            <w:r>
              <w:rPr>
                <w:rFonts w:hint="eastAsia" w:ascii="宋体" w:hAnsi="宋体" w:eastAsia="宋体"/>
                <w:bCs/>
                <w:iCs/>
                <w:sz w:val="24"/>
                <w:szCs w:val="24"/>
                <w:lang w:val="en-US" w:eastAsia="zh-CN"/>
              </w:rPr>
              <w:t>0</w:t>
            </w:r>
            <w:r>
              <w:rPr>
                <w:rFonts w:hint="eastAsia" w:ascii="宋体" w:hAnsi="宋体" w:eastAsia="宋体"/>
                <w:bCs/>
                <w:iCs/>
                <w:sz w:val="24"/>
                <w:szCs w:val="24"/>
              </w:rPr>
              <w:t>:</w:t>
            </w:r>
            <w:r>
              <w:rPr>
                <w:rFonts w:hint="eastAsia" w:ascii="宋体" w:hAnsi="宋体" w:eastAsia="宋体"/>
                <w:bCs/>
                <w:iCs/>
                <w:sz w:val="24"/>
                <w:szCs w:val="24"/>
                <w:lang w:val="en-US" w:eastAsia="zh-CN"/>
              </w:rPr>
              <w:t>0</w:t>
            </w:r>
            <w:r>
              <w:rPr>
                <w:rFonts w:ascii="宋体" w:hAnsi="宋体" w:eastAsia="宋体"/>
                <w:bCs/>
                <w:iCs/>
                <w:sz w:val="24"/>
                <w:szCs w:val="24"/>
              </w:rPr>
              <w:t>0</w:t>
            </w:r>
          </w:p>
        </w:tc>
      </w:tr>
      <w:tr w14:paraId="01C27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shd w:val="clear" w:color="auto" w:fill="auto"/>
            <w:vAlign w:val="center"/>
          </w:tcPr>
          <w:p w14:paraId="2F10A681">
            <w:pPr>
              <w:spacing w:line="360" w:lineRule="auto"/>
              <w:jc w:val="center"/>
              <w:rPr>
                <w:rFonts w:hint="eastAsia" w:ascii="宋体" w:hAnsi="宋体" w:eastAsia="宋体"/>
                <w:b/>
                <w:bCs/>
                <w:iCs/>
                <w:sz w:val="24"/>
                <w:szCs w:val="24"/>
              </w:rPr>
            </w:pPr>
            <w:r>
              <w:rPr>
                <w:rFonts w:hint="eastAsia" w:ascii="宋体" w:hAnsi="宋体" w:eastAsia="宋体"/>
                <w:b/>
                <w:bCs/>
                <w:iCs/>
                <w:sz w:val="24"/>
                <w:szCs w:val="24"/>
              </w:rPr>
              <w:t>地点/方式</w:t>
            </w:r>
          </w:p>
        </w:tc>
        <w:tc>
          <w:tcPr>
            <w:tcW w:w="6487" w:type="dxa"/>
            <w:shd w:val="clear" w:color="auto" w:fill="auto"/>
            <w:vAlign w:val="top"/>
          </w:tcPr>
          <w:p w14:paraId="2ECE3685">
            <w:pPr>
              <w:spacing w:line="360" w:lineRule="auto"/>
              <w:rPr>
                <w:rFonts w:hint="eastAsia" w:ascii="宋体" w:hAnsi="宋体" w:eastAsia="宋体" w:cs="宋体"/>
                <w:bCs/>
                <w:iCs/>
                <w:sz w:val="24"/>
                <w:szCs w:val="24"/>
              </w:rPr>
            </w:pPr>
            <w:r>
              <w:rPr>
                <w:rFonts w:hint="eastAsia" w:ascii="宋体" w:hAnsi="宋体" w:eastAsia="宋体" w:cs="宋体"/>
                <w:bCs/>
                <w:iCs/>
                <w:sz w:val="24"/>
                <w:szCs w:val="24"/>
              </w:rPr>
              <w:t xml:space="preserve">上证路演中心 </w:t>
            </w:r>
            <w:r>
              <w:rPr>
                <w:rFonts w:hint="eastAsia" w:ascii="宋体" w:hAnsi="宋体" w:eastAsia="宋体" w:cs="宋体"/>
                <w:bCs/>
                <w:iCs/>
                <w:sz w:val="24"/>
                <w:szCs w:val="24"/>
              </w:rPr>
              <w:fldChar w:fldCharType="begin"/>
            </w:r>
            <w:r>
              <w:rPr>
                <w:rFonts w:hint="eastAsia" w:ascii="宋体" w:hAnsi="宋体" w:eastAsia="宋体" w:cs="宋体"/>
                <w:bCs/>
                <w:iCs/>
                <w:sz w:val="24"/>
                <w:szCs w:val="24"/>
              </w:rPr>
              <w:instrText xml:space="preserve"> HYPERLINK "https://roadshow.sseinfo.com" </w:instrText>
            </w:r>
            <w:r>
              <w:rPr>
                <w:rFonts w:hint="eastAsia" w:ascii="宋体" w:hAnsi="宋体" w:eastAsia="宋体" w:cs="宋体"/>
                <w:bCs/>
                <w:iCs/>
                <w:sz w:val="24"/>
                <w:szCs w:val="24"/>
              </w:rPr>
              <w:fldChar w:fldCharType="separate"/>
            </w:r>
            <w:r>
              <w:rPr>
                <w:rFonts w:hint="eastAsia" w:ascii="宋体" w:hAnsi="宋体" w:eastAsia="宋体" w:cs="宋体"/>
                <w:bCs/>
                <w:iCs/>
                <w:sz w:val="24"/>
                <w:szCs w:val="24"/>
              </w:rPr>
              <w:t>https://roadshow.sseinfo.com</w:t>
            </w:r>
            <w:r>
              <w:rPr>
                <w:rFonts w:hint="eastAsia" w:ascii="宋体" w:hAnsi="宋体" w:eastAsia="宋体" w:cs="宋体"/>
                <w:bCs/>
                <w:iCs/>
                <w:sz w:val="24"/>
                <w:szCs w:val="24"/>
              </w:rPr>
              <w:fldChar w:fldCharType="end"/>
            </w:r>
          </w:p>
          <w:p w14:paraId="349A4576">
            <w:pPr>
              <w:spacing w:line="360" w:lineRule="auto"/>
              <w:rPr>
                <w:rFonts w:hint="eastAsia" w:ascii="宋体" w:hAnsi="宋体" w:eastAsia="宋体" w:cs="宋体"/>
                <w:bCs/>
                <w:iCs/>
                <w:sz w:val="24"/>
                <w:szCs w:val="24"/>
                <w:lang w:val="en-US" w:eastAsia="zh-CN"/>
              </w:rPr>
            </w:pPr>
            <w:r>
              <w:rPr>
                <w:rFonts w:hint="eastAsia" w:ascii="宋体" w:hAnsi="宋体" w:eastAsia="宋体" w:cs="宋体"/>
                <w:bCs/>
                <w:iCs/>
                <w:sz w:val="24"/>
                <w:szCs w:val="24"/>
              </w:rPr>
              <w:t>网络文字互动</w:t>
            </w:r>
            <w:bookmarkStart w:id="0" w:name="_GoBack"/>
            <w:bookmarkEnd w:id="0"/>
          </w:p>
        </w:tc>
      </w:tr>
      <w:tr w14:paraId="2F4E8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shd w:val="clear" w:color="auto" w:fill="auto"/>
            <w:vAlign w:val="center"/>
          </w:tcPr>
          <w:p w14:paraId="106FCDCC">
            <w:pPr>
              <w:spacing w:line="360" w:lineRule="auto"/>
              <w:jc w:val="center"/>
              <w:rPr>
                <w:rFonts w:hint="eastAsia" w:ascii="宋体" w:hAnsi="宋体" w:eastAsia="宋体"/>
                <w:b/>
                <w:bCs/>
                <w:iCs/>
                <w:sz w:val="24"/>
                <w:szCs w:val="24"/>
              </w:rPr>
            </w:pPr>
            <w:r>
              <w:rPr>
                <w:rFonts w:hint="eastAsia" w:ascii="宋体" w:hAnsi="宋体" w:eastAsia="宋体"/>
                <w:b/>
                <w:bCs/>
                <w:iCs/>
                <w:sz w:val="24"/>
                <w:szCs w:val="24"/>
              </w:rPr>
              <w:t>参会人员</w:t>
            </w:r>
          </w:p>
        </w:tc>
        <w:tc>
          <w:tcPr>
            <w:tcW w:w="6487" w:type="dxa"/>
            <w:shd w:val="clear" w:color="auto" w:fill="auto"/>
          </w:tcPr>
          <w:p w14:paraId="5A44E455">
            <w:pPr>
              <w:spacing w:line="360" w:lineRule="auto"/>
              <w:rPr>
                <w:rFonts w:hint="eastAsia" w:ascii="宋体" w:hAnsi="宋体" w:eastAsia="宋体" w:cs="宋体"/>
                <w:bCs/>
                <w:iCs/>
                <w:sz w:val="24"/>
                <w:szCs w:val="24"/>
              </w:rPr>
            </w:pPr>
            <w:r>
              <w:rPr>
                <w:rFonts w:hint="eastAsia" w:ascii="宋体" w:hAnsi="宋体" w:eastAsia="宋体" w:cs="宋体"/>
                <w:bCs/>
                <w:iCs/>
                <w:sz w:val="24"/>
                <w:szCs w:val="24"/>
              </w:rPr>
              <w:t>董事长：阮积祥</w:t>
            </w:r>
          </w:p>
          <w:p w14:paraId="0C76A21F">
            <w:pPr>
              <w:spacing w:line="360" w:lineRule="auto"/>
              <w:rPr>
                <w:rFonts w:hint="eastAsia" w:ascii="宋体" w:hAnsi="宋体" w:eastAsia="宋体" w:cs="宋体"/>
                <w:bCs/>
                <w:iCs/>
                <w:sz w:val="24"/>
                <w:szCs w:val="24"/>
              </w:rPr>
            </w:pPr>
            <w:r>
              <w:rPr>
                <w:rFonts w:hint="eastAsia" w:ascii="宋体" w:hAnsi="宋体" w:eastAsia="宋体" w:cs="宋体"/>
                <w:bCs/>
                <w:iCs/>
                <w:sz w:val="24"/>
                <w:szCs w:val="24"/>
              </w:rPr>
              <w:t>副董事长、副总裁兼董事会秘书：谢云娇</w:t>
            </w:r>
          </w:p>
          <w:p w14:paraId="4C6E6286">
            <w:pPr>
              <w:spacing w:line="360" w:lineRule="auto"/>
              <w:rPr>
                <w:rFonts w:hint="eastAsia" w:ascii="宋体" w:hAnsi="宋体" w:eastAsia="宋体" w:cs="宋体"/>
                <w:bCs/>
                <w:iCs/>
                <w:sz w:val="24"/>
                <w:szCs w:val="24"/>
                <w:lang w:val="en-US" w:eastAsia="zh-CN"/>
              </w:rPr>
            </w:pPr>
            <w:r>
              <w:rPr>
                <w:rFonts w:hint="eastAsia" w:ascii="宋体" w:hAnsi="宋体" w:eastAsia="宋体" w:cs="宋体"/>
                <w:bCs/>
                <w:iCs/>
                <w:sz w:val="24"/>
                <w:szCs w:val="24"/>
                <w:lang w:val="en-US" w:eastAsia="zh-CN"/>
              </w:rPr>
              <w:t>独立董事：</w:t>
            </w:r>
            <w:r>
              <w:rPr>
                <w:rFonts w:hint="eastAsia" w:ascii="宋体" w:hAnsi="宋体" w:eastAsia="宋体" w:cs="宋体"/>
                <w:sz w:val="24"/>
                <w:szCs w:val="24"/>
              </w:rPr>
              <w:t>屈哲锋</w:t>
            </w:r>
          </w:p>
          <w:p w14:paraId="39A62F6E">
            <w:pPr>
              <w:spacing w:line="360" w:lineRule="auto"/>
              <w:rPr>
                <w:rFonts w:hint="eastAsia" w:ascii="宋体" w:hAnsi="宋体" w:eastAsia="宋体" w:cs="宋体"/>
                <w:bCs/>
                <w:iCs/>
                <w:sz w:val="24"/>
                <w:szCs w:val="24"/>
              </w:rPr>
            </w:pPr>
            <w:r>
              <w:rPr>
                <w:rFonts w:hint="eastAsia" w:ascii="宋体" w:hAnsi="宋体" w:eastAsia="宋体" w:cs="宋体"/>
                <w:bCs/>
                <w:iCs/>
                <w:sz w:val="24"/>
                <w:szCs w:val="24"/>
              </w:rPr>
              <w:t>财务总监：林美芳</w:t>
            </w:r>
          </w:p>
        </w:tc>
      </w:tr>
      <w:tr w14:paraId="33D6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019" w:type="dxa"/>
            <w:shd w:val="clear" w:color="auto" w:fill="auto"/>
            <w:vAlign w:val="center"/>
          </w:tcPr>
          <w:p w14:paraId="48A466F0">
            <w:pPr>
              <w:spacing w:line="360" w:lineRule="auto"/>
              <w:jc w:val="center"/>
              <w:rPr>
                <w:rFonts w:ascii="宋体" w:hAnsi="宋体" w:eastAsia="宋体"/>
                <w:sz w:val="24"/>
                <w:szCs w:val="24"/>
              </w:rPr>
            </w:pPr>
            <w:r>
              <w:rPr>
                <w:rFonts w:hint="eastAsia" w:ascii="宋体" w:hAnsi="宋体" w:eastAsia="宋体"/>
                <w:b/>
                <w:bCs/>
                <w:iCs/>
                <w:sz w:val="24"/>
                <w:szCs w:val="24"/>
              </w:rPr>
              <w:t>投资者关系活动主要内容介绍</w:t>
            </w:r>
          </w:p>
        </w:tc>
        <w:tc>
          <w:tcPr>
            <w:tcW w:w="6487" w:type="dxa"/>
            <w:shd w:val="clear" w:color="auto" w:fill="auto"/>
          </w:tcPr>
          <w:p w14:paraId="2B5695AD">
            <w:pPr>
              <w:pStyle w:val="4"/>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b/>
                <w:bCs/>
                <w:lang w:val="en-US" w:eastAsia="zh-CN"/>
              </w:rPr>
            </w:pPr>
            <w:r>
              <w:rPr>
                <w:rFonts w:hint="eastAsia"/>
                <w:b/>
                <w:bCs/>
                <w:lang w:val="en-US" w:eastAsia="zh-CN"/>
              </w:rPr>
              <w:t>1、成套智联业务的存量替代空间有多大？增量市场空间主要在哪儿？大概有多大？目前上半年成套智联业务的毛利率大概是多少？对比现有的工业缝纫机设备，高出的这部分利润主要是哪些地方贡献的？</w:t>
            </w:r>
          </w:p>
          <w:p w14:paraId="142882ED">
            <w:pPr>
              <w:pStyle w:val="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b w:val="0"/>
                <w:bCs w:val="0"/>
                <w:lang w:val="en-US" w:eastAsia="zh-CN"/>
              </w:rPr>
            </w:pPr>
            <w:r>
              <w:rPr>
                <w:rFonts w:hint="eastAsia"/>
                <w:b w:val="0"/>
                <w:bCs w:val="0"/>
                <w:lang w:val="en-US" w:eastAsia="zh-CN"/>
              </w:rPr>
              <w:t>答:尊敬的投资者您好，成套智联业务的市场空间主要来自两方面：一是存量替代，既包括现有客户设备升级换代的需求，也涵盖全球范围内大量仍以单机生产为主的服装工厂的数字化改造；二是增量空间，主要集中在东南亚、南亚、非洲等服装产能转移承接地的新建工厂，以及国内头部企业的整厂智能化升级项目。目前该业务仍处于市场拓展与标杆客户打造阶段，2026年上半年实现收入5.28亿元。盈利能力方面，中长期看，成套业务毛利率有望高于单机业务，但短期内为优先提升中大型客户市占率，公司基本维持平均毛利率水平。相较传统工业缝纫机单机业务，成套方案更高的利润贡献并非来自硬件差价，而是源于数字化软件与系统集成带来的效率溢价，以及整厂方案对多品类设备配套销售的带动效应。感谢您的关注！</w:t>
            </w:r>
          </w:p>
          <w:p w14:paraId="70ADC4CC">
            <w:pPr>
              <w:pStyle w:val="4"/>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b/>
                <w:bCs/>
                <w:lang w:val="en-US" w:eastAsia="zh-CN"/>
              </w:rPr>
            </w:pPr>
            <w:r>
              <w:rPr>
                <w:rFonts w:hint="eastAsia"/>
                <w:b/>
                <w:bCs/>
                <w:lang w:val="en-US" w:eastAsia="zh-CN"/>
              </w:rPr>
              <w:t>2、请问数字成套业务增长逻辑是什么，订单特征、毛利率策略如何？</w:t>
            </w:r>
          </w:p>
          <w:p w14:paraId="04548E61">
            <w:pPr>
              <w:pStyle w:val="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b w:val="0"/>
                <w:bCs w:val="0"/>
                <w:lang w:val="en-US" w:eastAsia="zh-CN"/>
              </w:rPr>
            </w:pPr>
            <w:r>
              <w:rPr>
                <w:rFonts w:hint="eastAsia"/>
                <w:b w:val="0"/>
                <w:bCs w:val="0"/>
                <w:lang w:val="en-US" w:eastAsia="zh-CN"/>
              </w:rPr>
              <w:t>答:尊敬的投资者您好，数字成套业务的增长逻辑，核心在于以整厂智能化解决方案替代传统单机销售，通过“1+6”全流程模块（面辅料仓储、智能裁剪、AI排产吊挂、智能缝纫、智能分拣、数字化成品仓储）带动单机设备配套销售，提升单客户价值量与大客户黏性，进而拉动收入规模与市占率提升。订单特征上，该业务主要面向中大型服装企业，具有单笔金额大、决策周期长、客户黏性强、复购与增购属性明显等特点，且往往以整厂改造项目形式落地，一旦切入即形成长期合作。由于数字化软件能够助力效率提升，该业务中长期盈利能力有望高于单机业务，但目前仍处于市场空间拓展与标杆样板客户打造阶段，因此基本维持平均盈利水平，重点在于提升中大型客户市占率。从经营数据看，2025年全年成套业务收入为7.8亿元，2026年上半年收入为5.28亿元。感谢您的关注！</w:t>
            </w:r>
          </w:p>
          <w:p w14:paraId="00269424">
            <w:pPr>
              <w:pStyle w:val="4"/>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b/>
                <w:bCs/>
                <w:lang w:val="en-US" w:eastAsia="zh-CN"/>
              </w:rPr>
            </w:pPr>
            <w:r>
              <w:rPr>
                <w:rFonts w:hint="eastAsia"/>
                <w:b/>
                <w:bCs/>
                <w:lang w:val="en-US" w:eastAsia="zh-CN"/>
              </w:rPr>
              <w:t>3、请问贵公司收购COMELZ后，COMELZ在中国将采取何种业务模式？对于COMELZ原国内员工计划作何安排？ 请董事长展望一下对COMELZ在中国市场未来的发展前景</w:t>
            </w:r>
          </w:p>
          <w:p w14:paraId="20D2E55E">
            <w:pPr>
              <w:pStyle w:val="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b w:val="0"/>
                <w:bCs w:val="0"/>
                <w:lang w:val="en-US" w:eastAsia="zh-CN"/>
              </w:rPr>
            </w:pPr>
            <w:r>
              <w:rPr>
                <w:rFonts w:hint="eastAsia"/>
                <w:b w:val="0"/>
                <w:bCs w:val="0"/>
                <w:lang w:val="en-US" w:eastAsia="zh-CN"/>
              </w:rPr>
              <w:t>答:尊敬的投资者，您好！Comelz在中国市场将保持原有团队、品牌及运营独立性，并依托杰克国内渠道、客户资源及服务网络，将其全球领先的AI真皮检测与高端裁剪技术推向中国及亚洲市场，主要面向高端鞋类、包袋及汽车内饰等皮革制品领域，与杰克现有裁床业务形成“纺织面料+皮革材料”的全品类裁剪互补；原国内员工团队将保持稳定，并在杰克渠道赋能下协同发展。公司认为，Comelz领先技术在中国的普及将助力国内客户提升品质、降低成本，以及其欧洲高端渠道、高端客户带来杰克奔马系列产品进入中高端客户，公司对其中长期发展前景保持积极预期。感谢您的关注！</w:t>
            </w:r>
          </w:p>
          <w:p w14:paraId="2FB2A619">
            <w:pPr>
              <w:pStyle w:val="4"/>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b/>
                <w:bCs/>
                <w:lang w:val="en-US" w:eastAsia="zh-CN"/>
              </w:rPr>
            </w:pPr>
            <w:r>
              <w:rPr>
                <w:rFonts w:hint="eastAsia"/>
                <w:b/>
                <w:bCs/>
                <w:lang w:val="en-US" w:eastAsia="zh-CN"/>
              </w:rPr>
              <w:t>4、公司目前研发投入水平较高，后续是否还会持续加大研发投入？</w:t>
            </w:r>
          </w:p>
          <w:p w14:paraId="66A0CAA0">
            <w:pPr>
              <w:pStyle w:val="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b w:val="0"/>
                <w:bCs w:val="0"/>
                <w:lang w:val="en-US" w:eastAsia="zh-CN"/>
              </w:rPr>
            </w:pPr>
            <w:r>
              <w:rPr>
                <w:rFonts w:hint="eastAsia"/>
                <w:b w:val="0"/>
                <w:bCs w:val="0"/>
                <w:lang w:val="en-US" w:eastAsia="zh-CN"/>
              </w:rPr>
              <w:t>答:尊敬的投资者，您好！公司始终将研发创新视为长期竞争力的根基，坚持“只有持续投入研发、打造爆品为客户创造价值，才有企业可持续的未来”。公司坚持将每年营收的8%以上的资金投入研发，未来3-5年计划进一步提升至10%-12%。在投入结构上，公司执行“4-3-3”战略：40%用于现有主力产品迭代升级，夯实基本盘竞争力；30%投向下一代产品预研储备，对应数字成套等中期成长业务；30%分配至人形机器人等前沿探索板块。从近年财务表现看，即便研发投入持续加码，公司盈利能力持续优化，体现出研发投入带来的核心竞争力。感谢您的关注！</w:t>
            </w:r>
          </w:p>
          <w:p w14:paraId="355B6E4A">
            <w:pPr>
              <w:pStyle w:val="4"/>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b/>
                <w:bCs/>
                <w:lang w:val="en-US" w:eastAsia="zh-CN"/>
              </w:rPr>
            </w:pPr>
            <w:r>
              <w:rPr>
                <w:rFonts w:hint="eastAsia"/>
                <w:b/>
                <w:bCs/>
                <w:lang w:val="en-US" w:eastAsia="zh-CN"/>
              </w:rPr>
              <w:t>5、当前行业正从“卖单机”转向“卖整厂方案”，集中度也在加速提升。请问，数字成套业务目前的盈利模式是否已经跑通？下半年公司如何平衡抢占整厂方案份额与提升整体盈利能力？</w:t>
            </w:r>
          </w:p>
          <w:p w14:paraId="3BDC440D">
            <w:pPr>
              <w:pStyle w:val="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b w:val="0"/>
                <w:bCs w:val="0"/>
                <w:lang w:val="en-US" w:eastAsia="zh-CN"/>
              </w:rPr>
            </w:pPr>
            <w:r>
              <w:rPr>
                <w:rFonts w:hint="eastAsia"/>
                <w:b w:val="0"/>
                <w:bCs w:val="0"/>
                <w:lang w:val="en-US" w:eastAsia="zh-CN"/>
              </w:rPr>
              <w:t>答:尊敬的投资者，您好！数字成套业务经过多年与大客户的联合创新，已构建起“1+6”的数字化成套体系。目前公司主要通过成套解决方案带动主机设备销售，以规模效应和客户黏性提升来实现整体价值，而非单纯依赖软件盈利。当前该业务仍处于市场拓展阶段，公司更看重其在抢占整厂方案份额、提升大客户市占率方面的战略作用。</w:t>
            </w:r>
          </w:p>
          <w:p w14:paraId="58F4E52D">
            <w:pPr>
              <w:pStyle w:val="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b w:val="0"/>
                <w:bCs w:val="0"/>
                <w:lang w:val="en-US" w:eastAsia="zh-CN"/>
              </w:rPr>
            </w:pPr>
            <w:r>
              <w:rPr>
                <w:rFonts w:hint="eastAsia"/>
                <w:b w:val="0"/>
                <w:bCs w:val="0"/>
                <w:lang w:val="en-US" w:eastAsia="zh-CN"/>
              </w:rPr>
              <w:t>下半年在平衡份额与盈利方面，公司将采取以下思路：一是坚持以数字化成套为抓手抢占中大型客户整厂方案份额，巩固行业集中度提升趋势下的先发优势；二是通过产品结构优化，加大高附加值智能化产品占比，改善整体毛利率；三是持续深化供应链集采与精益生产降本，精细化管控费用投放；四是稳步推进海外市场布局，以全球份额提升摊薄研发与市场投入。公司将力求在扩大市场份额的同时，逐步实现盈利能力的同步改善。感谢您的关注！</w:t>
            </w:r>
          </w:p>
          <w:p w14:paraId="2663FAA7">
            <w:pPr>
              <w:pStyle w:val="4"/>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b/>
                <w:bCs/>
                <w:lang w:val="en-US" w:eastAsia="zh-CN"/>
              </w:rPr>
            </w:pPr>
            <w:r>
              <w:rPr>
                <w:rFonts w:hint="eastAsia"/>
                <w:b/>
                <w:bCs/>
                <w:lang w:val="en-US" w:eastAsia="zh-CN"/>
              </w:rPr>
              <w:t>6、公司三大业务板块分别如何定位，各自承担怎样的角色？</w:t>
            </w:r>
          </w:p>
          <w:p w14:paraId="1C96D2AB">
            <w:pPr>
              <w:pStyle w:val="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b w:val="0"/>
                <w:bCs w:val="0"/>
                <w:lang w:val="en-US" w:eastAsia="zh-CN"/>
              </w:rPr>
            </w:pPr>
            <w:r>
              <w:rPr>
                <w:rFonts w:hint="eastAsia"/>
                <w:b w:val="0"/>
                <w:bCs w:val="0"/>
                <w:lang w:val="en-US" w:eastAsia="zh-CN"/>
              </w:rPr>
              <w:t>答:尊敬的投资者，您好！公司三大业务板块形成“基本盘托底—中期增长驱动—远期空间打开”的阶梯式布局：工业缝纫机作为核心基本盘与“压舱石”，覆盖全球170多个国家、8200余家经销商，持续输出稳定现金流，为新业务提供资本与资源底座；数字成套解决方案作为未来2-3年的中期增长引擎，覆盖服装工厂六大全流程智能化模块，以整厂智能化改造沉淀软件、数据与标杆客户，为人形机器人落地完成前置铺垫；艾图人形机器人则承担中长期战略开拓角色，依托服装制造垂直场景定点突破，技术与商业模式跑通后，将逐步替代简单重复岗位，打开行业长期成长天花板。感谢您的关注！</w:t>
            </w:r>
          </w:p>
          <w:p w14:paraId="1F401677">
            <w:pPr>
              <w:pStyle w:val="4"/>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b/>
                <w:bCs/>
                <w:lang w:val="en-US" w:eastAsia="zh-CN"/>
              </w:rPr>
            </w:pPr>
            <w:r>
              <w:rPr>
                <w:rFonts w:hint="eastAsia"/>
                <w:b/>
                <w:bCs/>
                <w:lang w:val="en-US" w:eastAsia="zh-CN"/>
              </w:rPr>
              <w:t>7、从长期看，人形机器人落地之后，会对原有工业缝纫机单机业务产生怎样的冲击，是否存在内部替代效应？</w:t>
            </w:r>
          </w:p>
          <w:p w14:paraId="0003458B">
            <w:pPr>
              <w:pStyle w:val="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b w:val="0"/>
                <w:bCs w:val="0"/>
                <w:lang w:val="en-US" w:eastAsia="zh-CN"/>
              </w:rPr>
            </w:pPr>
            <w:r>
              <w:rPr>
                <w:rFonts w:hint="eastAsia"/>
                <w:b w:val="0"/>
                <w:bCs w:val="0"/>
                <w:lang w:val="en-US" w:eastAsia="zh-CN"/>
              </w:rPr>
              <w:t>答:尊敬的投资者您好，整体来看，公司认为不存在直接的内部替代冲击，新业务与原有单机业务更多体现为互补、相互赋能的关系。一方面，数字成套产线和艾图人形机器人并不会替代缝纫单机设备：人形机器人主要负责裁片抓取、布料对齐、物料搬运等前置辅助工序，搭配公司自动机完成相应工序，服装核心缝纫作业环节仍需依靠公司自产的工业缝纫机单机；成套项目及机器人落地反而能够拉动单机设备配套订单增长。另一方面，智能化产线对缝纫机提出更高要求，设备需具备联网、数据采集、稳定协同运行等数字化能力，将推动存量市场老旧单机向高配置联网机型升级，打开存量替换空间。从长期看，若未来服装产线工艺路线出现重大变革，行业设备需求结构或将随之调整。公司的应对思路是推动成套、机器人、单机协同研发迭代升级，统一软硬件接口标准，确保单机产品持续适配新一代智能化产线要求，并在与机器人的迭代升级中实现双向协同优化，助力服装生产效率及品质双提升。感谢您的关注！</w:t>
            </w:r>
          </w:p>
          <w:p w14:paraId="6FDC8925">
            <w:pPr>
              <w:pStyle w:val="4"/>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b/>
                <w:bCs/>
                <w:lang w:val="en-US" w:eastAsia="zh-CN"/>
              </w:rPr>
            </w:pPr>
            <w:r>
              <w:rPr>
                <w:rFonts w:hint="eastAsia"/>
                <w:b/>
                <w:bCs/>
                <w:lang w:val="en-US" w:eastAsia="zh-CN"/>
              </w:rPr>
              <w:t>8、Ai10缝纫机目前的月销量是多少？在手订单有多少？已购用户的复购率如何？市场前景如何？</w:t>
            </w:r>
          </w:p>
          <w:p w14:paraId="31262ABD">
            <w:pPr>
              <w:pStyle w:val="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b w:val="0"/>
                <w:bCs w:val="0"/>
                <w:lang w:val="en-US" w:eastAsia="zh-CN"/>
              </w:rPr>
            </w:pPr>
            <w:r>
              <w:rPr>
                <w:rFonts w:hint="eastAsia"/>
                <w:b w:val="0"/>
                <w:bCs w:val="0"/>
                <w:lang w:val="en-US" w:eastAsia="zh-CN"/>
              </w:rPr>
              <w:t>答:尊敬的投资者您好，Ai10缝纫机作为公司推出的全球首款AI缝纫机，目前正处于市场推广与产能爬坡阶段，产品已实现量产并在国内外市场陆续交付，整体市场反馈积极，目前月产能达2000台。Ai10的价值不仅体现在其自身的销量贡献，更重要的是以AI缝纫机为切入点，带动公司其他品类设备进入中大型客户，促进数字化成套方案的整体落地，从而带来公司在中大型客户市占率的整体提升。从行业趋势看，服装制造招工难、用工贵问题长期存在，AI缝纫机通过智能调机、降低新工培训门槛、提升车工效率，契合下游客户降本增效的刚性需求，公司对该产品的长期市场空间保持乐观，并将持续加大推广力度。感谢您的关注！</w:t>
            </w:r>
          </w:p>
          <w:p w14:paraId="17D2DA8E">
            <w:pPr>
              <w:pStyle w:val="4"/>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b/>
                <w:bCs/>
                <w:lang w:val="en-US" w:eastAsia="zh-CN"/>
              </w:rPr>
            </w:pPr>
            <w:r>
              <w:rPr>
                <w:rFonts w:hint="eastAsia"/>
                <w:b/>
                <w:bCs/>
                <w:lang w:val="en-US" w:eastAsia="zh-CN"/>
              </w:rPr>
              <w:t>9、公司2026年上半年收入实现两位数增长，但利润增长远低于收入增长核心，原因有哪些？</w:t>
            </w:r>
          </w:p>
          <w:p w14:paraId="24EB7533">
            <w:pPr>
              <w:pStyle w:val="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b w:val="0"/>
                <w:bCs w:val="0"/>
                <w:lang w:val="en-US" w:eastAsia="zh-CN"/>
              </w:rPr>
            </w:pPr>
            <w:r>
              <w:rPr>
                <w:rFonts w:hint="eastAsia"/>
                <w:b w:val="0"/>
                <w:bCs w:val="0"/>
                <w:lang w:val="en-US" w:eastAsia="zh-CN"/>
              </w:rPr>
              <w:t>答:2026年收入增长主要来自数字化成套带来大客户市占率提升，为了加快机器人业务发展，加大研发投入和研发人才引进以及数字成套在中大型客户落地的市场洞察、市场布局等投入，此外上半年成本上涨以及人民币升值也是影响利润增速重要因素。</w:t>
            </w:r>
          </w:p>
          <w:p w14:paraId="09F92260">
            <w:pPr>
              <w:pStyle w:val="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b w:val="0"/>
                <w:bCs w:val="0"/>
                <w:lang w:val="en-US" w:eastAsia="zh-CN"/>
              </w:rPr>
            </w:pPr>
            <w:r>
              <w:rPr>
                <w:rFonts w:hint="eastAsia"/>
                <w:b w:val="0"/>
                <w:bCs w:val="0"/>
                <w:lang w:val="en-US" w:eastAsia="zh-CN"/>
              </w:rPr>
              <w:t>下半年公司重点通过产品结构改善以及降本增效来改善优化公司盈利情况。</w:t>
            </w:r>
          </w:p>
          <w:p w14:paraId="12381229">
            <w:pPr>
              <w:pStyle w:val="4"/>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b/>
                <w:bCs/>
                <w:lang w:val="en-US" w:eastAsia="zh-CN"/>
              </w:rPr>
            </w:pPr>
            <w:r>
              <w:rPr>
                <w:rFonts w:hint="eastAsia"/>
                <w:b/>
                <w:bCs/>
                <w:lang w:val="en-US" w:eastAsia="zh-CN"/>
              </w:rPr>
              <w:t>10、人形机器人现阶段到底能做哪些工序，哪些是短期做不到的？</w:t>
            </w:r>
          </w:p>
          <w:p w14:paraId="4ED72DD1">
            <w:pPr>
              <w:pStyle w:val="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b/>
                <w:bCs/>
                <w:lang w:val="en-US" w:eastAsia="zh-CN"/>
              </w:rPr>
            </w:pPr>
            <w:r>
              <w:rPr>
                <w:rFonts w:hint="eastAsia"/>
                <w:b w:val="0"/>
                <w:bCs w:val="0"/>
                <w:lang w:val="en-US" w:eastAsia="zh-CN"/>
              </w:rPr>
              <w:t>答:尊敬的投资者您好，服装缝纫场景的工艺复杂度差异较大，不同工序对应完全不同的技术成熟度与落地节奏。现阶段艾图人形机器人并非直接替代坐在机位上执行缝纫动作的工人，而是优先聚焦裁片抓取、位移输送、布料对齐定位等标准化程度高、简单重复的工位，这类岗位约占全球服装用工规模的10%，对应潜在替代规模约800-1000万。对于高复杂度的直接缝纫作业，机器人短期尚不具备替代能力，公司将按照由易到难的路径逐步推进落地。感谢您的关注！</w:t>
            </w:r>
          </w:p>
          <w:p w14:paraId="1FA3CCFF">
            <w:pPr>
              <w:pStyle w:val="4"/>
              <w:widowControl/>
              <w:spacing w:line="360" w:lineRule="auto"/>
              <w:jc w:val="both"/>
              <w:rPr>
                <w:rFonts w:hint="default"/>
              </w:rPr>
            </w:pPr>
          </w:p>
        </w:tc>
      </w:tr>
    </w:tbl>
    <w:p w14:paraId="7B9B1F3E">
      <w:pPr>
        <w:spacing w:line="360" w:lineRule="auto"/>
        <w:jc w:val="left"/>
        <w:rPr>
          <w:rFonts w:ascii="宋体" w:hAnsi="宋体" w:eastAsia="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YwOTNjYmJkMTg1ZjU3ODZiNTFiNTY5NzE0YTM1M2UifQ=="/>
  </w:docVars>
  <w:rsids>
    <w:rsidRoot w:val="00454C15"/>
    <w:rsid w:val="00023452"/>
    <w:rsid w:val="00043986"/>
    <w:rsid w:val="00043CC9"/>
    <w:rsid w:val="00106BAE"/>
    <w:rsid w:val="00126A8A"/>
    <w:rsid w:val="00143CCA"/>
    <w:rsid w:val="001A4DD7"/>
    <w:rsid w:val="001D159D"/>
    <w:rsid w:val="001E605E"/>
    <w:rsid w:val="00202BAE"/>
    <w:rsid w:val="00204AEE"/>
    <w:rsid w:val="00205A71"/>
    <w:rsid w:val="00221018"/>
    <w:rsid w:val="00221BB1"/>
    <w:rsid w:val="002353F1"/>
    <w:rsid w:val="003B1E4D"/>
    <w:rsid w:val="003C4200"/>
    <w:rsid w:val="004137A5"/>
    <w:rsid w:val="00454C15"/>
    <w:rsid w:val="0046070B"/>
    <w:rsid w:val="00462EB9"/>
    <w:rsid w:val="004721D2"/>
    <w:rsid w:val="004C7C33"/>
    <w:rsid w:val="00554A62"/>
    <w:rsid w:val="00572B12"/>
    <w:rsid w:val="00595BE0"/>
    <w:rsid w:val="005D183D"/>
    <w:rsid w:val="00620360"/>
    <w:rsid w:val="00633279"/>
    <w:rsid w:val="00662ECE"/>
    <w:rsid w:val="00680E9C"/>
    <w:rsid w:val="006E42D0"/>
    <w:rsid w:val="006F5048"/>
    <w:rsid w:val="0070702F"/>
    <w:rsid w:val="00715B9C"/>
    <w:rsid w:val="0072030D"/>
    <w:rsid w:val="00733AB4"/>
    <w:rsid w:val="00740AD7"/>
    <w:rsid w:val="00750465"/>
    <w:rsid w:val="007A02AC"/>
    <w:rsid w:val="007E2E2E"/>
    <w:rsid w:val="00806784"/>
    <w:rsid w:val="008335E4"/>
    <w:rsid w:val="0085202F"/>
    <w:rsid w:val="0088122A"/>
    <w:rsid w:val="008A73EF"/>
    <w:rsid w:val="008D615F"/>
    <w:rsid w:val="009432DC"/>
    <w:rsid w:val="009A1BB7"/>
    <w:rsid w:val="009F41CA"/>
    <w:rsid w:val="00A47179"/>
    <w:rsid w:val="00A85F60"/>
    <w:rsid w:val="00AE407E"/>
    <w:rsid w:val="00AF01BA"/>
    <w:rsid w:val="00B142CD"/>
    <w:rsid w:val="00B47E87"/>
    <w:rsid w:val="00B54FAC"/>
    <w:rsid w:val="00B62745"/>
    <w:rsid w:val="00B900AB"/>
    <w:rsid w:val="00B949CB"/>
    <w:rsid w:val="00BC0E2D"/>
    <w:rsid w:val="00BD1507"/>
    <w:rsid w:val="00BD605C"/>
    <w:rsid w:val="00BD7C3C"/>
    <w:rsid w:val="00BE13A2"/>
    <w:rsid w:val="00BF6C91"/>
    <w:rsid w:val="00C15E8E"/>
    <w:rsid w:val="00C8711C"/>
    <w:rsid w:val="00CA18D2"/>
    <w:rsid w:val="00D04F0C"/>
    <w:rsid w:val="00D434ED"/>
    <w:rsid w:val="00DA4F30"/>
    <w:rsid w:val="00DB15ED"/>
    <w:rsid w:val="00DF318D"/>
    <w:rsid w:val="00E15A6B"/>
    <w:rsid w:val="00E45EAE"/>
    <w:rsid w:val="00EA0E28"/>
    <w:rsid w:val="00ED2F3A"/>
    <w:rsid w:val="00ED326E"/>
    <w:rsid w:val="00ED36D3"/>
    <w:rsid w:val="00F06AEA"/>
    <w:rsid w:val="00FA4069"/>
    <w:rsid w:val="00FB0E16"/>
    <w:rsid w:val="00FC6B24"/>
    <w:rsid w:val="01707875"/>
    <w:rsid w:val="035C4023"/>
    <w:rsid w:val="0DE85E53"/>
    <w:rsid w:val="115A0E16"/>
    <w:rsid w:val="12347A37"/>
    <w:rsid w:val="18E53AEB"/>
    <w:rsid w:val="19CF7300"/>
    <w:rsid w:val="1A302405"/>
    <w:rsid w:val="1B824ED9"/>
    <w:rsid w:val="1BCB44A6"/>
    <w:rsid w:val="20AE0A03"/>
    <w:rsid w:val="21273D2C"/>
    <w:rsid w:val="236B50EC"/>
    <w:rsid w:val="268A5CC2"/>
    <w:rsid w:val="3155311F"/>
    <w:rsid w:val="31C95F96"/>
    <w:rsid w:val="36612309"/>
    <w:rsid w:val="3A6D787B"/>
    <w:rsid w:val="3B1875FF"/>
    <w:rsid w:val="3B997A08"/>
    <w:rsid w:val="3F7F006E"/>
    <w:rsid w:val="40751A93"/>
    <w:rsid w:val="48B843DB"/>
    <w:rsid w:val="534A5F90"/>
    <w:rsid w:val="53EC109A"/>
    <w:rsid w:val="549849D4"/>
    <w:rsid w:val="5813155E"/>
    <w:rsid w:val="61A21264"/>
    <w:rsid w:val="638D13A9"/>
    <w:rsid w:val="668F1BBC"/>
    <w:rsid w:val="6A3B1D83"/>
    <w:rsid w:val="6C5A321C"/>
    <w:rsid w:val="6D104482"/>
    <w:rsid w:val="6D800290"/>
    <w:rsid w:val="6EAB3BD4"/>
    <w:rsid w:val="7070724C"/>
    <w:rsid w:val="70865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12"/>
    <w:autoRedefine/>
    <w:unhideWhenUsed/>
    <w:qFormat/>
    <w:uiPriority w:val="99"/>
    <w:pPr>
      <w:tabs>
        <w:tab w:val="center" w:pos="4153"/>
        <w:tab w:val="right" w:pos="8306"/>
      </w:tabs>
      <w:snapToGrid w:val="0"/>
      <w:jc w:val="left"/>
    </w:pPr>
    <w:rPr>
      <w:sz w:val="18"/>
      <w:szCs w:val="18"/>
    </w:rPr>
  </w:style>
  <w:style w:type="paragraph" w:styleId="3">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5">
    <w:name w:val="Normal (Web)"/>
    <w:basedOn w:val="1"/>
    <w:autoRedefine/>
    <w:semiHidden/>
    <w:unhideWhenUsed/>
    <w:qFormat/>
    <w:uiPriority w:val="99"/>
    <w:pPr>
      <w:spacing w:beforeAutospacing="1" w:afterAutospacing="1"/>
      <w:jc w:val="left"/>
    </w:pPr>
    <w:rPr>
      <w:rFonts w:cs="Times New Roman"/>
      <w:kern w:val="0"/>
      <w:sz w:val="24"/>
    </w:rPr>
  </w:style>
  <w:style w:type="table" w:styleId="7">
    <w:name w:val="Table Grid"/>
    <w:basedOn w:val="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Hyperlink"/>
    <w:basedOn w:val="8"/>
    <w:semiHidden/>
    <w:unhideWhenUsed/>
    <w:qFormat/>
    <w:uiPriority w:val="99"/>
    <w:rPr>
      <w:color w:val="0000FF"/>
      <w:u w:val="single"/>
    </w:rPr>
  </w:style>
  <w:style w:type="paragraph" w:styleId="10">
    <w:name w:val="List Paragraph"/>
    <w:basedOn w:val="1"/>
    <w:autoRedefine/>
    <w:qFormat/>
    <w:uiPriority w:val="34"/>
    <w:pPr>
      <w:ind w:firstLine="420" w:firstLineChars="200"/>
    </w:pPr>
  </w:style>
  <w:style w:type="character" w:customStyle="1" w:styleId="11">
    <w:name w:val="页眉 字符"/>
    <w:basedOn w:val="8"/>
    <w:link w:val="3"/>
    <w:autoRedefine/>
    <w:qFormat/>
    <w:uiPriority w:val="99"/>
    <w:rPr>
      <w:rFonts w:asciiTheme="minorHAnsi" w:hAnsiTheme="minorHAnsi" w:eastAsiaTheme="minorEastAsia" w:cstheme="minorBidi"/>
      <w:kern w:val="2"/>
      <w:sz w:val="18"/>
      <w:szCs w:val="18"/>
    </w:rPr>
  </w:style>
  <w:style w:type="character" w:customStyle="1" w:styleId="12">
    <w:name w:val="页脚 字符"/>
    <w:basedOn w:val="8"/>
    <w:link w:val="2"/>
    <w:autoRedefine/>
    <w:qFormat/>
    <w:uiPriority w:val="99"/>
    <w:rPr>
      <w:rFonts w:asciiTheme="minorHAnsi" w:hAnsiTheme="minorHAnsi" w:eastAsiaTheme="minorEastAsia" w:cstheme="minorBidi"/>
      <w:kern w:val="2"/>
      <w:sz w:val="18"/>
      <w:szCs w:val="18"/>
    </w:rPr>
  </w:style>
  <w:style w:type="paragraph" w:customStyle="1" w:styleId="13">
    <w:name w:val="_Style 6"/>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4599</Words>
  <Characters>4799</Characters>
  <Lines>20</Lines>
  <Paragraphs>5</Paragraphs>
  <TotalTime>9</TotalTime>
  <ScaleCrop>false</ScaleCrop>
  <LinksUpToDate>false</LinksUpToDate>
  <CharactersWithSpaces>4838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2024-02-06T03:01:00Z</dcterms:created>
  <dc:creator>wu</dc:creator>
  <cp:lastModifiedBy>一二三四伍</cp:lastModifiedBy>
  <dcterms:modified xsi:type="dcterms:W3CDTF">2026-09-23T05:51:03Z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E17C071892354F20965880C4A3796CBF_13</vt:lpwstr>
  </property>
  <property fmtid="{D5CDD505-2E9C-101B-9397-08002B2CF9AE}" pid="4" name="KSOTemplateDocerSaveRecord">
    <vt:lpwstr>eyJoZGlkIjoiNzI1MzljODBiNDliMzEyMzFlZWNlN2EzYjU0N2YzMWEiLCJ1c2VySWQiOiIxMzA1ODgwMDAyIn0=</vt:lpwstr>
  </property>
</Properties>
</file>