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CB402C">
      <w:pPr>
        <w:spacing w:line="360" w:lineRule="auto"/>
        <w:jc w:val="center"/>
        <w:rPr>
          <w:rFonts w:hint="eastAsia" w:ascii="宋体" w:hAnsi="宋体" w:cs="宋体"/>
          <w:b/>
          <w:iCs/>
          <w:color w:val="000000"/>
          <w:sz w:val="44"/>
          <w:szCs w:val="44"/>
        </w:rPr>
      </w:pPr>
      <w:r>
        <w:rPr>
          <w:rFonts w:hint="eastAsia" w:ascii="宋体" w:hAnsi="宋体" w:cs="宋体"/>
          <w:b/>
          <w:iCs/>
          <w:color w:val="000000"/>
          <w:sz w:val="44"/>
          <w:szCs w:val="44"/>
        </w:rPr>
        <w:t>北京福元医药股份有限公司</w:t>
      </w:r>
    </w:p>
    <w:p w14:paraId="5BF120C7">
      <w:pPr>
        <w:spacing w:line="360" w:lineRule="auto"/>
        <w:jc w:val="center"/>
        <w:rPr>
          <w:rFonts w:hint="eastAsia" w:ascii="宋体" w:hAnsi="宋体" w:cs="宋体"/>
          <w:b/>
          <w:iCs/>
          <w:color w:val="000000"/>
          <w:sz w:val="44"/>
          <w:szCs w:val="44"/>
        </w:rPr>
      </w:pPr>
      <w:r>
        <w:rPr>
          <w:rFonts w:hint="eastAsia" w:ascii="宋体" w:hAnsi="宋体" w:cs="宋体"/>
          <w:b/>
          <w:iCs/>
          <w:color w:val="000000"/>
          <w:sz w:val="44"/>
          <w:szCs w:val="44"/>
        </w:rPr>
        <w:t>投资者关系活动记录表</w:t>
      </w:r>
    </w:p>
    <w:p w14:paraId="4C836190">
      <w:pPr>
        <w:spacing w:line="360" w:lineRule="auto"/>
        <w:jc w:val="right"/>
        <w:rPr>
          <w:rFonts w:hint="default" w:ascii="宋体" w:hAnsi="宋体" w:eastAsia="宋体" w:cs="宋体"/>
          <w:bCs/>
          <w:iCs/>
          <w:color w:val="000000"/>
          <w:sz w:val="28"/>
          <w:szCs w:val="28"/>
          <w:lang w:val="en-US" w:eastAsia="zh-CN"/>
        </w:rPr>
      </w:pPr>
      <w:r>
        <w:rPr>
          <w:rFonts w:hint="eastAsia" w:ascii="宋体" w:hAnsi="宋体" w:cs="宋体"/>
          <w:bCs/>
          <w:iCs/>
          <w:color w:val="000000"/>
          <w:sz w:val="28"/>
          <w:szCs w:val="28"/>
        </w:rPr>
        <w:t>编号：2</w:t>
      </w:r>
      <w:r>
        <w:rPr>
          <w:rFonts w:ascii="宋体" w:hAnsi="宋体" w:cs="宋体"/>
          <w:bCs/>
          <w:iCs/>
          <w:color w:val="000000"/>
          <w:sz w:val="28"/>
          <w:szCs w:val="28"/>
        </w:rPr>
        <w:t>02</w:t>
      </w:r>
      <w:r>
        <w:rPr>
          <w:rFonts w:hint="eastAsia" w:ascii="宋体" w:hAnsi="宋体" w:cs="宋体"/>
          <w:bCs/>
          <w:iCs/>
          <w:color w:val="000000"/>
          <w:sz w:val="28"/>
          <w:szCs w:val="28"/>
        </w:rPr>
        <w:t>6</w:t>
      </w:r>
      <w:r>
        <w:rPr>
          <w:rFonts w:ascii="宋体" w:hAnsi="宋体" w:cs="宋体"/>
          <w:bCs/>
          <w:iCs/>
          <w:color w:val="000000"/>
          <w:sz w:val="28"/>
          <w:szCs w:val="28"/>
        </w:rPr>
        <w:t>-</w:t>
      </w:r>
      <w:r>
        <w:rPr>
          <w:rFonts w:hint="eastAsia" w:ascii="宋体" w:hAnsi="宋体" w:cs="宋体"/>
          <w:bCs/>
          <w:iCs/>
          <w:color w:val="000000"/>
          <w:sz w:val="28"/>
          <w:szCs w:val="28"/>
          <w:lang w:val="en-US" w:eastAsia="zh-CN"/>
        </w:rPr>
        <w:t>15</w:t>
      </w:r>
    </w:p>
    <w:tbl>
      <w:tblPr>
        <w:tblStyle w:val="9"/>
        <w:tblW w:w="8931"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9"/>
        <w:gridCol w:w="6782"/>
      </w:tblGrid>
      <w:tr w14:paraId="16F93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Borders>
              <w:top w:val="single" w:color="auto" w:sz="4" w:space="0"/>
              <w:left w:val="single" w:color="auto" w:sz="4" w:space="0"/>
              <w:bottom w:val="single" w:color="auto" w:sz="4" w:space="0"/>
              <w:right w:val="single" w:color="auto" w:sz="4" w:space="0"/>
            </w:tcBorders>
            <w:vAlign w:val="center"/>
          </w:tcPr>
          <w:p w14:paraId="6742A109">
            <w:pPr>
              <w:rPr>
                <w:rFonts w:hint="eastAsia" w:ascii="宋体" w:hAnsi="宋体" w:cs="宋体"/>
                <w:bCs/>
                <w:iCs/>
                <w:color w:val="000000"/>
                <w:sz w:val="24"/>
                <w:szCs w:val="24"/>
                <w:highlight w:val="none"/>
              </w:rPr>
            </w:pPr>
            <w:r>
              <w:rPr>
                <w:rFonts w:hint="eastAsia" w:ascii="宋体" w:hAnsi="宋体" w:cs="宋体"/>
                <w:bCs/>
                <w:iCs/>
                <w:color w:val="000000"/>
                <w:sz w:val="24"/>
                <w:szCs w:val="24"/>
                <w:highlight w:val="none"/>
              </w:rPr>
              <w:t>投资者关系活动类别</w:t>
            </w:r>
          </w:p>
          <w:p w14:paraId="0228BA4E">
            <w:pPr>
              <w:rPr>
                <w:rFonts w:hint="eastAsia" w:ascii="宋体" w:hAnsi="宋体" w:cs="宋体"/>
                <w:bCs/>
                <w:iCs/>
                <w:color w:val="000000"/>
                <w:sz w:val="24"/>
                <w:szCs w:val="24"/>
              </w:rPr>
            </w:pPr>
          </w:p>
        </w:tc>
        <w:tc>
          <w:tcPr>
            <w:tcW w:w="6782" w:type="dxa"/>
            <w:tcBorders>
              <w:top w:val="single" w:color="auto" w:sz="4" w:space="0"/>
              <w:left w:val="single" w:color="auto" w:sz="4" w:space="0"/>
              <w:bottom w:val="single" w:color="auto" w:sz="4" w:space="0"/>
              <w:right w:val="single" w:color="auto" w:sz="4" w:space="0"/>
            </w:tcBorders>
            <w:vAlign w:val="center"/>
          </w:tcPr>
          <w:p w14:paraId="6F7FE241">
            <w:pPr>
              <w:rPr>
                <w:rFonts w:hint="eastAsia" w:ascii="宋体" w:hAnsi="宋体" w:cs="宋体"/>
                <w:bCs/>
                <w:iCs/>
                <w:color w:val="000000"/>
                <w:sz w:val="24"/>
                <w:szCs w:val="24"/>
              </w:rPr>
            </w:pPr>
            <w:r>
              <w:rPr>
                <w:rFonts w:hint="eastAsia" w:ascii="宋体" w:hAnsi="宋体" w:cs="宋体"/>
                <w:bCs/>
                <w:iCs/>
                <w:color w:val="000000"/>
                <w:sz w:val="24"/>
                <w:szCs w:val="24"/>
              </w:rPr>
              <w:t>□</w:t>
            </w:r>
            <w:r>
              <w:rPr>
                <w:rFonts w:hint="eastAsia" w:ascii="宋体" w:hAnsi="宋体" w:cs="宋体"/>
                <w:color w:val="000000"/>
                <w:sz w:val="24"/>
                <w:szCs w:val="24"/>
              </w:rPr>
              <w:t xml:space="preserve">特定对象调研        </w:t>
            </w:r>
            <w:r>
              <w:rPr>
                <w:rFonts w:hint="eastAsia" w:ascii="宋体" w:hAnsi="宋体" w:cs="宋体"/>
                <w:bCs/>
                <w:iCs/>
                <w:color w:val="000000"/>
                <w:sz w:val="24"/>
                <w:szCs w:val="24"/>
              </w:rPr>
              <w:t>□</w:t>
            </w:r>
            <w:r>
              <w:rPr>
                <w:rFonts w:hint="eastAsia" w:ascii="宋体" w:hAnsi="宋体" w:cs="宋体"/>
                <w:color w:val="000000"/>
                <w:sz w:val="24"/>
                <w:szCs w:val="24"/>
              </w:rPr>
              <w:t>分析师会议</w:t>
            </w:r>
          </w:p>
          <w:p w14:paraId="1817BFFE">
            <w:pPr>
              <w:rPr>
                <w:rFonts w:hint="eastAsia" w:ascii="宋体" w:hAnsi="宋体" w:cs="宋体"/>
                <w:bCs/>
                <w:iCs/>
                <w:color w:val="000000"/>
                <w:sz w:val="24"/>
                <w:szCs w:val="24"/>
              </w:rPr>
            </w:pPr>
            <w:r>
              <w:rPr>
                <w:rFonts w:hint="eastAsia" w:ascii="宋体" w:hAnsi="宋体" w:cs="宋体"/>
                <w:bCs/>
                <w:iCs/>
                <w:color w:val="000000"/>
                <w:sz w:val="24"/>
                <w:szCs w:val="24"/>
              </w:rPr>
              <w:t>□</w:t>
            </w:r>
            <w:r>
              <w:rPr>
                <w:rFonts w:hint="eastAsia" w:ascii="宋体" w:hAnsi="宋体" w:cs="宋体"/>
                <w:color w:val="000000"/>
                <w:sz w:val="24"/>
                <w:szCs w:val="24"/>
              </w:rPr>
              <w:t xml:space="preserve">媒体采访            </w:t>
            </w:r>
            <w:r>
              <w:rPr>
                <w:rFonts w:hint="eastAsia" w:ascii="宋体" w:hAnsi="宋体" w:cs="宋体"/>
                <w:bCs/>
                <w:iCs/>
                <w:color w:val="000000"/>
                <w:sz w:val="24"/>
                <w:szCs w:val="24"/>
              </w:rPr>
              <w:t>□</w:t>
            </w:r>
            <w:r>
              <w:rPr>
                <w:rFonts w:hint="eastAsia" w:ascii="宋体" w:hAnsi="宋体" w:cs="宋体"/>
                <w:color w:val="000000"/>
                <w:sz w:val="24"/>
                <w:szCs w:val="24"/>
              </w:rPr>
              <w:t>业绩说明会</w:t>
            </w:r>
          </w:p>
          <w:p w14:paraId="622D3EB9">
            <w:pPr>
              <w:rPr>
                <w:rFonts w:hint="eastAsia" w:ascii="宋体" w:hAnsi="宋体" w:cs="宋体"/>
                <w:bCs/>
                <w:iCs/>
                <w:color w:val="000000"/>
                <w:sz w:val="24"/>
                <w:szCs w:val="24"/>
              </w:rPr>
            </w:pPr>
            <w:r>
              <w:rPr>
                <w:rFonts w:hint="eastAsia" w:ascii="宋体" w:hAnsi="宋体" w:cs="宋体"/>
                <w:bCs/>
                <w:iCs/>
                <w:color w:val="000000"/>
                <w:sz w:val="24"/>
                <w:szCs w:val="24"/>
              </w:rPr>
              <w:t>□</w:t>
            </w:r>
            <w:r>
              <w:rPr>
                <w:rFonts w:hint="eastAsia" w:ascii="宋体" w:hAnsi="宋体" w:cs="宋体"/>
                <w:color w:val="000000"/>
                <w:sz w:val="24"/>
                <w:szCs w:val="24"/>
              </w:rPr>
              <w:t xml:space="preserve">新闻发布会          </w:t>
            </w:r>
            <w:r>
              <w:rPr>
                <w:rFonts w:hint="eastAsia" w:ascii="宋体" w:hAnsi="宋体" w:cs="宋体"/>
                <w:bCs/>
                <w:iCs/>
                <w:color w:val="000000"/>
                <w:sz w:val="24"/>
                <w:szCs w:val="24"/>
              </w:rPr>
              <w:t>□</w:t>
            </w:r>
            <w:r>
              <w:rPr>
                <w:rFonts w:hint="eastAsia" w:ascii="宋体" w:hAnsi="宋体" w:cs="宋体"/>
                <w:color w:val="000000"/>
                <w:sz w:val="24"/>
                <w:szCs w:val="24"/>
              </w:rPr>
              <w:t>路演活动</w:t>
            </w:r>
          </w:p>
          <w:p w14:paraId="7CCC3C09">
            <w:pPr>
              <w:tabs>
                <w:tab w:val="left" w:pos="3045"/>
                <w:tab w:val="center" w:pos="3199"/>
              </w:tabs>
              <w:rPr>
                <w:rFonts w:hint="eastAsia" w:ascii="宋体" w:hAnsi="宋体" w:cs="宋体"/>
                <w:bCs/>
                <w:iCs/>
                <w:color w:val="000000"/>
                <w:sz w:val="24"/>
                <w:szCs w:val="24"/>
              </w:rPr>
            </w:pPr>
            <w:r>
              <w:rPr>
                <w:rFonts w:hint="eastAsia" w:ascii="宋体" w:hAnsi="宋体" w:cs="宋体"/>
                <w:bCs/>
                <w:iCs/>
                <w:color w:val="000000"/>
                <w:sz w:val="24"/>
                <w:szCs w:val="24"/>
                <w:lang w:eastAsia="zh-CN"/>
              </w:rPr>
              <w:t>☑</w:t>
            </w:r>
            <w:r>
              <w:rPr>
                <w:rFonts w:hint="eastAsia" w:ascii="宋体" w:hAnsi="宋体" w:cs="宋体"/>
                <w:color w:val="000000"/>
                <w:sz w:val="24"/>
                <w:szCs w:val="24"/>
              </w:rPr>
              <w:t>现场参观</w:t>
            </w:r>
          </w:p>
          <w:p w14:paraId="422816A3">
            <w:pPr>
              <w:tabs>
                <w:tab w:val="center" w:pos="3199"/>
              </w:tabs>
              <w:rPr>
                <w:rFonts w:hint="eastAsia" w:ascii="宋体" w:hAnsi="宋体" w:cs="宋体"/>
                <w:bCs/>
                <w:iCs/>
                <w:color w:val="000000"/>
                <w:sz w:val="24"/>
                <w:szCs w:val="24"/>
              </w:rPr>
            </w:pPr>
            <w:r>
              <w:rPr>
                <w:rFonts w:hint="eastAsia" w:ascii="宋体" w:hAnsi="宋体" w:cs="宋体"/>
                <w:bCs/>
                <w:iCs/>
                <w:color w:val="000000"/>
                <w:sz w:val="24"/>
                <w:szCs w:val="24"/>
                <w:lang w:eastAsia="zh-CN"/>
              </w:rPr>
              <w:t>☑</w:t>
            </w:r>
            <w:r>
              <w:rPr>
                <w:rFonts w:hint="eastAsia" w:ascii="宋体" w:hAnsi="宋体" w:cs="宋体"/>
                <w:color w:val="000000"/>
                <w:sz w:val="24"/>
                <w:szCs w:val="24"/>
              </w:rPr>
              <w:t>其他</w:t>
            </w:r>
            <w:r>
              <w:rPr>
                <w:rFonts w:hint="eastAsia" w:ascii="宋体" w:hAnsi="宋体" w:cs="宋体"/>
                <w:color w:val="000000"/>
                <w:sz w:val="24"/>
                <w:szCs w:val="24"/>
                <w:u w:val="single"/>
              </w:rPr>
              <w:t>（</w:t>
            </w:r>
            <w:r>
              <w:rPr>
                <w:rFonts w:hint="eastAsia" w:ascii="宋体" w:hAnsi="宋体" w:cs="宋体"/>
                <w:color w:val="000000"/>
                <w:sz w:val="24"/>
                <w:szCs w:val="24"/>
                <w:u w:val="single"/>
                <w:lang w:eastAsia="zh-CN"/>
              </w:rPr>
              <w:t>“</w:t>
            </w:r>
            <w:r>
              <w:rPr>
                <w:rFonts w:hint="eastAsia" w:ascii="宋体" w:hAnsi="宋体" w:cs="宋体"/>
                <w:color w:val="000000"/>
                <w:sz w:val="24"/>
                <w:szCs w:val="24"/>
                <w:u w:val="single"/>
                <w:lang w:val="en-US" w:eastAsia="zh-CN"/>
              </w:rPr>
              <w:t>我是股东</w:t>
            </w:r>
            <w:r>
              <w:rPr>
                <w:rFonts w:hint="eastAsia" w:ascii="宋体" w:hAnsi="宋体" w:cs="宋体"/>
                <w:color w:val="000000"/>
                <w:sz w:val="24"/>
                <w:szCs w:val="24"/>
                <w:u w:val="single"/>
                <w:lang w:eastAsia="zh-CN"/>
              </w:rPr>
              <w:t>”</w:t>
            </w:r>
            <w:r>
              <w:rPr>
                <w:rFonts w:hint="eastAsia" w:ascii="宋体" w:hAnsi="宋体" w:cs="宋体"/>
                <w:color w:val="000000"/>
                <w:sz w:val="24"/>
                <w:szCs w:val="24"/>
                <w:u w:val="single"/>
                <w:lang w:val="en-US" w:eastAsia="zh-CN"/>
              </w:rPr>
              <w:t>走进沪市上市公司活动</w:t>
            </w:r>
            <w:r>
              <w:rPr>
                <w:rFonts w:hint="eastAsia" w:ascii="宋体" w:hAnsi="宋体" w:cs="宋体"/>
                <w:color w:val="000000"/>
                <w:sz w:val="24"/>
                <w:szCs w:val="24"/>
                <w:u w:val="single"/>
              </w:rPr>
              <w:t>）</w:t>
            </w:r>
          </w:p>
        </w:tc>
      </w:tr>
      <w:tr w14:paraId="50D5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2149" w:type="dxa"/>
            <w:tcBorders>
              <w:top w:val="single" w:color="auto" w:sz="4" w:space="0"/>
              <w:left w:val="single" w:color="auto" w:sz="4" w:space="0"/>
              <w:bottom w:val="single" w:color="auto" w:sz="4" w:space="0"/>
              <w:right w:val="single" w:color="auto" w:sz="4" w:space="0"/>
            </w:tcBorders>
            <w:vAlign w:val="center"/>
          </w:tcPr>
          <w:p w14:paraId="72D84765">
            <w:pPr>
              <w:rPr>
                <w:rFonts w:hint="eastAsia" w:ascii="宋体" w:hAnsi="宋体" w:cs="宋体"/>
                <w:bCs/>
                <w:iCs/>
                <w:color w:val="000000"/>
                <w:sz w:val="24"/>
                <w:szCs w:val="24"/>
              </w:rPr>
            </w:pPr>
            <w:r>
              <w:rPr>
                <w:rFonts w:hint="eastAsia" w:ascii="宋体" w:hAnsi="宋体" w:cs="宋体"/>
                <w:bCs/>
                <w:iCs/>
                <w:color w:val="000000"/>
                <w:sz w:val="24"/>
                <w:szCs w:val="24"/>
              </w:rPr>
              <w:t>参与单位名称及人员姓名</w:t>
            </w:r>
          </w:p>
        </w:tc>
        <w:tc>
          <w:tcPr>
            <w:tcW w:w="6782" w:type="dxa"/>
            <w:tcBorders>
              <w:top w:val="single" w:color="auto" w:sz="4" w:space="0"/>
              <w:left w:val="single" w:color="auto" w:sz="4" w:space="0"/>
              <w:bottom w:val="single" w:color="auto" w:sz="4" w:space="0"/>
              <w:right w:val="single" w:color="auto" w:sz="4" w:space="0"/>
            </w:tcBorders>
            <w:vAlign w:val="center"/>
          </w:tcPr>
          <w:p w14:paraId="71027104">
            <w:pPr>
              <w:rPr>
                <w:rFonts w:hint="eastAsia" w:ascii="宋体" w:hAnsi="宋体" w:cs="宋体"/>
                <w:bCs/>
                <w:iCs/>
                <w:sz w:val="24"/>
                <w:szCs w:val="24"/>
              </w:rPr>
            </w:pPr>
            <w:r>
              <w:rPr>
                <w:rFonts w:hint="eastAsia" w:ascii="宋体" w:hAnsi="宋体" w:cs="宋体"/>
                <w:bCs/>
                <w:iCs/>
                <w:sz w:val="24"/>
                <w:szCs w:val="24"/>
              </w:rPr>
              <w:t>华鑫证券及中小投资者</w:t>
            </w:r>
          </w:p>
        </w:tc>
      </w:tr>
      <w:tr w14:paraId="0262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Borders>
              <w:top w:val="single" w:color="auto" w:sz="4" w:space="0"/>
              <w:left w:val="single" w:color="auto" w:sz="4" w:space="0"/>
              <w:bottom w:val="single" w:color="auto" w:sz="4" w:space="0"/>
              <w:right w:val="single" w:color="auto" w:sz="4" w:space="0"/>
            </w:tcBorders>
            <w:vAlign w:val="center"/>
          </w:tcPr>
          <w:p w14:paraId="28B0EF39">
            <w:pPr>
              <w:rPr>
                <w:rFonts w:hint="eastAsia" w:ascii="宋体" w:hAnsi="宋体" w:cs="宋体"/>
                <w:bCs/>
                <w:iCs/>
                <w:color w:val="000000"/>
                <w:sz w:val="24"/>
                <w:szCs w:val="24"/>
              </w:rPr>
            </w:pPr>
            <w:r>
              <w:rPr>
                <w:rFonts w:hint="eastAsia" w:ascii="宋体" w:hAnsi="宋体" w:cs="宋体"/>
                <w:bCs/>
                <w:iCs/>
                <w:color w:val="000000"/>
                <w:sz w:val="24"/>
                <w:szCs w:val="24"/>
              </w:rPr>
              <w:t>时间</w:t>
            </w:r>
          </w:p>
        </w:tc>
        <w:tc>
          <w:tcPr>
            <w:tcW w:w="6782" w:type="dxa"/>
            <w:tcBorders>
              <w:top w:val="single" w:color="auto" w:sz="4" w:space="0"/>
              <w:left w:val="single" w:color="auto" w:sz="4" w:space="0"/>
              <w:bottom w:val="single" w:color="auto" w:sz="4" w:space="0"/>
              <w:right w:val="single" w:color="auto" w:sz="4" w:space="0"/>
            </w:tcBorders>
            <w:vAlign w:val="center"/>
          </w:tcPr>
          <w:p w14:paraId="26D632AD">
            <w:pPr>
              <w:snapToGrid w:val="0"/>
              <w:rPr>
                <w:rFonts w:hint="eastAsia" w:ascii="宋体" w:hAnsi="宋体" w:cs="宋体"/>
                <w:bCs/>
                <w:iCs/>
                <w:color w:val="000000"/>
                <w:sz w:val="24"/>
                <w:szCs w:val="24"/>
              </w:rPr>
            </w:pPr>
            <w:r>
              <w:rPr>
                <w:rFonts w:hint="eastAsia" w:ascii="宋体" w:hAnsi="宋体" w:cs="宋体"/>
                <w:bCs/>
                <w:iCs/>
                <w:color w:val="000000"/>
                <w:sz w:val="24"/>
                <w:szCs w:val="24"/>
              </w:rPr>
              <w:t>2026年</w:t>
            </w:r>
            <w:r>
              <w:rPr>
                <w:rFonts w:hint="eastAsia" w:ascii="宋体" w:hAnsi="宋体" w:cs="宋体"/>
                <w:bCs/>
                <w:iCs/>
                <w:color w:val="000000"/>
                <w:sz w:val="24"/>
                <w:szCs w:val="24"/>
                <w:lang w:val="en-US" w:eastAsia="zh-CN"/>
              </w:rPr>
              <w:t>9</w:t>
            </w:r>
            <w:r>
              <w:rPr>
                <w:rFonts w:hint="eastAsia" w:ascii="宋体" w:hAnsi="宋体" w:cs="宋体"/>
                <w:bCs/>
                <w:iCs/>
                <w:color w:val="000000"/>
                <w:sz w:val="24"/>
                <w:szCs w:val="24"/>
              </w:rPr>
              <w:t>月</w:t>
            </w:r>
            <w:r>
              <w:rPr>
                <w:rFonts w:hint="eastAsia" w:ascii="宋体" w:hAnsi="宋体" w:cs="宋体"/>
                <w:bCs/>
                <w:iCs/>
                <w:color w:val="000000"/>
                <w:sz w:val="24"/>
                <w:szCs w:val="24"/>
                <w:lang w:val="en-US" w:eastAsia="zh-CN"/>
              </w:rPr>
              <w:t>22</w:t>
            </w:r>
            <w:r>
              <w:rPr>
                <w:rFonts w:hint="eastAsia" w:ascii="宋体" w:hAnsi="宋体" w:cs="宋体"/>
                <w:bCs/>
                <w:iCs/>
                <w:color w:val="000000"/>
                <w:sz w:val="24"/>
                <w:szCs w:val="24"/>
              </w:rPr>
              <w:t>日1</w:t>
            </w:r>
            <w:r>
              <w:rPr>
                <w:rFonts w:hint="eastAsia" w:ascii="宋体" w:hAnsi="宋体" w:cs="宋体"/>
                <w:bCs/>
                <w:iCs/>
                <w:color w:val="000000"/>
                <w:sz w:val="24"/>
                <w:szCs w:val="24"/>
                <w:lang w:val="en-US" w:eastAsia="zh-CN"/>
              </w:rPr>
              <w:t>4</w:t>
            </w:r>
            <w:r>
              <w:rPr>
                <w:rFonts w:hint="eastAsia" w:ascii="宋体" w:hAnsi="宋体" w:cs="宋体"/>
                <w:bCs/>
                <w:iCs/>
                <w:color w:val="000000"/>
                <w:sz w:val="24"/>
                <w:szCs w:val="24"/>
              </w:rPr>
              <w:t>：</w:t>
            </w:r>
            <w:r>
              <w:rPr>
                <w:rFonts w:hint="eastAsia" w:ascii="宋体" w:hAnsi="宋体" w:cs="宋体"/>
                <w:bCs/>
                <w:iCs/>
                <w:color w:val="000000"/>
                <w:sz w:val="24"/>
                <w:szCs w:val="24"/>
                <w:lang w:val="en-US" w:eastAsia="zh-CN"/>
              </w:rPr>
              <w:t>0</w:t>
            </w:r>
            <w:r>
              <w:rPr>
                <w:rFonts w:hint="eastAsia" w:ascii="宋体" w:hAnsi="宋体" w:cs="宋体"/>
                <w:bCs/>
                <w:iCs/>
                <w:color w:val="000000"/>
                <w:sz w:val="24"/>
                <w:szCs w:val="24"/>
              </w:rPr>
              <w:t>0-1</w:t>
            </w:r>
            <w:r>
              <w:rPr>
                <w:rFonts w:hint="eastAsia" w:ascii="宋体" w:hAnsi="宋体" w:cs="宋体"/>
                <w:bCs/>
                <w:iCs/>
                <w:color w:val="000000"/>
                <w:sz w:val="24"/>
                <w:szCs w:val="24"/>
                <w:lang w:val="en-US" w:eastAsia="zh-CN"/>
              </w:rPr>
              <w:t>6</w:t>
            </w:r>
            <w:r>
              <w:rPr>
                <w:rFonts w:hint="eastAsia" w:ascii="宋体" w:hAnsi="宋体" w:cs="宋体"/>
                <w:bCs/>
                <w:iCs/>
                <w:color w:val="000000"/>
                <w:sz w:val="24"/>
                <w:szCs w:val="24"/>
              </w:rPr>
              <w:t>：</w:t>
            </w:r>
            <w:r>
              <w:rPr>
                <w:rFonts w:hint="eastAsia" w:ascii="宋体" w:hAnsi="宋体" w:cs="宋体"/>
                <w:bCs/>
                <w:iCs/>
                <w:color w:val="000000"/>
                <w:sz w:val="24"/>
                <w:szCs w:val="24"/>
                <w:lang w:val="en-US" w:eastAsia="zh-CN"/>
              </w:rPr>
              <w:t>3</w:t>
            </w:r>
            <w:r>
              <w:rPr>
                <w:rFonts w:hint="eastAsia" w:ascii="宋体" w:hAnsi="宋体" w:cs="宋体"/>
                <w:bCs/>
                <w:iCs/>
                <w:color w:val="000000"/>
                <w:sz w:val="24"/>
                <w:szCs w:val="24"/>
              </w:rPr>
              <w:t>0</w:t>
            </w:r>
          </w:p>
        </w:tc>
      </w:tr>
      <w:tr w14:paraId="2E3A6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Borders>
              <w:top w:val="single" w:color="auto" w:sz="4" w:space="0"/>
              <w:left w:val="single" w:color="auto" w:sz="4" w:space="0"/>
              <w:bottom w:val="single" w:color="auto" w:sz="4" w:space="0"/>
              <w:right w:val="single" w:color="auto" w:sz="4" w:space="0"/>
            </w:tcBorders>
            <w:vAlign w:val="center"/>
          </w:tcPr>
          <w:p w14:paraId="289BA2E8">
            <w:pPr>
              <w:rPr>
                <w:rFonts w:hint="eastAsia" w:ascii="宋体" w:hAnsi="宋体" w:cs="宋体"/>
                <w:bCs/>
                <w:iCs/>
                <w:color w:val="000000"/>
                <w:sz w:val="24"/>
                <w:szCs w:val="24"/>
              </w:rPr>
            </w:pPr>
            <w:r>
              <w:rPr>
                <w:rFonts w:hint="eastAsia" w:ascii="宋体" w:hAnsi="宋体" w:cs="宋体"/>
                <w:bCs/>
                <w:iCs/>
                <w:color w:val="000000"/>
                <w:sz w:val="24"/>
                <w:szCs w:val="24"/>
                <w:highlight w:val="none"/>
              </w:rPr>
              <w:t>地点</w:t>
            </w:r>
          </w:p>
        </w:tc>
        <w:tc>
          <w:tcPr>
            <w:tcW w:w="6782" w:type="dxa"/>
            <w:tcBorders>
              <w:top w:val="single" w:color="auto" w:sz="4" w:space="0"/>
              <w:left w:val="single" w:color="auto" w:sz="4" w:space="0"/>
              <w:bottom w:val="single" w:color="auto" w:sz="4" w:space="0"/>
              <w:right w:val="single" w:color="auto" w:sz="4" w:space="0"/>
            </w:tcBorders>
            <w:vAlign w:val="center"/>
          </w:tcPr>
          <w:p w14:paraId="75C55427">
            <w:pPr>
              <w:rPr>
                <w:rFonts w:hint="eastAsia" w:ascii="宋体" w:hAnsi="宋体" w:eastAsia="宋体" w:cs="宋体"/>
                <w:bCs/>
                <w:iCs/>
                <w:color w:val="000000"/>
                <w:sz w:val="24"/>
                <w:szCs w:val="24"/>
                <w:lang w:eastAsia="zh-CN"/>
              </w:rPr>
            </w:pPr>
            <w:r>
              <w:rPr>
                <w:rFonts w:hint="eastAsia" w:ascii="宋体" w:hAnsi="宋体" w:cs="宋体"/>
                <w:bCs/>
                <w:iCs/>
                <w:color w:val="000000"/>
                <w:sz w:val="24"/>
                <w:szCs w:val="24"/>
                <w:lang w:val="en-US" w:eastAsia="zh-CN"/>
              </w:rPr>
              <w:t>北京福元医药份有限公司（北京市通州区漷县镇漷县南三街8号）</w:t>
            </w:r>
          </w:p>
        </w:tc>
      </w:tr>
      <w:tr w14:paraId="4C2D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Borders>
              <w:top w:val="single" w:color="auto" w:sz="4" w:space="0"/>
              <w:left w:val="single" w:color="auto" w:sz="4" w:space="0"/>
              <w:bottom w:val="single" w:color="auto" w:sz="4" w:space="0"/>
              <w:right w:val="single" w:color="auto" w:sz="4" w:space="0"/>
            </w:tcBorders>
            <w:vAlign w:val="center"/>
          </w:tcPr>
          <w:p w14:paraId="111BAD12">
            <w:pPr>
              <w:rPr>
                <w:rFonts w:hint="eastAsia" w:ascii="宋体" w:hAnsi="宋体" w:cs="宋体"/>
                <w:bCs/>
                <w:iCs/>
                <w:color w:val="000000"/>
                <w:sz w:val="24"/>
                <w:szCs w:val="24"/>
              </w:rPr>
            </w:pPr>
            <w:r>
              <w:rPr>
                <w:rFonts w:hint="eastAsia" w:ascii="宋体" w:hAnsi="宋体" w:cs="宋体"/>
                <w:bCs/>
                <w:iCs/>
                <w:color w:val="000000"/>
                <w:sz w:val="24"/>
                <w:szCs w:val="24"/>
              </w:rPr>
              <w:t>上市公司接待人员姓名</w:t>
            </w:r>
          </w:p>
        </w:tc>
        <w:tc>
          <w:tcPr>
            <w:tcW w:w="6782" w:type="dxa"/>
            <w:tcBorders>
              <w:top w:val="single" w:color="auto" w:sz="4" w:space="0"/>
              <w:left w:val="single" w:color="auto" w:sz="4" w:space="0"/>
              <w:bottom w:val="single" w:color="auto" w:sz="4" w:space="0"/>
              <w:right w:val="single" w:color="auto" w:sz="4" w:space="0"/>
            </w:tcBorders>
            <w:vAlign w:val="center"/>
          </w:tcPr>
          <w:p w14:paraId="0546F558">
            <w:pPr>
              <w:rPr>
                <w:rFonts w:hint="eastAsia" w:ascii="宋体" w:hAnsi="宋体" w:cs="宋体"/>
                <w:bCs/>
                <w:iCs/>
                <w:color w:val="000000"/>
                <w:sz w:val="24"/>
                <w:szCs w:val="24"/>
                <w:lang w:val="en-US" w:eastAsia="zh-CN"/>
              </w:rPr>
            </w:pPr>
            <w:r>
              <w:rPr>
                <w:rFonts w:hint="eastAsia" w:ascii="宋体" w:hAnsi="宋体" w:cs="宋体"/>
                <w:bCs/>
                <w:iCs/>
                <w:color w:val="000000"/>
                <w:sz w:val="24"/>
                <w:szCs w:val="24"/>
              </w:rPr>
              <w:t>董事会秘书 张莉瑾</w:t>
            </w:r>
            <w:r>
              <w:rPr>
                <w:rFonts w:hint="eastAsia" w:ascii="宋体" w:hAnsi="宋体" w:cs="宋体"/>
                <w:bCs/>
                <w:iCs/>
                <w:color w:val="000000"/>
                <w:sz w:val="24"/>
                <w:szCs w:val="24"/>
                <w:lang w:val="en-US" w:eastAsia="zh-CN"/>
              </w:rPr>
              <w:t xml:space="preserve"> </w:t>
            </w:r>
          </w:p>
          <w:p w14:paraId="00B74A98">
            <w:pPr>
              <w:rPr>
                <w:rFonts w:hint="eastAsia" w:ascii="宋体" w:hAnsi="宋体" w:cs="宋体"/>
                <w:bCs/>
                <w:iCs/>
                <w:color w:val="000000"/>
                <w:sz w:val="24"/>
                <w:szCs w:val="24"/>
              </w:rPr>
            </w:pPr>
            <w:r>
              <w:rPr>
                <w:rFonts w:hint="eastAsia" w:ascii="宋体" w:hAnsi="宋体" w:cs="宋体"/>
                <w:bCs/>
                <w:iCs/>
                <w:color w:val="000000"/>
                <w:sz w:val="24"/>
                <w:szCs w:val="24"/>
              </w:rPr>
              <w:t>药物研究院创新中心总监 王岩</w:t>
            </w:r>
          </w:p>
          <w:p w14:paraId="78FEAEAC">
            <w:pPr>
              <w:rPr>
                <w:rFonts w:hint="eastAsia" w:ascii="宋体" w:hAnsi="宋体" w:cs="宋体"/>
                <w:bCs/>
                <w:iCs/>
                <w:color w:val="000000"/>
                <w:sz w:val="24"/>
                <w:szCs w:val="24"/>
              </w:rPr>
            </w:pPr>
            <w:r>
              <w:rPr>
                <w:rFonts w:hint="eastAsia" w:ascii="宋体" w:hAnsi="宋体" w:cs="宋体"/>
                <w:bCs/>
                <w:iCs/>
                <w:color w:val="000000"/>
                <w:sz w:val="24"/>
                <w:szCs w:val="24"/>
              </w:rPr>
              <w:t>证券事务代表 郑凯微</w:t>
            </w:r>
          </w:p>
        </w:tc>
      </w:tr>
      <w:tr w14:paraId="428EC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Borders>
              <w:top w:val="single" w:color="auto" w:sz="4" w:space="0"/>
              <w:left w:val="single" w:color="auto" w:sz="4" w:space="0"/>
              <w:bottom w:val="single" w:color="auto" w:sz="4" w:space="0"/>
              <w:right w:val="single" w:color="auto" w:sz="4" w:space="0"/>
            </w:tcBorders>
            <w:vAlign w:val="center"/>
          </w:tcPr>
          <w:p w14:paraId="44470E47">
            <w:pPr>
              <w:rPr>
                <w:rFonts w:hint="eastAsia" w:ascii="宋体" w:hAnsi="宋体" w:cs="宋体"/>
                <w:bCs/>
                <w:iCs/>
                <w:color w:val="000000"/>
                <w:sz w:val="24"/>
                <w:szCs w:val="24"/>
              </w:rPr>
            </w:pPr>
            <w:r>
              <w:rPr>
                <w:rFonts w:hint="eastAsia" w:ascii="宋体" w:hAnsi="宋体" w:cs="宋体"/>
                <w:bCs/>
                <w:iCs/>
                <w:color w:val="000000"/>
                <w:sz w:val="24"/>
                <w:szCs w:val="24"/>
              </w:rPr>
              <w:t>投资者关系活动主要内容介绍</w:t>
            </w:r>
          </w:p>
          <w:p w14:paraId="6E6FB404">
            <w:pPr>
              <w:rPr>
                <w:rFonts w:hint="eastAsia" w:ascii="宋体" w:hAnsi="宋体" w:cs="宋体"/>
                <w:bCs/>
                <w:iCs/>
                <w:color w:val="000000"/>
                <w:sz w:val="24"/>
                <w:szCs w:val="24"/>
              </w:rPr>
            </w:pPr>
          </w:p>
        </w:tc>
        <w:tc>
          <w:tcPr>
            <w:tcW w:w="6782" w:type="dxa"/>
            <w:tcBorders>
              <w:top w:val="single" w:color="auto" w:sz="4" w:space="0"/>
              <w:left w:val="single" w:color="auto" w:sz="4" w:space="0"/>
              <w:bottom w:val="single" w:color="auto" w:sz="4" w:space="0"/>
              <w:right w:val="single" w:color="auto" w:sz="4" w:space="0"/>
            </w:tcBorders>
            <w:vAlign w:val="center"/>
          </w:tcPr>
          <w:p w14:paraId="4C1449D0">
            <w:pPr>
              <w:numPr>
                <w:ilvl w:val="0"/>
                <w:numId w:val="1"/>
              </w:numPr>
              <w:rPr>
                <w:rFonts w:hint="eastAsia" w:ascii="宋体" w:hAnsi="宋体" w:cs="宋体"/>
                <w:bCs/>
                <w:iCs/>
                <w:color w:val="000000"/>
                <w:sz w:val="24"/>
                <w:szCs w:val="24"/>
              </w:rPr>
            </w:pPr>
            <w:r>
              <w:rPr>
                <w:rFonts w:hint="eastAsia" w:ascii="宋体" w:hAnsi="宋体" w:cs="宋体"/>
                <w:bCs/>
                <w:iCs/>
                <w:color w:val="000000"/>
                <w:sz w:val="24"/>
                <w:szCs w:val="24"/>
              </w:rPr>
              <w:t>公司创新药的布局情况？</w:t>
            </w:r>
            <w:r>
              <w:rPr>
                <w:rFonts w:hint="eastAsia" w:ascii="宋体" w:hAnsi="宋体" w:cs="宋体"/>
                <w:bCs/>
                <w:iCs/>
                <w:color w:val="000000"/>
                <w:sz w:val="24"/>
                <w:szCs w:val="24"/>
                <w:lang w:val="en-US" w:eastAsia="zh-CN"/>
              </w:rPr>
              <w:t>有什么考量？</w:t>
            </w:r>
          </w:p>
          <w:p w14:paraId="3D935031">
            <w:pPr>
              <w:widowControl w:val="0"/>
              <w:numPr>
                <w:ilvl w:val="0"/>
                <w:numId w:val="0"/>
              </w:numPr>
              <w:ind w:firstLine="480" w:firstLineChars="200"/>
              <w:jc w:val="both"/>
              <w:rPr>
                <w:rFonts w:hint="default" w:ascii="宋体" w:hAnsi="宋体" w:cs="宋体"/>
                <w:bCs/>
                <w:iCs/>
                <w:color w:val="000000"/>
                <w:sz w:val="24"/>
                <w:szCs w:val="24"/>
                <w:lang w:val="en-US" w:eastAsia="zh-CN"/>
              </w:rPr>
            </w:pPr>
            <w:r>
              <w:rPr>
                <w:rFonts w:hint="eastAsia" w:ascii="宋体" w:hAnsi="宋体" w:cs="宋体"/>
                <w:bCs/>
                <w:iCs/>
                <w:color w:val="000000"/>
                <w:sz w:val="24"/>
                <w:szCs w:val="24"/>
                <w:lang w:val="en-US" w:eastAsia="zh-CN"/>
              </w:rPr>
              <w:t>回答：公司创新药方面主要聚焦小核酸及小核酸递送系统的研发。公司的N-ER平台是以福元医药自主研发为技术基础的创新核酸药物发现及递送系统的研发平台。公司已搭建创新核酸药物设计、合成、修饰、生物学评价、药学研究一体化研发平台，研发方向优先选择临床未被满足的痛点、代谢慢病赛道，可复用公司现有商业化销售渠道。公司在抗体和小分子也有布局，抗体与小分子研发能力作为核酸递送研发的重要支撑，同时探索相应分子形式的新药研发。上半年，公司创新药研发成果丰硕，共计申请23件专利，2件专利获授权。</w:t>
            </w:r>
          </w:p>
          <w:p w14:paraId="73E72D8D">
            <w:pPr>
              <w:widowControl w:val="0"/>
              <w:numPr>
                <w:ilvl w:val="0"/>
                <w:numId w:val="0"/>
              </w:numPr>
              <w:jc w:val="both"/>
              <w:rPr>
                <w:rFonts w:hint="eastAsia" w:ascii="宋体" w:hAnsi="宋体" w:cs="宋体"/>
                <w:bCs/>
                <w:iCs/>
                <w:color w:val="000000"/>
                <w:sz w:val="24"/>
                <w:szCs w:val="24"/>
              </w:rPr>
            </w:pPr>
          </w:p>
          <w:p w14:paraId="3607F911">
            <w:pPr>
              <w:numPr>
                <w:ilvl w:val="0"/>
                <w:numId w:val="1"/>
              </w:numPr>
              <w:rPr>
                <w:rFonts w:hint="eastAsia" w:ascii="宋体" w:hAnsi="宋体" w:cs="宋体"/>
                <w:bCs/>
                <w:iCs/>
                <w:color w:val="000000"/>
                <w:sz w:val="24"/>
                <w:szCs w:val="24"/>
              </w:rPr>
            </w:pPr>
            <w:r>
              <w:rPr>
                <w:rFonts w:hint="eastAsia" w:ascii="宋体" w:hAnsi="宋体" w:cs="宋体"/>
                <w:bCs/>
                <w:iCs/>
                <w:color w:val="000000"/>
                <w:sz w:val="24"/>
                <w:szCs w:val="24"/>
              </w:rPr>
              <w:t>FY101什么时候可以进入临床二期？</w:t>
            </w:r>
          </w:p>
          <w:p w14:paraId="1B8CB324">
            <w:pPr>
              <w:widowControl w:val="0"/>
              <w:numPr>
                <w:ilvl w:val="0"/>
                <w:numId w:val="0"/>
              </w:numPr>
              <w:ind w:firstLine="480" w:firstLineChars="200"/>
              <w:jc w:val="both"/>
              <w:rPr>
                <w:rFonts w:hint="eastAsia" w:ascii="宋体" w:hAnsi="宋体" w:eastAsia="宋体" w:cs="宋体"/>
                <w:bCs/>
                <w:iCs/>
                <w:color w:val="000000"/>
                <w:sz w:val="24"/>
                <w:szCs w:val="24"/>
                <w:lang w:val="en-US" w:eastAsia="zh-CN"/>
              </w:rPr>
            </w:pPr>
            <w:r>
              <w:rPr>
                <w:rFonts w:hint="eastAsia" w:ascii="宋体" w:hAnsi="宋体" w:cs="宋体"/>
                <w:bCs/>
                <w:iCs/>
                <w:color w:val="000000"/>
                <w:sz w:val="24"/>
                <w:szCs w:val="24"/>
                <w:lang w:val="en-US" w:eastAsia="zh-CN"/>
              </w:rPr>
              <w:t>回答：公司创新药FY101一期临床数据显示效果良好，符合公司预期，公司会根据信披要求及时披露该项目进展情况。</w:t>
            </w:r>
          </w:p>
          <w:p w14:paraId="3337171D">
            <w:pPr>
              <w:widowControl w:val="0"/>
              <w:numPr>
                <w:ilvl w:val="0"/>
                <w:numId w:val="0"/>
              </w:numPr>
              <w:jc w:val="both"/>
              <w:rPr>
                <w:rFonts w:hint="eastAsia" w:ascii="宋体" w:hAnsi="宋体" w:cs="宋体"/>
                <w:bCs/>
                <w:iCs/>
                <w:color w:val="000000"/>
                <w:sz w:val="24"/>
                <w:szCs w:val="24"/>
              </w:rPr>
            </w:pPr>
          </w:p>
          <w:p w14:paraId="438BE5D7">
            <w:pPr>
              <w:numPr>
                <w:ilvl w:val="0"/>
                <w:numId w:val="1"/>
              </w:numPr>
              <w:rPr>
                <w:rFonts w:hint="eastAsia" w:ascii="宋体" w:hAnsi="宋体" w:cs="宋体"/>
                <w:bCs/>
                <w:iCs/>
                <w:color w:val="000000"/>
                <w:sz w:val="24"/>
                <w:szCs w:val="24"/>
              </w:rPr>
            </w:pPr>
            <w:r>
              <w:rPr>
                <w:rFonts w:hint="eastAsia" w:ascii="宋体" w:hAnsi="宋体" w:cs="宋体"/>
                <w:bCs/>
                <w:iCs/>
                <w:color w:val="000000"/>
                <w:sz w:val="24"/>
                <w:szCs w:val="24"/>
              </w:rPr>
              <w:t>FY103现在一期的进展如何？</w:t>
            </w:r>
          </w:p>
          <w:p w14:paraId="33B71022">
            <w:pPr>
              <w:widowControl w:val="0"/>
              <w:numPr>
                <w:ilvl w:val="0"/>
                <w:numId w:val="0"/>
              </w:numPr>
              <w:ind w:firstLine="480" w:firstLineChars="200"/>
              <w:jc w:val="both"/>
              <w:rPr>
                <w:rFonts w:hint="eastAsia" w:ascii="宋体" w:hAnsi="宋体" w:cs="宋体"/>
                <w:bCs/>
                <w:iCs/>
                <w:color w:val="000000"/>
                <w:sz w:val="24"/>
                <w:szCs w:val="24"/>
              </w:rPr>
            </w:pPr>
            <w:r>
              <w:rPr>
                <w:rFonts w:hint="eastAsia" w:ascii="宋体" w:hAnsi="宋体" w:cs="宋体"/>
                <w:bCs/>
                <w:iCs/>
                <w:color w:val="000000"/>
                <w:sz w:val="24"/>
                <w:szCs w:val="24"/>
                <w:lang w:val="en-US" w:eastAsia="zh-CN"/>
              </w:rPr>
              <w:t>回答：公司创新药</w:t>
            </w:r>
            <w:r>
              <w:rPr>
                <w:rFonts w:hint="eastAsia" w:ascii="宋体" w:hAnsi="宋体" w:cs="宋体"/>
                <w:bCs/>
                <w:iCs/>
                <w:color w:val="000000"/>
                <w:sz w:val="24"/>
                <w:szCs w:val="24"/>
              </w:rPr>
              <w:t>FY103</w:t>
            </w:r>
            <w:r>
              <w:rPr>
                <w:rFonts w:hint="eastAsia" w:ascii="宋体" w:hAnsi="宋体" w:cs="宋体"/>
                <w:bCs/>
                <w:iCs/>
                <w:color w:val="000000"/>
                <w:sz w:val="24"/>
                <w:szCs w:val="24"/>
                <w:lang w:val="en-US" w:eastAsia="zh-CN"/>
              </w:rPr>
              <w:t>的一期临床正按计划有序推进中，目前</w:t>
            </w:r>
            <w:r>
              <w:rPr>
                <w:rFonts w:hint="eastAsia" w:ascii="宋体" w:hAnsi="宋体" w:cs="宋体"/>
                <w:bCs/>
                <w:iCs/>
                <w:color w:val="000000"/>
                <w:sz w:val="24"/>
                <w:szCs w:val="24"/>
              </w:rPr>
              <w:t>已启动入组和给药。</w:t>
            </w:r>
          </w:p>
          <w:p w14:paraId="42D9BBAA">
            <w:pPr>
              <w:widowControl w:val="0"/>
              <w:numPr>
                <w:ilvl w:val="0"/>
                <w:numId w:val="0"/>
              </w:numPr>
              <w:jc w:val="both"/>
              <w:rPr>
                <w:rFonts w:hint="eastAsia" w:ascii="宋体" w:hAnsi="宋体" w:cs="宋体"/>
                <w:bCs/>
                <w:iCs/>
                <w:color w:val="000000"/>
                <w:sz w:val="24"/>
                <w:szCs w:val="24"/>
              </w:rPr>
            </w:pPr>
          </w:p>
          <w:p w14:paraId="037061E8">
            <w:pPr>
              <w:numPr>
                <w:ilvl w:val="0"/>
                <w:numId w:val="1"/>
              </w:numPr>
              <w:rPr>
                <w:rFonts w:hint="eastAsia" w:ascii="宋体" w:hAnsi="宋体" w:cs="宋体"/>
                <w:bCs/>
                <w:iCs/>
                <w:color w:val="000000"/>
                <w:sz w:val="24"/>
                <w:szCs w:val="24"/>
              </w:rPr>
            </w:pPr>
            <w:r>
              <w:rPr>
                <w:rFonts w:hint="eastAsia" w:ascii="宋体" w:hAnsi="宋体" w:cs="宋体"/>
                <w:bCs/>
                <w:iCs/>
                <w:color w:val="000000"/>
                <w:sz w:val="24"/>
                <w:szCs w:val="24"/>
                <w:lang w:val="en-US" w:eastAsia="zh-CN"/>
              </w:rPr>
              <w:t>公司做创新药的时候是否使用AI？</w:t>
            </w:r>
          </w:p>
          <w:p w14:paraId="511B33EA">
            <w:pPr>
              <w:widowControl w:val="0"/>
              <w:numPr>
                <w:ilvl w:val="0"/>
                <w:numId w:val="0"/>
              </w:numPr>
              <w:ind w:firstLine="480" w:firstLineChars="200"/>
              <w:jc w:val="both"/>
              <w:rPr>
                <w:rFonts w:hint="eastAsia" w:ascii="宋体" w:hAnsi="宋体" w:cs="宋体"/>
                <w:bCs/>
                <w:iCs/>
                <w:color w:val="000000"/>
                <w:sz w:val="24"/>
                <w:szCs w:val="24"/>
                <w:lang w:val="en-US" w:eastAsia="zh-CN"/>
              </w:rPr>
            </w:pPr>
            <w:r>
              <w:rPr>
                <w:rFonts w:hint="eastAsia" w:ascii="宋体" w:hAnsi="宋体" w:cs="宋体"/>
                <w:bCs/>
                <w:iCs/>
                <w:color w:val="000000"/>
                <w:sz w:val="24"/>
                <w:szCs w:val="24"/>
                <w:lang w:val="en-US" w:eastAsia="zh-CN"/>
              </w:rPr>
              <w:t>回答：公司积极拥抱AI技术，目前主要用于药物发现阶段，可以帮助公司加速药物开发，公司正在积极交流学习AI与医药行业的结合。</w:t>
            </w:r>
          </w:p>
          <w:p w14:paraId="6B6EF056">
            <w:pPr>
              <w:widowControl w:val="0"/>
              <w:numPr>
                <w:ilvl w:val="0"/>
                <w:numId w:val="0"/>
              </w:numPr>
              <w:jc w:val="both"/>
              <w:rPr>
                <w:rFonts w:hint="eastAsia" w:ascii="宋体" w:hAnsi="宋体" w:cs="宋体"/>
                <w:bCs/>
                <w:iCs/>
                <w:color w:val="000000"/>
                <w:sz w:val="24"/>
                <w:szCs w:val="24"/>
              </w:rPr>
            </w:pPr>
          </w:p>
          <w:p w14:paraId="4E3EBA1A">
            <w:pPr>
              <w:numPr>
                <w:ilvl w:val="0"/>
                <w:numId w:val="1"/>
              </w:numPr>
              <w:rPr>
                <w:rFonts w:hint="eastAsia" w:ascii="宋体" w:hAnsi="宋体" w:cs="宋体"/>
                <w:bCs/>
                <w:iCs/>
                <w:color w:val="000000"/>
                <w:sz w:val="24"/>
                <w:szCs w:val="24"/>
              </w:rPr>
            </w:pPr>
            <w:r>
              <w:rPr>
                <w:rFonts w:hint="eastAsia" w:ascii="宋体" w:hAnsi="宋体" w:cs="宋体"/>
                <w:bCs/>
                <w:iCs/>
                <w:color w:val="000000"/>
                <w:sz w:val="24"/>
                <w:szCs w:val="24"/>
                <w:lang w:val="en-US" w:eastAsia="zh-CN"/>
              </w:rPr>
              <w:t>关注到公司有二十多个产品中标集采，集采什么时候能为公司带来增量？</w:t>
            </w:r>
          </w:p>
          <w:p w14:paraId="29E6E025">
            <w:pPr>
              <w:numPr>
                <w:ilvl w:val="0"/>
                <w:numId w:val="0"/>
              </w:numPr>
              <w:ind w:firstLine="480" w:firstLineChars="200"/>
              <w:rPr>
                <w:rFonts w:hint="eastAsia" w:ascii="宋体" w:hAnsi="宋体" w:eastAsia="宋体" w:cs="宋体"/>
                <w:bCs/>
                <w:iCs/>
                <w:color w:val="000000"/>
                <w:sz w:val="24"/>
                <w:szCs w:val="24"/>
                <w:lang w:val="en-US" w:eastAsia="zh-CN"/>
              </w:rPr>
            </w:pPr>
            <w:r>
              <w:rPr>
                <w:rFonts w:hint="eastAsia" w:ascii="宋体" w:hAnsi="宋体" w:cs="宋体"/>
                <w:bCs/>
                <w:iCs/>
                <w:color w:val="000000"/>
                <w:sz w:val="24"/>
                <w:szCs w:val="24"/>
                <w:lang w:val="en-US" w:eastAsia="zh-CN"/>
              </w:rPr>
              <w:t>回答：公司坚持“临床急需、仿创结合”的研发战略，更多产品中选集采将对院内市场布局形成一定支撑，有利于提高公司产品的市场占有率。公司将继续积极推进扩大这些产品零售市场和其他渠道的销售推广。同时，公司将坚持文化引领发展，积极应对政策变化，持续优化销售组织体系，以及通过多元化方式拓展院外市场，努力提升产品覆盖范围，促进公司稳步发展，以期实现稳定的营收和利润增长。</w:t>
            </w:r>
          </w:p>
          <w:p w14:paraId="367C484B">
            <w:pPr>
              <w:numPr>
                <w:ilvl w:val="0"/>
                <w:numId w:val="0"/>
              </w:numPr>
              <w:rPr>
                <w:rFonts w:hint="eastAsia" w:ascii="宋体" w:hAnsi="宋体" w:cs="宋体"/>
                <w:bCs/>
                <w:iCs/>
                <w:color w:val="000000"/>
                <w:sz w:val="24"/>
                <w:szCs w:val="24"/>
              </w:rPr>
            </w:pPr>
          </w:p>
          <w:p w14:paraId="37F432B1">
            <w:pPr>
              <w:numPr>
                <w:ilvl w:val="0"/>
                <w:numId w:val="1"/>
              </w:numPr>
              <w:rPr>
                <w:rFonts w:hint="eastAsia" w:ascii="宋体" w:hAnsi="宋体" w:cs="宋体"/>
                <w:bCs/>
                <w:iCs/>
                <w:color w:val="000000"/>
                <w:sz w:val="24"/>
                <w:szCs w:val="24"/>
                <w:highlight w:val="none"/>
              </w:rPr>
            </w:pPr>
            <w:r>
              <w:rPr>
                <w:rFonts w:hint="eastAsia" w:ascii="宋体" w:hAnsi="宋体" w:cs="宋体"/>
                <w:bCs/>
                <w:iCs/>
                <w:color w:val="000000"/>
                <w:sz w:val="24"/>
                <w:szCs w:val="24"/>
                <w:highlight w:val="none"/>
                <w:lang w:val="en-US" w:eastAsia="zh-CN"/>
              </w:rPr>
              <w:t>公司半年报营收增长但是利润下降的原因？何时会迎来业绩拐点？</w:t>
            </w:r>
          </w:p>
          <w:p w14:paraId="03BA7FA5">
            <w:pPr>
              <w:widowControl w:val="0"/>
              <w:numPr>
                <w:ilvl w:val="0"/>
                <w:numId w:val="0"/>
              </w:numPr>
              <w:ind w:firstLine="480" w:firstLineChars="200"/>
              <w:jc w:val="both"/>
              <w:rPr>
                <w:rFonts w:hint="eastAsia" w:ascii="宋体" w:hAnsi="宋体" w:cs="宋体"/>
                <w:bCs/>
                <w:iCs/>
                <w:color w:val="000000"/>
                <w:sz w:val="24"/>
                <w:szCs w:val="24"/>
                <w:lang w:val="en-US" w:eastAsia="zh-CN"/>
              </w:rPr>
            </w:pPr>
            <w:r>
              <w:rPr>
                <w:rFonts w:hint="eastAsia" w:ascii="宋体" w:hAnsi="宋体" w:cs="宋体"/>
                <w:bCs/>
                <w:iCs/>
                <w:color w:val="000000"/>
                <w:sz w:val="24"/>
                <w:szCs w:val="24"/>
                <w:lang w:val="en-US" w:eastAsia="zh-CN"/>
              </w:rPr>
              <w:t>回答：公司上半年利润下滑，主要受到集采续标产品价格调整、</w:t>
            </w:r>
            <w:bookmarkStart w:id="0" w:name="_GoBack"/>
            <w:bookmarkEnd w:id="0"/>
            <w:r>
              <w:rPr>
                <w:rFonts w:hint="eastAsia" w:ascii="宋体" w:hAnsi="宋体" w:cs="宋体"/>
                <w:bCs/>
                <w:iCs/>
                <w:color w:val="000000"/>
                <w:sz w:val="24"/>
                <w:szCs w:val="24"/>
                <w:lang w:val="en-US" w:eastAsia="zh-CN"/>
              </w:rPr>
              <w:t>高精尖药品产业化建设项目（一期）产品转移验证阶段性成本增加以及研发投入增长等因素影响。</w:t>
            </w:r>
          </w:p>
          <w:p w14:paraId="24FEF34F">
            <w:pPr>
              <w:widowControl w:val="0"/>
              <w:numPr>
                <w:ilvl w:val="0"/>
                <w:numId w:val="0"/>
              </w:numPr>
              <w:ind w:firstLine="480" w:firstLineChars="200"/>
              <w:jc w:val="both"/>
              <w:rPr>
                <w:rFonts w:hint="eastAsia" w:ascii="宋体" w:hAnsi="宋体" w:cs="宋体"/>
                <w:bCs/>
                <w:iCs/>
                <w:color w:val="000000"/>
                <w:sz w:val="24"/>
                <w:szCs w:val="24"/>
                <w:lang w:val="en-US" w:eastAsia="zh-CN"/>
              </w:rPr>
            </w:pPr>
            <w:r>
              <w:rPr>
                <w:rFonts w:hint="eastAsia" w:ascii="宋体" w:hAnsi="宋体" w:cs="宋体"/>
                <w:bCs/>
                <w:iCs/>
                <w:color w:val="000000"/>
                <w:sz w:val="24"/>
                <w:szCs w:val="24"/>
                <w:lang w:val="en-US" w:eastAsia="zh-CN"/>
              </w:rPr>
              <w:t>公司坚持“临床急需、仿创结合”的研发战略，持续构建稳健可持续、兼具前瞻性的研发业务格局，两大业务板块形成良性互补、协同赋能的发展闭环，驱动公司高质量可持续发展。未来，公司始终聚焦主业经营、技术创新、市场拓展、成本管理，不断提升综合运营能力，持续为股东创造价值。</w:t>
            </w:r>
          </w:p>
          <w:p w14:paraId="5DF70F72">
            <w:pPr>
              <w:widowControl w:val="0"/>
              <w:numPr>
                <w:ilvl w:val="0"/>
                <w:numId w:val="0"/>
              </w:numPr>
              <w:ind w:firstLine="480" w:firstLineChars="200"/>
              <w:jc w:val="both"/>
              <w:rPr>
                <w:rFonts w:hint="eastAsia" w:ascii="宋体" w:hAnsi="宋体" w:cs="宋体"/>
                <w:bCs/>
                <w:iCs/>
                <w:color w:val="000000"/>
                <w:sz w:val="24"/>
                <w:szCs w:val="24"/>
                <w:lang w:val="en-US" w:eastAsia="zh-CN"/>
              </w:rPr>
            </w:pPr>
          </w:p>
          <w:p w14:paraId="438BAAA3">
            <w:pPr>
              <w:widowControl w:val="0"/>
              <w:numPr>
                <w:ilvl w:val="0"/>
                <w:numId w:val="1"/>
              </w:numPr>
              <w:ind w:left="0" w:leftChars="0" w:firstLine="0" w:firstLineChars="0"/>
              <w:jc w:val="both"/>
              <w:rPr>
                <w:rFonts w:hint="default" w:ascii="宋体" w:hAnsi="宋体" w:cs="宋体"/>
                <w:bCs/>
                <w:iCs/>
                <w:color w:val="000000"/>
                <w:sz w:val="24"/>
                <w:szCs w:val="24"/>
                <w:lang w:val="en-US" w:eastAsia="zh-CN"/>
              </w:rPr>
            </w:pPr>
            <w:r>
              <w:rPr>
                <w:rFonts w:hint="default" w:ascii="宋体" w:hAnsi="宋体" w:cs="宋体"/>
                <w:bCs/>
                <w:iCs/>
                <w:color w:val="000000"/>
                <w:sz w:val="24"/>
                <w:szCs w:val="24"/>
                <w:lang w:val="en-US" w:eastAsia="zh-CN"/>
              </w:rPr>
              <w:t>公司是否能维持甚至提高分红水平，以保障股东的实际回报</w:t>
            </w:r>
            <w:r>
              <w:rPr>
                <w:rFonts w:hint="eastAsia" w:ascii="宋体" w:hAnsi="宋体" w:cs="宋体"/>
                <w:bCs/>
                <w:iCs/>
                <w:color w:val="000000"/>
                <w:sz w:val="24"/>
                <w:szCs w:val="24"/>
                <w:lang w:val="en-US" w:eastAsia="zh-CN"/>
              </w:rPr>
              <w:t>。</w:t>
            </w:r>
          </w:p>
          <w:p w14:paraId="5A7D3743">
            <w:pPr>
              <w:ind w:firstLine="480" w:firstLineChars="200"/>
              <w:rPr>
                <w:rFonts w:hint="eastAsia" w:ascii="宋体" w:hAnsi="宋体" w:cs="宋体"/>
                <w:bCs/>
                <w:iCs/>
                <w:color w:val="000000"/>
                <w:sz w:val="24"/>
                <w:szCs w:val="24"/>
              </w:rPr>
            </w:pPr>
            <w:r>
              <w:rPr>
                <w:rFonts w:hint="eastAsia" w:ascii="宋体" w:hAnsi="宋体" w:cs="宋体"/>
                <w:bCs/>
                <w:iCs/>
                <w:color w:val="000000"/>
                <w:sz w:val="24"/>
                <w:szCs w:val="24"/>
                <w:lang w:val="en-US" w:eastAsia="zh-CN"/>
              </w:rPr>
              <w:t>回复：公司高度重视投资者回报，积极践行上市公司社会责任，自上市以来始终执行稳定积极的现金分红政策，未来公司将结合实际业务情况、未来发展规划、资金情况，统筹好公司发展、业绩增长与股东回报的动态平衡，实现稳定、持续、科学的股东回报机制。</w:t>
            </w:r>
          </w:p>
          <w:p w14:paraId="666364F3">
            <w:pPr>
              <w:rPr>
                <w:rFonts w:hint="eastAsia" w:ascii="宋体" w:hAnsi="宋体" w:cs="宋体"/>
                <w:bCs/>
                <w:iCs/>
                <w:color w:val="000000"/>
                <w:sz w:val="24"/>
                <w:szCs w:val="24"/>
              </w:rPr>
            </w:pPr>
          </w:p>
          <w:p w14:paraId="019CD187">
            <w:pPr>
              <w:rPr>
                <w:rFonts w:hint="eastAsia" w:ascii="宋体" w:hAnsi="宋体" w:cs="宋体"/>
                <w:bCs/>
                <w:iCs/>
                <w:color w:val="000000"/>
                <w:sz w:val="24"/>
                <w:szCs w:val="24"/>
              </w:rPr>
            </w:pPr>
            <w:r>
              <w:rPr>
                <w:rFonts w:hint="eastAsia" w:ascii="宋体" w:hAnsi="宋体" w:cs="宋体"/>
                <w:bCs/>
                <w:iCs/>
                <w:color w:val="000000"/>
                <w:sz w:val="24"/>
                <w:szCs w:val="24"/>
              </w:rPr>
              <w:t>公司与</w:t>
            </w:r>
            <w:r>
              <w:rPr>
                <w:rFonts w:hint="eastAsia" w:ascii="宋体" w:hAnsi="宋体" w:cs="宋体"/>
                <w:bCs/>
                <w:iCs/>
                <w:color w:val="000000"/>
                <w:sz w:val="24"/>
                <w:szCs w:val="24"/>
                <w:lang w:val="en-US" w:eastAsia="zh-CN"/>
              </w:rPr>
              <w:t>参与活动的投资者</w:t>
            </w:r>
            <w:r>
              <w:rPr>
                <w:rFonts w:hint="eastAsia" w:ascii="宋体" w:hAnsi="宋体" w:cs="宋体"/>
                <w:bCs/>
                <w:iCs/>
                <w:color w:val="000000"/>
                <w:sz w:val="24"/>
                <w:szCs w:val="24"/>
              </w:rPr>
              <w:t>进行了充分的交流与沟通，并严格按照公司《信息披露管理制度》等规定，保证信息披露的真实、准确、完整、及时、公平。</w:t>
            </w:r>
          </w:p>
        </w:tc>
      </w:tr>
      <w:tr w14:paraId="5503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2149" w:type="dxa"/>
            <w:tcBorders>
              <w:top w:val="single" w:color="auto" w:sz="4" w:space="0"/>
              <w:left w:val="single" w:color="auto" w:sz="4" w:space="0"/>
              <w:bottom w:val="single" w:color="auto" w:sz="4" w:space="0"/>
              <w:right w:val="single" w:color="auto" w:sz="4" w:space="0"/>
            </w:tcBorders>
            <w:vAlign w:val="center"/>
          </w:tcPr>
          <w:p w14:paraId="7D332BF0">
            <w:pPr>
              <w:rPr>
                <w:rFonts w:hint="eastAsia" w:ascii="宋体" w:hAnsi="宋体" w:cs="宋体"/>
                <w:bCs/>
                <w:iCs/>
                <w:color w:val="000000"/>
                <w:sz w:val="24"/>
                <w:szCs w:val="24"/>
              </w:rPr>
            </w:pPr>
            <w:r>
              <w:rPr>
                <w:rFonts w:hint="eastAsia" w:ascii="宋体" w:hAnsi="宋体" w:cs="宋体"/>
                <w:bCs/>
                <w:iCs/>
                <w:color w:val="000000"/>
                <w:sz w:val="24"/>
                <w:szCs w:val="24"/>
              </w:rPr>
              <w:t>关于本次活动是否涉及应披露重大信息的说明</w:t>
            </w:r>
          </w:p>
        </w:tc>
        <w:tc>
          <w:tcPr>
            <w:tcW w:w="6782" w:type="dxa"/>
            <w:tcBorders>
              <w:top w:val="single" w:color="auto" w:sz="4" w:space="0"/>
              <w:left w:val="single" w:color="auto" w:sz="4" w:space="0"/>
              <w:bottom w:val="single" w:color="auto" w:sz="4" w:space="0"/>
              <w:right w:val="single" w:color="auto" w:sz="4" w:space="0"/>
            </w:tcBorders>
            <w:vAlign w:val="center"/>
          </w:tcPr>
          <w:p w14:paraId="35541996">
            <w:pPr>
              <w:rPr>
                <w:rFonts w:hint="eastAsia" w:ascii="宋体" w:hAnsi="宋体" w:cs="宋体"/>
                <w:bCs/>
                <w:iCs/>
                <w:color w:val="000000"/>
                <w:sz w:val="24"/>
                <w:szCs w:val="24"/>
              </w:rPr>
            </w:pPr>
            <w:r>
              <w:rPr>
                <w:rFonts w:hint="eastAsia" w:ascii="宋体" w:hAnsi="宋体" w:cs="宋体"/>
                <w:bCs/>
                <w:iCs/>
                <w:color w:val="000000"/>
                <w:sz w:val="24"/>
                <w:szCs w:val="24"/>
              </w:rPr>
              <w:t>否</w:t>
            </w:r>
          </w:p>
        </w:tc>
      </w:tr>
      <w:tr w14:paraId="21536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2149" w:type="dxa"/>
            <w:tcBorders>
              <w:top w:val="single" w:color="auto" w:sz="4" w:space="0"/>
              <w:left w:val="single" w:color="auto" w:sz="4" w:space="0"/>
              <w:bottom w:val="single" w:color="auto" w:sz="4" w:space="0"/>
              <w:right w:val="single" w:color="auto" w:sz="4" w:space="0"/>
            </w:tcBorders>
            <w:vAlign w:val="center"/>
          </w:tcPr>
          <w:p w14:paraId="69B0A95C">
            <w:pPr>
              <w:rPr>
                <w:rFonts w:hint="eastAsia" w:ascii="宋体" w:hAnsi="宋体" w:cs="宋体"/>
                <w:bCs/>
                <w:iCs/>
                <w:color w:val="000000"/>
                <w:sz w:val="24"/>
                <w:szCs w:val="24"/>
              </w:rPr>
            </w:pPr>
            <w:r>
              <w:rPr>
                <w:rFonts w:hint="eastAsia" w:ascii="宋体" w:hAnsi="宋体" w:cs="宋体"/>
                <w:bCs/>
                <w:iCs/>
                <w:color w:val="000000"/>
                <w:sz w:val="24"/>
                <w:szCs w:val="24"/>
              </w:rPr>
              <w:t>附件清单（如有）</w:t>
            </w:r>
          </w:p>
        </w:tc>
        <w:tc>
          <w:tcPr>
            <w:tcW w:w="6782" w:type="dxa"/>
            <w:tcBorders>
              <w:top w:val="single" w:color="auto" w:sz="4" w:space="0"/>
              <w:left w:val="single" w:color="auto" w:sz="4" w:space="0"/>
              <w:bottom w:val="single" w:color="auto" w:sz="4" w:space="0"/>
              <w:right w:val="single" w:color="auto" w:sz="4" w:space="0"/>
            </w:tcBorders>
            <w:vAlign w:val="center"/>
          </w:tcPr>
          <w:p w14:paraId="6D4C4080">
            <w:pPr>
              <w:rPr>
                <w:rFonts w:hint="eastAsia" w:ascii="宋体" w:hAnsi="宋体" w:cs="宋体"/>
                <w:bCs/>
                <w:iCs/>
                <w:color w:val="000000"/>
                <w:sz w:val="24"/>
                <w:szCs w:val="24"/>
              </w:rPr>
            </w:pPr>
          </w:p>
        </w:tc>
      </w:tr>
      <w:tr w14:paraId="36CF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49" w:type="dxa"/>
            <w:tcBorders>
              <w:top w:val="single" w:color="auto" w:sz="4" w:space="0"/>
              <w:left w:val="single" w:color="auto" w:sz="4" w:space="0"/>
              <w:bottom w:val="single" w:color="auto" w:sz="4" w:space="0"/>
              <w:right w:val="single" w:color="auto" w:sz="4" w:space="0"/>
            </w:tcBorders>
            <w:vAlign w:val="center"/>
          </w:tcPr>
          <w:p w14:paraId="184C46D5">
            <w:pPr>
              <w:rPr>
                <w:rFonts w:hint="eastAsia" w:ascii="宋体" w:hAnsi="宋体" w:cs="宋体"/>
                <w:bCs/>
                <w:iCs/>
                <w:color w:val="000000"/>
                <w:sz w:val="24"/>
                <w:szCs w:val="24"/>
              </w:rPr>
            </w:pPr>
            <w:r>
              <w:rPr>
                <w:rFonts w:hint="eastAsia" w:ascii="宋体" w:hAnsi="宋体" w:cs="宋体"/>
                <w:bCs/>
                <w:iCs/>
                <w:color w:val="000000"/>
                <w:sz w:val="24"/>
                <w:szCs w:val="24"/>
              </w:rPr>
              <w:t>日期</w:t>
            </w:r>
          </w:p>
        </w:tc>
        <w:tc>
          <w:tcPr>
            <w:tcW w:w="6782" w:type="dxa"/>
            <w:tcBorders>
              <w:top w:val="single" w:color="auto" w:sz="4" w:space="0"/>
              <w:left w:val="single" w:color="auto" w:sz="4" w:space="0"/>
              <w:bottom w:val="single" w:color="auto" w:sz="4" w:space="0"/>
              <w:right w:val="single" w:color="auto" w:sz="4" w:space="0"/>
            </w:tcBorders>
            <w:vAlign w:val="center"/>
          </w:tcPr>
          <w:p w14:paraId="414608E2">
            <w:pPr>
              <w:rPr>
                <w:rFonts w:hint="eastAsia" w:ascii="宋体" w:hAnsi="宋体" w:cs="宋体"/>
                <w:bCs/>
                <w:iCs/>
                <w:color w:val="000000"/>
                <w:sz w:val="24"/>
                <w:szCs w:val="24"/>
              </w:rPr>
            </w:pPr>
            <w:r>
              <w:rPr>
                <w:rFonts w:hint="eastAsia" w:ascii="宋体" w:hAnsi="宋体" w:cs="宋体"/>
                <w:bCs/>
                <w:iCs/>
                <w:color w:val="000000"/>
                <w:sz w:val="24"/>
                <w:szCs w:val="24"/>
              </w:rPr>
              <w:t>2026年</w:t>
            </w:r>
            <w:r>
              <w:rPr>
                <w:rFonts w:hint="eastAsia" w:ascii="宋体" w:hAnsi="宋体" w:cs="宋体"/>
                <w:bCs/>
                <w:iCs/>
                <w:color w:val="000000"/>
                <w:sz w:val="24"/>
                <w:szCs w:val="24"/>
                <w:lang w:val="en-US" w:eastAsia="zh-CN"/>
              </w:rPr>
              <w:t>9</w:t>
            </w:r>
            <w:r>
              <w:rPr>
                <w:rFonts w:hint="eastAsia" w:ascii="宋体" w:hAnsi="宋体" w:cs="宋体"/>
                <w:bCs/>
                <w:iCs/>
                <w:color w:val="000000"/>
                <w:sz w:val="24"/>
                <w:szCs w:val="24"/>
              </w:rPr>
              <w:t>月</w:t>
            </w:r>
            <w:r>
              <w:rPr>
                <w:rFonts w:hint="eastAsia" w:ascii="宋体" w:hAnsi="宋体" w:cs="宋体"/>
                <w:bCs/>
                <w:iCs/>
                <w:color w:val="000000"/>
                <w:sz w:val="24"/>
                <w:szCs w:val="24"/>
                <w:lang w:val="en-US" w:eastAsia="zh-CN"/>
              </w:rPr>
              <w:t>22</w:t>
            </w:r>
            <w:r>
              <w:rPr>
                <w:rFonts w:hint="eastAsia" w:ascii="宋体" w:hAnsi="宋体" w:cs="宋体"/>
                <w:bCs/>
                <w:iCs/>
                <w:color w:val="000000"/>
                <w:sz w:val="24"/>
                <w:szCs w:val="24"/>
              </w:rPr>
              <w:t>日</w:t>
            </w:r>
          </w:p>
        </w:tc>
      </w:tr>
    </w:tbl>
    <w:p w14:paraId="73B1688B">
      <w:pPr>
        <w:rPr>
          <w:rFonts w:hint="eastAsia" w:ascii="宋体" w:hAnsi="宋体" w:cs="宋体"/>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F85F28"/>
    <w:multiLevelType w:val="singleLevel"/>
    <w:tmpl w:val="1AF85F28"/>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1NjM2ZmQ3M2EyYTUxNDQ5MjNjODJhNjYwNmNjNTMifQ=="/>
  </w:docVars>
  <w:rsids>
    <w:rsidRoot w:val="05442F5E"/>
    <w:rsid w:val="00002847"/>
    <w:rsid w:val="000039B2"/>
    <w:rsid w:val="00004ABE"/>
    <w:rsid w:val="0000582A"/>
    <w:rsid w:val="00016E42"/>
    <w:rsid w:val="000173DD"/>
    <w:rsid w:val="0002038B"/>
    <w:rsid w:val="00024F3D"/>
    <w:rsid w:val="00026E9B"/>
    <w:rsid w:val="0003103E"/>
    <w:rsid w:val="000338C7"/>
    <w:rsid w:val="00040511"/>
    <w:rsid w:val="00044FFE"/>
    <w:rsid w:val="00046268"/>
    <w:rsid w:val="000566E1"/>
    <w:rsid w:val="00061CAB"/>
    <w:rsid w:val="000633BA"/>
    <w:rsid w:val="00065FD3"/>
    <w:rsid w:val="0007353E"/>
    <w:rsid w:val="00077220"/>
    <w:rsid w:val="000805C4"/>
    <w:rsid w:val="00094542"/>
    <w:rsid w:val="00094C80"/>
    <w:rsid w:val="000A2DEE"/>
    <w:rsid w:val="000A4710"/>
    <w:rsid w:val="000A69A7"/>
    <w:rsid w:val="000A7FDD"/>
    <w:rsid w:val="000B10FC"/>
    <w:rsid w:val="000B1ED7"/>
    <w:rsid w:val="000B77DC"/>
    <w:rsid w:val="000C0D53"/>
    <w:rsid w:val="000C434B"/>
    <w:rsid w:val="000D32F6"/>
    <w:rsid w:val="000D45CE"/>
    <w:rsid w:val="000D5DC1"/>
    <w:rsid w:val="000D72E3"/>
    <w:rsid w:val="000E06D1"/>
    <w:rsid w:val="000E68F6"/>
    <w:rsid w:val="000F339E"/>
    <w:rsid w:val="000F4710"/>
    <w:rsid w:val="000F5EE2"/>
    <w:rsid w:val="00110A81"/>
    <w:rsid w:val="00115CF8"/>
    <w:rsid w:val="00124BA3"/>
    <w:rsid w:val="0012508C"/>
    <w:rsid w:val="0012733C"/>
    <w:rsid w:val="001344FE"/>
    <w:rsid w:val="00134FD6"/>
    <w:rsid w:val="001376D1"/>
    <w:rsid w:val="0014311B"/>
    <w:rsid w:val="00143F14"/>
    <w:rsid w:val="00146B99"/>
    <w:rsid w:val="00146FD5"/>
    <w:rsid w:val="00147135"/>
    <w:rsid w:val="00151CD4"/>
    <w:rsid w:val="00151D74"/>
    <w:rsid w:val="00154931"/>
    <w:rsid w:val="00162069"/>
    <w:rsid w:val="00162415"/>
    <w:rsid w:val="00165B32"/>
    <w:rsid w:val="0017173B"/>
    <w:rsid w:val="00171789"/>
    <w:rsid w:val="001720C0"/>
    <w:rsid w:val="001737E9"/>
    <w:rsid w:val="00177204"/>
    <w:rsid w:val="0018173C"/>
    <w:rsid w:val="00181C4C"/>
    <w:rsid w:val="00183536"/>
    <w:rsid w:val="00191EE7"/>
    <w:rsid w:val="0019584E"/>
    <w:rsid w:val="001A0DEC"/>
    <w:rsid w:val="001A421A"/>
    <w:rsid w:val="001A7362"/>
    <w:rsid w:val="001B0E82"/>
    <w:rsid w:val="001B0FC6"/>
    <w:rsid w:val="001B5CAB"/>
    <w:rsid w:val="001C3535"/>
    <w:rsid w:val="001D4084"/>
    <w:rsid w:val="001D6BF7"/>
    <w:rsid w:val="001E0D09"/>
    <w:rsid w:val="001E1C9B"/>
    <w:rsid w:val="001E2998"/>
    <w:rsid w:val="001E32C1"/>
    <w:rsid w:val="001E5EB8"/>
    <w:rsid w:val="001F1C45"/>
    <w:rsid w:val="001F64E8"/>
    <w:rsid w:val="00214BDC"/>
    <w:rsid w:val="00215348"/>
    <w:rsid w:val="002162AA"/>
    <w:rsid w:val="002219FC"/>
    <w:rsid w:val="00223C46"/>
    <w:rsid w:val="0022433B"/>
    <w:rsid w:val="00231086"/>
    <w:rsid w:val="00231345"/>
    <w:rsid w:val="00237CC5"/>
    <w:rsid w:val="00240557"/>
    <w:rsid w:val="00254EA5"/>
    <w:rsid w:val="00265483"/>
    <w:rsid w:val="00270576"/>
    <w:rsid w:val="0027764A"/>
    <w:rsid w:val="0027793F"/>
    <w:rsid w:val="00290AB9"/>
    <w:rsid w:val="00291FE6"/>
    <w:rsid w:val="00292D5F"/>
    <w:rsid w:val="002A5D89"/>
    <w:rsid w:val="002B43A7"/>
    <w:rsid w:val="002C3DC0"/>
    <w:rsid w:val="002D3275"/>
    <w:rsid w:val="002E06F0"/>
    <w:rsid w:val="002E119C"/>
    <w:rsid w:val="002E6F86"/>
    <w:rsid w:val="00300CE2"/>
    <w:rsid w:val="003130C1"/>
    <w:rsid w:val="0031342C"/>
    <w:rsid w:val="003210F3"/>
    <w:rsid w:val="00327FB9"/>
    <w:rsid w:val="00342FA6"/>
    <w:rsid w:val="00345598"/>
    <w:rsid w:val="00350153"/>
    <w:rsid w:val="0035615B"/>
    <w:rsid w:val="00356486"/>
    <w:rsid w:val="00356F3F"/>
    <w:rsid w:val="0037686F"/>
    <w:rsid w:val="00377CBD"/>
    <w:rsid w:val="00385BB1"/>
    <w:rsid w:val="003905C9"/>
    <w:rsid w:val="00397088"/>
    <w:rsid w:val="003A1669"/>
    <w:rsid w:val="003A5666"/>
    <w:rsid w:val="003A5B02"/>
    <w:rsid w:val="003A61BA"/>
    <w:rsid w:val="003B0F4A"/>
    <w:rsid w:val="003B3153"/>
    <w:rsid w:val="003B72FF"/>
    <w:rsid w:val="003C21F7"/>
    <w:rsid w:val="003D411D"/>
    <w:rsid w:val="003D4498"/>
    <w:rsid w:val="003E38AE"/>
    <w:rsid w:val="003E5FB3"/>
    <w:rsid w:val="003E6587"/>
    <w:rsid w:val="00400A8C"/>
    <w:rsid w:val="004040CB"/>
    <w:rsid w:val="004049C2"/>
    <w:rsid w:val="00412595"/>
    <w:rsid w:val="00431CFA"/>
    <w:rsid w:val="00432B1E"/>
    <w:rsid w:val="0043436B"/>
    <w:rsid w:val="00437C1F"/>
    <w:rsid w:val="00452FE4"/>
    <w:rsid w:val="00466066"/>
    <w:rsid w:val="00471250"/>
    <w:rsid w:val="00472AA0"/>
    <w:rsid w:val="00476AC6"/>
    <w:rsid w:val="00483638"/>
    <w:rsid w:val="0048632A"/>
    <w:rsid w:val="004922AD"/>
    <w:rsid w:val="004A3594"/>
    <w:rsid w:val="004B05A7"/>
    <w:rsid w:val="004B0D41"/>
    <w:rsid w:val="004B5735"/>
    <w:rsid w:val="004C0BE1"/>
    <w:rsid w:val="004C1121"/>
    <w:rsid w:val="004D0651"/>
    <w:rsid w:val="004D1693"/>
    <w:rsid w:val="004D20C5"/>
    <w:rsid w:val="004D7176"/>
    <w:rsid w:val="004E2238"/>
    <w:rsid w:val="004E6819"/>
    <w:rsid w:val="004E7471"/>
    <w:rsid w:val="00500349"/>
    <w:rsid w:val="005016B8"/>
    <w:rsid w:val="00503AA3"/>
    <w:rsid w:val="0050452C"/>
    <w:rsid w:val="00510CE9"/>
    <w:rsid w:val="00510E66"/>
    <w:rsid w:val="00514C1A"/>
    <w:rsid w:val="00533220"/>
    <w:rsid w:val="005343FC"/>
    <w:rsid w:val="005377DD"/>
    <w:rsid w:val="0054319E"/>
    <w:rsid w:val="005523DA"/>
    <w:rsid w:val="00552987"/>
    <w:rsid w:val="00552A29"/>
    <w:rsid w:val="0056395F"/>
    <w:rsid w:val="00563BB4"/>
    <w:rsid w:val="00574AD6"/>
    <w:rsid w:val="005839AF"/>
    <w:rsid w:val="00586246"/>
    <w:rsid w:val="00591929"/>
    <w:rsid w:val="00593128"/>
    <w:rsid w:val="00593B56"/>
    <w:rsid w:val="0059633C"/>
    <w:rsid w:val="005972F8"/>
    <w:rsid w:val="005A1592"/>
    <w:rsid w:val="005A25EB"/>
    <w:rsid w:val="005A32A5"/>
    <w:rsid w:val="005A602E"/>
    <w:rsid w:val="005A79C1"/>
    <w:rsid w:val="005B2C8D"/>
    <w:rsid w:val="005B5039"/>
    <w:rsid w:val="005C22E0"/>
    <w:rsid w:val="005C2953"/>
    <w:rsid w:val="005D015D"/>
    <w:rsid w:val="005D4C51"/>
    <w:rsid w:val="005D670D"/>
    <w:rsid w:val="005E05C3"/>
    <w:rsid w:val="005E3465"/>
    <w:rsid w:val="005E71AF"/>
    <w:rsid w:val="005F0E0C"/>
    <w:rsid w:val="005F259A"/>
    <w:rsid w:val="00607DD2"/>
    <w:rsid w:val="0061735E"/>
    <w:rsid w:val="00630453"/>
    <w:rsid w:val="00631466"/>
    <w:rsid w:val="00633D78"/>
    <w:rsid w:val="006353FB"/>
    <w:rsid w:val="00637397"/>
    <w:rsid w:val="0064462C"/>
    <w:rsid w:val="00646A8C"/>
    <w:rsid w:val="00647081"/>
    <w:rsid w:val="00647D4E"/>
    <w:rsid w:val="00660A9C"/>
    <w:rsid w:val="006677A1"/>
    <w:rsid w:val="00673DE8"/>
    <w:rsid w:val="00675727"/>
    <w:rsid w:val="00676558"/>
    <w:rsid w:val="00677C72"/>
    <w:rsid w:val="0068354D"/>
    <w:rsid w:val="0068404E"/>
    <w:rsid w:val="006847A6"/>
    <w:rsid w:val="00685B6A"/>
    <w:rsid w:val="0068770A"/>
    <w:rsid w:val="006903AB"/>
    <w:rsid w:val="006A4E68"/>
    <w:rsid w:val="006A5030"/>
    <w:rsid w:val="006B090F"/>
    <w:rsid w:val="006B6F0A"/>
    <w:rsid w:val="006B78CF"/>
    <w:rsid w:val="006C0563"/>
    <w:rsid w:val="006C2977"/>
    <w:rsid w:val="006C4247"/>
    <w:rsid w:val="006C7D8B"/>
    <w:rsid w:val="006D1448"/>
    <w:rsid w:val="006D48A9"/>
    <w:rsid w:val="006D6972"/>
    <w:rsid w:val="006E03D3"/>
    <w:rsid w:val="006F7F51"/>
    <w:rsid w:val="00705239"/>
    <w:rsid w:val="00707059"/>
    <w:rsid w:val="00714A38"/>
    <w:rsid w:val="007223E5"/>
    <w:rsid w:val="007232B4"/>
    <w:rsid w:val="00732229"/>
    <w:rsid w:val="007356FA"/>
    <w:rsid w:val="007379CD"/>
    <w:rsid w:val="00740E2D"/>
    <w:rsid w:val="00743248"/>
    <w:rsid w:val="00754578"/>
    <w:rsid w:val="00767A05"/>
    <w:rsid w:val="00772A67"/>
    <w:rsid w:val="00773857"/>
    <w:rsid w:val="00774744"/>
    <w:rsid w:val="00777752"/>
    <w:rsid w:val="00780A85"/>
    <w:rsid w:val="00780CFB"/>
    <w:rsid w:val="00782727"/>
    <w:rsid w:val="0078643F"/>
    <w:rsid w:val="0078768E"/>
    <w:rsid w:val="007953D4"/>
    <w:rsid w:val="007A53C4"/>
    <w:rsid w:val="007B206B"/>
    <w:rsid w:val="007B463C"/>
    <w:rsid w:val="007C32BD"/>
    <w:rsid w:val="007C611F"/>
    <w:rsid w:val="007D7D37"/>
    <w:rsid w:val="007E097C"/>
    <w:rsid w:val="007E2F62"/>
    <w:rsid w:val="008070EF"/>
    <w:rsid w:val="008166C9"/>
    <w:rsid w:val="00817E52"/>
    <w:rsid w:val="00823E63"/>
    <w:rsid w:val="00824DC3"/>
    <w:rsid w:val="00826757"/>
    <w:rsid w:val="00841BDA"/>
    <w:rsid w:val="008461BE"/>
    <w:rsid w:val="008521EA"/>
    <w:rsid w:val="00864995"/>
    <w:rsid w:val="008655A6"/>
    <w:rsid w:val="00867675"/>
    <w:rsid w:val="00873264"/>
    <w:rsid w:val="00876479"/>
    <w:rsid w:val="00884215"/>
    <w:rsid w:val="008863B7"/>
    <w:rsid w:val="00893B6B"/>
    <w:rsid w:val="00893DD7"/>
    <w:rsid w:val="008A2044"/>
    <w:rsid w:val="008A355D"/>
    <w:rsid w:val="008A443E"/>
    <w:rsid w:val="008A6A71"/>
    <w:rsid w:val="008A7C65"/>
    <w:rsid w:val="008B0868"/>
    <w:rsid w:val="008B0C2F"/>
    <w:rsid w:val="008C0FA2"/>
    <w:rsid w:val="008C74B2"/>
    <w:rsid w:val="008D6212"/>
    <w:rsid w:val="008D7B5A"/>
    <w:rsid w:val="008E0983"/>
    <w:rsid w:val="008E628C"/>
    <w:rsid w:val="008E7296"/>
    <w:rsid w:val="008F7052"/>
    <w:rsid w:val="00900E24"/>
    <w:rsid w:val="0091173A"/>
    <w:rsid w:val="009139CE"/>
    <w:rsid w:val="00917A2D"/>
    <w:rsid w:val="00921498"/>
    <w:rsid w:val="0092157C"/>
    <w:rsid w:val="00924D90"/>
    <w:rsid w:val="0092599C"/>
    <w:rsid w:val="00927FD2"/>
    <w:rsid w:val="00930C94"/>
    <w:rsid w:val="00930D80"/>
    <w:rsid w:val="009418BD"/>
    <w:rsid w:val="0094560A"/>
    <w:rsid w:val="00946AA8"/>
    <w:rsid w:val="00956E33"/>
    <w:rsid w:val="00956FF0"/>
    <w:rsid w:val="00957182"/>
    <w:rsid w:val="00957CA1"/>
    <w:rsid w:val="00960ABF"/>
    <w:rsid w:val="009611B0"/>
    <w:rsid w:val="00961EA3"/>
    <w:rsid w:val="009634A6"/>
    <w:rsid w:val="00966026"/>
    <w:rsid w:val="009674FA"/>
    <w:rsid w:val="00970132"/>
    <w:rsid w:val="009760C9"/>
    <w:rsid w:val="00990BAF"/>
    <w:rsid w:val="00993D7D"/>
    <w:rsid w:val="0099414C"/>
    <w:rsid w:val="009A62D5"/>
    <w:rsid w:val="009B3800"/>
    <w:rsid w:val="009C079A"/>
    <w:rsid w:val="009C15BA"/>
    <w:rsid w:val="009C3910"/>
    <w:rsid w:val="009C5296"/>
    <w:rsid w:val="009D0A0C"/>
    <w:rsid w:val="009D3BE8"/>
    <w:rsid w:val="009D5D79"/>
    <w:rsid w:val="009E062A"/>
    <w:rsid w:val="009E0D2A"/>
    <w:rsid w:val="009E6FA7"/>
    <w:rsid w:val="009E7B97"/>
    <w:rsid w:val="009F369D"/>
    <w:rsid w:val="00A00211"/>
    <w:rsid w:val="00A0027E"/>
    <w:rsid w:val="00A157A7"/>
    <w:rsid w:val="00A16634"/>
    <w:rsid w:val="00A21D22"/>
    <w:rsid w:val="00A24755"/>
    <w:rsid w:val="00A309A4"/>
    <w:rsid w:val="00A33054"/>
    <w:rsid w:val="00A33C7B"/>
    <w:rsid w:val="00A510B2"/>
    <w:rsid w:val="00A62919"/>
    <w:rsid w:val="00A66107"/>
    <w:rsid w:val="00A7542F"/>
    <w:rsid w:val="00A77204"/>
    <w:rsid w:val="00A779C1"/>
    <w:rsid w:val="00A81172"/>
    <w:rsid w:val="00A9029A"/>
    <w:rsid w:val="00A91AF0"/>
    <w:rsid w:val="00AA4E63"/>
    <w:rsid w:val="00AA7734"/>
    <w:rsid w:val="00AB0C0B"/>
    <w:rsid w:val="00AB56B5"/>
    <w:rsid w:val="00AB6BFD"/>
    <w:rsid w:val="00AC18C1"/>
    <w:rsid w:val="00AD0344"/>
    <w:rsid w:val="00AD0EDE"/>
    <w:rsid w:val="00AD6B40"/>
    <w:rsid w:val="00AE0B46"/>
    <w:rsid w:val="00AE4C20"/>
    <w:rsid w:val="00AE7C2B"/>
    <w:rsid w:val="00AF13B7"/>
    <w:rsid w:val="00AF2383"/>
    <w:rsid w:val="00AF3514"/>
    <w:rsid w:val="00AF46FB"/>
    <w:rsid w:val="00AF49F9"/>
    <w:rsid w:val="00B007B8"/>
    <w:rsid w:val="00B203CA"/>
    <w:rsid w:val="00B236F9"/>
    <w:rsid w:val="00B243F5"/>
    <w:rsid w:val="00B24552"/>
    <w:rsid w:val="00B254AE"/>
    <w:rsid w:val="00B37669"/>
    <w:rsid w:val="00B53076"/>
    <w:rsid w:val="00B65AB8"/>
    <w:rsid w:val="00B66DF9"/>
    <w:rsid w:val="00B810F3"/>
    <w:rsid w:val="00B83D46"/>
    <w:rsid w:val="00B95136"/>
    <w:rsid w:val="00B97758"/>
    <w:rsid w:val="00BA3A87"/>
    <w:rsid w:val="00BA5025"/>
    <w:rsid w:val="00BA6CC3"/>
    <w:rsid w:val="00BC07D8"/>
    <w:rsid w:val="00BC0F3D"/>
    <w:rsid w:val="00BD1D59"/>
    <w:rsid w:val="00BD41EA"/>
    <w:rsid w:val="00BD5053"/>
    <w:rsid w:val="00BE22D6"/>
    <w:rsid w:val="00BF0BA4"/>
    <w:rsid w:val="00BF5443"/>
    <w:rsid w:val="00BF594C"/>
    <w:rsid w:val="00C00051"/>
    <w:rsid w:val="00C15E30"/>
    <w:rsid w:val="00C16DA8"/>
    <w:rsid w:val="00C23CFA"/>
    <w:rsid w:val="00C26E11"/>
    <w:rsid w:val="00C30884"/>
    <w:rsid w:val="00C32D13"/>
    <w:rsid w:val="00C35612"/>
    <w:rsid w:val="00C46B80"/>
    <w:rsid w:val="00C746A7"/>
    <w:rsid w:val="00C80E27"/>
    <w:rsid w:val="00C82D3C"/>
    <w:rsid w:val="00C845DF"/>
    <w:rsid w:val="00C874C9"/>
    <w:rsid w:val="00C87F53"/>
    <w:rsid w:val="00CA0DAE"/>
    <w:rsid w:val="00CA1FC0"/>
    <w:rsid w:val="00CA7D25"/>
    <w:rsid w:val="00CB4E43"/>
    <w:rsid w:val="00CB5A84"/>
    <w:rsid w:val="00CB62C8"/>
    <w:rsid w:val="00CB7DF1"/>
    <w:rsid w:val="00CC3060"/>
    <w:rsid w:val="00CC3E01"/>
    <w:rsid w:val="00CC7663"/>
    <w:rsid w:val="00CD0CD9"/>
    <w:rsid w:val="00CD1972"/>
    <w:rsid w:val="00CD1F2F"/>
    <w:rsid w:val="00CD2F78"/>
    <w:rsid w:val="00CD3A06"/>
    <w:rsid w:val="00CD429C"/>
    <w:rsid w:val="00CD53E0"/>
    <w:rsid w:val="00CD7ED7"/>
    <w:rsid w:val="00CE5C0C"/>
    <w:rsid w:val="00CE6CBF"/>
    <w:rsid w:val="00CF18B2"/>
    <w:rsid w:val="00CF50B2"/>
    <w:rsid w:val="00D008F0"/>
    <w:rsid w:val="00D00E24"/>
    <w:rsid w:val="00D016BF"/>
    <w:rsid w:val="00D07375"/>
    <w:rsid w:val="00D11B72"/>
    <w:rsid w:val="00D201AB"/>
    <w:rsid w:val="00D23395"/>
    <w:rsid w:val="00D236C3"/>
    <w:rsid w:val="00D30C55"/>
    <w:rsid w:val="00D3766D"/>
    <w:rsid w:val="00D440BD"/>
    <w:rsid w:val="00D56DE0"/>
    <w:rsid w:val="00D6183F"/>
    <w:rsid w:val="00D6542F"/>
    <w:rsid w:val="00D70646"/>
    <w:rsid w:val="00D721A2"/>
    <w:rsid w:val="00D73955"/>
    <w:rsid w:val="00D83BAF"/>
    <w:rsid w:val="00D8794D"/>
    <w:rsid w:val="00D954D4"/>
    <w:rsid w:val="00D9676D"/>
    <w:rsid w:val="00DA2B83"/>
    <w:rsid w:val="00DB0C9E"/>
    <w:rsid w:val="00DC05F8"/>
    <w:rsid w:val="00DC1607"/>
    <w:rsid w:val="00DC218C"/>
    <w:rsid w:val="00DC236D"/>
    <w:rsid w:val="00DC30FB"/>
    <w:rsid w:val="00DC3BCD"/>
    <w:rsid w:val="00DC4B94"/>
    <w:rsid w:val="00DD0459"/>
    <w:rsid w:val="00DE2FD2"/>
    <w:rsid w:val="00DE3A6C"/>
    <w:rsid w:val="00DE55EF"/>
    <w:rsid w:val="00DE679E"/>
    <w:rsid w:val="00DE68C3"/>
    <w:rsid w:val="00DE6A9E"/>
    <w:rsid w:val="00DE7405"/>
    <w:rsid w:val="00DF289C"/>
    <w:rsid w:val="00DF4DB1"/>
    <w:rsid w:val="00DF5E80"/>
    <w:rsid w:val="00DF667F"/>
    <w:rsid w:val="00E00078"/>
    <w:rsid w:val="00E0600B"/>
    <w:rsid w:val="00E11C36"/>
    <w:rsid w:val="00E14B7F"/>
    <w:rsid w:val="00E14CF3"/>
    <w:rsid w:val="00E171CF"/>
    <w:rsid w:val="00E230F0"/>
    <w:rsid w:val="00E26E92"/>
    <w:rsid w:val="00E46808"/>
    <w:rsid w:val="00E50DEE"/>
    <w:rsid w:val="00E5395F"/>
    <w:rsid w:val="00E53C6C"/>
    <w:rsid w:val="00E543DE"/>
    <w:rsid w:val="00E54F47"/>
    <w:rsid w:val="00E74BD5"/>
    <w:rsid w:val="00E83899"/>
    <w:rsid w:val="00E947A3"/>
    <w:rsid w:val="00EA2171"/>
    <w:rsid w:val="00EA3E60"/>
    <w:rsid w:val="00EB4A66"/>
    <w:rsid w:val="00EC1C07"/>
    <w:rsid w:val="00EC7447"/>
    <w:rsid w:val="00ED6EE8"/>
    <w:rsid w:val="00EE0408"/>
    <w:rsid w:val="00EE72BB"/>
    <w:rsid w:val="00EF2A8D"/>
    <w:rsid w:val="00EF487D"/>
    <w:rsid w:val="00F11E64"/>
    <w:rsid w:val="00F20430"/>
    <w:rsid w:val="00F2488F"/>
    <w:rsid w:val="00F26F5D"/>
    <w:rsid w:val="00F35F7A"/>
    <w:rsid w:val="00F46F94"/>
    <w:rsid w:val="00F50965"/>
    <w:rsid w:val="00F513BF"/>
    <w:rsid w:val="00F51F99"/>
    <w:rsid w:val="00F52B90"/>
    <w:rsid w:val="00F5501D"/>
    <w:rsid w:val="00F558A4"/>
    <w:rsid w:val="00F76D8A"/>
    <w:rsid w:val="00F7725E"/>
    <w:rsid w:val="00F81324"/>
    <w:rsid w:val="00F90AD5"/>
    <w:rsid w:val="00F94183"/>
    <w:rsid w:val="00FA1757"/>
    <w:rsid w:val="00FA424C"/>
    <w:rsid w:val="00FA5A80"/>
    <w:rsid w:val="00FA72FE"/>
    <w:rsid w:val="00FB0E34"/>
    <w:rsid w:val="00FB6636"/>
    <w:rsid w:val="00FB752B"/>
    <w:rsid w:val="00FC2456"/>
    <w:rsid w:val="00FC678C"/>
    <w:rsid w:val="00FC781D"/>
    <w:rsid w:val="00FD3B54"/>
    <w:rsid w:val="00FF0A37"/>
    <w:rsid w:val="01535BA2"/>
    <w:rsid w:val="021533E7"/>
    <w:rsid w:val="02247ACE"/>
    <w:rsid w:val="029A5C54"/>
    <w:rsid w:val="02AA5919"/>
    <w:rsid w:val="035961EB"/>
    <w:rsid w:val="036208AE"/>
    <w:rsid w:val="039667A9"/>
    <w:rsid w:val="03A762C0"/>
    <w:rsid w:val="03E811F5"/>
    <w:rsid w:val="05442F5E"/>
    <w:rsid w:val="05D648F1"/>
    <w:rsid w:val="06233BF8"/>
    <w:rsid w:val="069718B3"/>
    <w:rsid w:val="07927288"/>
    <w:rsid w:val="07AA637F"/>
    <w:rsid w:val="07EC2E3C"/>
    <w:rsid w:val="08030185"/>
    <w:rsid w:val="081C4DA3"/>
    <w:rsid w:val="08C65739"/>
    <w:rsid w:val="09640AE6"/>
    <w:rsid w:val="09DC6722"/>
    <w:rsid w:val="0A530F50"/>
    <w:rsid w:val="0B0C7351"/>
    <w:rsid w:val="0B5B0384"/>
    <w:rsid w:val="0B697AD8"/>
    <w:rsid w:val="0BCE4606"/>
    <w:rsid w:val="0C923608"/>
    <w:rsid w:val="0D0C5872"/>
    <w:rsid w:val="0D523C4C"/>
    <w:rsid w:val="0D8D2D53"/>
    <w:rsid w:val="0E1E4387"/>
    <w:rsid w:val="0F0E526C"/>
    <w:rsid w:val="108160EB"/>
    <w:rsid w:val="114569F6"/>
    <w:rsid w:val="119B5A62"/>
    <w:rsid w:val="11C46F35"/>
    <w:rsid w:val="121F3DCB"/>
    <w:rsid w:val="12D076DB"/>
    <w:rsid w:val="12E34E3B"/>
    <w:rsid w:val="13B80076"/>
    <w:rsid w:val="1444190A"/>
    <w:rsid w:val="149616BF"/>
    <w:rsid w:val="14C53374"/>
    <w:rsid w:val="15382F31"/>
    <w:rsid w:val="15413258"/>
    <w:rsid w:val="15501684"/>
    <w:rsid w:val="15626BD3"/>
    <w:rsid w:val="159F142D"/>
    <w:rsid w:val="15B92E8C"/>
    <w:rsid w:val="164B6F7F"/>
    <w:rsid w:val="1764534A"/>
    <w:rsid w:val="17AA6D72"/>
    <w:rsid w:val="180A2E6A"/>
    <w:rsid w:val="184C6BF0"/>
    <w:rsid w:val="18A2224B"/>
    <w:rsid w:val="18D86AC4"/>
    <w:rsid w:val="18DF7E53"/>
    <w:rsid w:val="18E824BA"/>
    <w:rsid w:val="194B54E8"/>
    <w:rsid w:val="19645D7B"/>
    <w:rsid w:val="19871E30"/>
    <w:rsid w:val="1B4456D2"/>
    <w:rsid w:val="1BDD2D6F"/>
    <w:rsid w:val="1C0F1353"/>
    <w:rsid w:val="1CD81789"/>
    <w:rsid w:val="1D497F91"/>
    <w:rsid w:val="1E7D4396"/>
    <w:rsid w:val="1F14047D"/>
    <w:rsid w:val="1F5D2F80"/>
    <w:rsid w:val="1F7C464D"/>
    <w:rsid w:val="1FD8259D"/>
    <w:rsid w:val="20595821"/>
    <w:rsid w:val="210E6996"/>
    <w:rsid w:val="21265438"/>
    <w:rsid w:val="22372AAE"/>
    <w:rsid w:val="226B3A41"/>
    <w:rsid w:val="23806114"/>
    <w:rsid w:val="240A3FA9"/>
    <w:rsid w:val="24877D1C"/>
    <w:rsid w:val="25641E0C"/>
    <w:rsid w:val="258B422A"/>
    <w:rsid w:val="25CC5500"/>
    <w:rsid w:val="271A137E"/>
    <w:rsid w:val="27702CEA"/>
    <w:rsid w:val="27EB4651"/>
    <w:rsid w:val="280F6D0B"/>
    <w:rsid w:val="2876311D"/>
    <w:rsid w:val="28923795"/>
    <w:rsid w:val="2916341D"/>
    <w:rsid w:val="29382E6B"/>
    <w:rsid w:val="2AE17A5A"/>
    <w:rsid w:val="2B3E459D"/>
    <w:rsid w:val="2BF65788"/>
    <w:rsid w:val="2CAB47C4"/>
    <w:rsid w:val="2CAD1AA3"/>
    <w:rsid w:val="2D0F11D9"/>
    <w:rsid w:val="2D150ACF"/>
    <w:rsid w:val="2E514409"/>
    <w:rsid w:val="2E572A39"/>
    <w:rsid w:val="2F065CE2"/>
    <w:rsid w:val="2FA86D99"/>
    <w:rsid w:val="2FD1167A"/>
    <w:rsid w:val="305F4A6D"/>
    <w:rsid w:val="30DC32B1"/>
    <w:rsid w:val="315A631F"/>
    <w:rsid w:val="318D5F0C"/>
    <w:rsid w:val="324270F1"/>
    <w:rsid w:val="32CB34CA"/>
    <w:rsid w:val="33492641"/>
    <w:rsid w:val="33C96DB4"/>
    <w:rsid w:val="343659B5"/>
    <w:rsid w:val="34C2013F"/>
    <w:rsid w:val="34C208FD"/>
    <w:rsid w:val="35076310"/>
    <w:rsid w:val="353A0493"/>
    <w:rsid w:val="3628478F"/>
    <w:rsid w:val="369D6A39"/>
    <w:rsid w:val="36B07F6D"/>
    <w:rsid w:val="36C73571"/>
    <w:rsid w:val="37227431"/>
    <w:rsid w:val="377B566F"/>
    <w:rsid w:val="37835DB4"/>
    <w:rsid w:val="37EB3CC7"/>
    <w:rsid w:val="383C09C6"/>
    <w:rsid w:val="38A345A1"/>
    <w:rsid w:val="39822A79"/>
    <w:rsid w:val="3A911B53"/>
    <w:rsid w:val="3AA12783"/>
    <w:rsid w:val="3AAA449E"/>
    <w:rsid w:val="3B163750"/>
    <w:rsid w:val="3B8E7AE0"/>
    <w:rsid w:val="3BDC775F"/>
    <w:rsid w:val="3CCB1245"/>
    <w:rsid w:val="3DAC1FE6"/>
    <w:rsid w:val="3E0B50C2"/>
    <w:rsid w:val="3E3B5595"/>
    <w:rsid w:val="3E795B23"/>
    <w:rsid w:val="3EAE10D8"/>
    <w:rsid w:val="3FB62E0C"/>
    <w:rsid w:val="40CB1CD0"/>
    <w:rsid w:val="413E3D02"/>
    <w:rsid w:val="41944408"/>
    <w:rsid w:val="41E62666"/>
    <w:rsid w:val="41F44B61"/>
    <w:rsid w:val="42C817D4"/>
    <w:rsid w:val="42FA6B86"/>
    <w:rsid w:val="434F15AD"/>
    <w:rsid w:val="44D0109A"/>
    <w:rsid w:val="45125AE6"/>
    <w:rsid w:val="45E52D56"/>
    <w:rsid w:val="45ED14AB"/>
    <w:rsid w:val="46191654"/>
    <w:rsid w:val="46756273"/>
    <w:rsid w:val="46E022EF"/>
    <w:rsid w:val="4735590C"/>
    <w:rsid w:val="47EF7803"/>
    <w:rsid w:val="48687646"/>
    <w:rsid w:val="48A20E5D"/>
    <w:rsid w:val="49465201"/>
    <w:rsid w:val="494A19BF"/>
    <w:rsid w:val="494D5008"/>
    <w:rsid w:val="49920362"/>
    <w:rsid w:val="49A81A17"/>
    <w:rsid w:val="4A1201F2"/>
    <w:rsid w:val="4AA86BDB"/>
    <w:rsid w:val="4BA84ED1"/>
    <w:rsid w:val="4C9E2825"/>
    <w:rsid w:val="4CB0696A"/>
    <w:rsid w:val="4D135D42"/>
    <w:rsid w:val="4D36558C"/>
    <w:rsid w:val="4D826C05"/>
    <w:rsid w:val="4EC81B2B"/>
    <w:rsid w:val="4EDF237F"/>
    <w:rsid w:val="4FB83AA6"/>
    <w:rsid w:val="50471DE8"/>
    <w:rsid w:val="504B2B91"/>
    <w:rsid w:val="50C14AF5"/>
    <w:rsid w:val="512130E6"/>
    <w:rsid w:val="513F6B62"/>
    <w:rsid w:val="518E5997"/>
    <w:rsid w:val="51E11F6A"/>
    <w:rsid w:val="520619D1"/>
    <w:rsid w:val="52A336C4"/>
    <w:rsid w:val="52E51AFA"/>
    <w:rsid w:val="5386726D"/>
    <w:rsid w:val="53BD2563"/>
    <w:rsid w:val="53BD4187"/>
    <w:rsid w:val="545C2C16"/>
    <w:rsid w:val="548C69B1"/>
    <w:rsid w:val="54C067AF"/>
    <w:rsid w:val="551640B0"/>
    <w:rsid w:val="55236D3E"/>
    <w:rsid w:val="561822AB"/>
    <w:rsid w:val="56660C90"/>
    <w:rsid w:val="566D14D9"/>
    <w:rsid w:val="569A22A0"/>
    <w:rsid w:val="56C24C57"/>
    <w:rsid w:val="56E570D3"/>
    <w:rsid w:val="57111FF0"/>
    <w:rsid w:val="57AA1051"/>
    <w:rsid w:val="57E84CEB"/>
    <w:rsid w:val="587C2E2F"/>
    <w:rsid w:val="5889510A"/>
    <w:rsid w:val="58984FC0"/>
    <w:rsid w:val="58B8154B"/>
    <w:rsid w:val="591A163F"/>
    <w:rsid w:val="597C39F6"/>
    <w:rsid w:val="59B14918"/>
    <w:rsid w:val="5A213A0C"/>
    <w:rsid w:val="5A697FC3"/>
    <w:rsid w:val="5AA75D1B"/>
    <w:rsid w:val="5AB64F46"/>
    <w:rsid w:val="5B1038C0"/>
    <w:rsid w:val="5B5E287E"/>
    <w:rsid w:val="5C13586C"/>
    <w:rsid w:val="5CED3EB9"/>
    <w:rsid w:val="5D760C7A"/>
    <w:rsid w:val="5DD230AF"/>
    <w:rsid w:val="5E3F1C6F"/>
    <w:rsid w:val="5EE65064"/>
    <w:rsid w:val="5F4953BE"/>
    <w:rsid w:val="5FA92949"/>
    <w:rsid w:val="604D4FD2"/>
    <w:rsid w:val="61EB0BE3"/>
    <w:rsid w:val="6269416D"/>
    <w:rsid w:val="62893EF8"/>
    <w:rsid w:val="62966DA1"/>
    <w:rsid w:val="63E1404C"/>
    <w:rsid w:val="63F0603D"/>
    <w:rsid w:val="660C5642"/>
    <w:rsid w:val="661758B8"/>
    <w:rsid w:val="6629368B"/>
    <w:rsid w:val="67FD1E64"/>
    <w:rsid w:val="68232E85"/>
    <w:rsid w:val="69715E72"/>
    <w:rsid w:val="697B284D"/>
    <w:rsid w:val="69E52A8C"/>
    <w:rsid w:val="6AAE2FD3"/>
    <w:rsid w:val="6AFD6765"/>
    <w:rsid w:val="6B9A16B0"/>
    <w:rsid w:val="6C493788"/>
    <w:rsid w:val="6C4B5AD8"/>
    <w:rsid w:val="6C5C7B42"/>
    <w:rsid w:val="6D7B72BF"/>
    <w:rsid w:val="6DC04CD2"/>
    <w:rsid w:val="6E3851B0"/>
    <w:rsid w:val="6E531FEA"/>
    <w:rsid w:val="6EA63EC8"/>
    <w:rsid w:val="6EAC5256"/>
    <w:rsid w:val="6EC32CCC"/>
    <w:rsid w:val="6F8E4795"/>
    <w:rsid w:val="6FD35191"/>
    <w:rsid w:val="704716DB"/>
    <w:rsid w:val="70F159D9"/>
    <w:rsid w:val="72770B24"/>
    <w:rsid w:val="72D134DE"/>
    <w:rsid w:val="732E0930"/>
    <w:rsid w:val="73AF78C0"/>
    <w:rsid w:val="73B057E9"/>
    <w:rsid w:val="73BE3AE7"/>
    <w:rsid w:val="74504CD1"/>
    <w:rsid w:val="74680687"/>
    <w:rsid w:val="752E18DF"/>
    <w:rsid w:val="756D573F"/>
    <w:rsid w:val="76375D4D"/>
    <w:rsid w:val="773125A3"/>
    <w:rsid w:val="77915EC1"/>
    <w:rsid w:val="783E6FAB"/>
    <w:rsid w:val="78434E7D"/>
    <w:rsid w:val="7956473D"/>
    <w:rsid w:val="79DD1A52"/>
    <w:rsid w:val="79F42C85"/>
    <w:rsid w:val="7ACC13A8"/>
    <w:rsid w:val="7B046B46"/>
    <w:rsid w:val="7BBD7F50"/>
    <w:rsid w:val="7CC77E2B"/>
    <w:rsid w:val="7D6776A8"/>
    <w:rsid w:val="7D6D0417"/>
    <w:rsid w:val="7D954E34"/>
    <w:rsid w:val="7DA942FC"/>
    <w:rsid w:val="7DEE13E8"/>
    <w:rsid w:val="7E0B1F99"/>
    <w:rsid w:val="7ED06D3F"/>
    <w:rsid w:val="7F6B0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line="360" w:lineRule="auto"/>
      <w:jc w:val="center"/>
      <w:outlineLvl w:val="0"/>
    </w:pPr>
    <w:rPr>
      <w:rFonts w:asciiTheme="minorHAnsi" w:hAnsiTheme="minorHAnsi"/>
      <w:b/>
      <w:kern w:val="44"/>
      <w:sz w:val="44"/>
    </w:rPr>
  </w:style>
  <w:style w:type="paragraph" w:styleId="3">
    <w:name w:val="heading 3"/>
    <w:basedOn w:val="1"/>
    <w:next w:val="1"/>
    <w:semiHidden/>
    <w:unhideWhenUsed/>
    <w:qFormat/>
    <w:uiPriority w:val="0"/>
    <w:pPr>
      <w:spacing w:beforeAutospacing="1" w:afterAutospacing="1"/>
      <w:jc w:val="left"/>
      <w:outlineLvl w:val="2"/>
    </w:pPr>
    <w:rPr>
      <w:rFonts w:hint="eastAsia" w:ascii="宋体" w:hAnsi="宋体"/>
      <w:b/>
      <w:bCs/>
      <w:kern w:val="0"/>
      <w:sz w:val="27"/>
      <w:szCs w:val="27"/>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7"/>
    <w:qFormat/>
    <w:uiPriority w:val="0"/>
    <w:pPr>
      <w:jc w:val="left"/>
    </w:pPr>
  </w:style>
  <w:style w:type="paragraph" w:styleId="5">
    <w:name w:val="footer"/>
    <w:basedOn w:val="1"/>
    <w:link w:val="15"/>
    <w:autoRedefine/>
    <w:qFormat/>
    <w:uiPriority w:val="0"/>
    <w:pPr>
      <w:tabs>
        <w:tab w:val="center" w:pos="4153"/>
        <w:tab w:val="right" w:pos="8306"/>
      </w:tabs>
      <w:snapToGrid w:val="0"/>
      <w:jc w:val="left"/>
    </w:pPr>
    <w:rPr>
      <w:sz w:val="18"/>
      <w:szCs w:val="18"/>
    </w:rPr>
  </w:style>
  <w:style w:type="paragraph" w:styleId="6">
    <w:name w:val="header"/>
    <w:basedOn w:val="1"/>
    <w:link w:val="14"/>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kern w:val="0"/>
      <w:sz w:val="24"/>
    </w:rPr>
  </w:style>
  <w:style w:type="paragraph" w:styleId="8">
    <w:name w:val="annotation subject"/>
    <w:basedOn w:val="4"/>
    <w:next w:val="4"/>
    <w:link w:val="18"/>
    <w:qFormat/>
    <w:uiPriority w:val="0"/>
    <w:rPr>
      <w:b/>
      <w:bCs/>
    </w:rPr>
  </w:style>
  <w:style w:type="character" w:styleId="11">
    <w:name w:val="Strong"/>
    <w:basedOn w:val="10"/>
    <w:qFormat/>
    <w:uiPriority w:val="0"/>
    <w:rPr>
      <w:b/>
    </w:rPr>
  </w:style>
  <w:style w:type="character" w:styleId="12">
    <w:name w:val="Emphasis"/>
    <w:basedOn w:val="10"/>
    <w:qFormat/>
    <w:uiPriority w:val="0"/>
    <w:rPr>
      <w:i/>
    </w:rPr>
  </w:style>
  <w:style w:type="character" w:styleId="13">
    <w:name w:val="annotation reference"/>
    <w:basedOn w:val="10"/>
    <w:qFormat/>
    <w:uiPriority w:val="0"/>
    <w:rPr>
      <w:sz w:val="21"/>
      <w:szCs w:val="21"/>
    </w:rPr>
  </w:style>
  <w:style w:type="character" w:customStyle="1" w:styleId="14">
    <w:name w:val="页眉 字符"/>
    <w:basedOn w:val="10"/>
    <w:link w:val="6"/>
    <w:autoRedefine/>
    <w:qFormat/>
    <w:uiPriority w:val="0"/>
    <w:rPr>
      <w:kern w:val="2"/>
      <w:sz w:val="18"/>
      <w:szCs w:val="18"/>
    </w:rPr>
  </w:style>
  <w:style w:type="character" w:customStyle="1" w:styleId="15">
    <w:name w:val="页脚 字符"/>
    <w:basedOn w:val="10"/>
    <w:link w:val="5"/>
    <w:autoRedefine/>
    <w:qFormat/>
    <w:uiPriority w:val="0"/>
    <w:rPr>
      <w:kern w:val="2"/>
      <w:sz w:val="18"/>
      <w:szCs w:val="18"/>
    </w:rPr>
  </w:style>
  <w:style w:type="paragraph" w:styleId="16">
    <w:name w:val="List Paragraph"/>
    <w:basedOn w:val="1"/>
    <w:qFormat/>
    <w:uiPriority w:val="99"/>
    <w:pPr>
      <w:ind w:firstLine="420" w:firstLineChars="200"/>
    </w:pPr>
  </w:style>
  <w:style w:type="character" w:customStyle="1" w:styleId="17">
    <w:name w:val="批注文字 字符"/>
    <w:basedOn w:val="10"/>
    <w:link w:val="4"/>
    <w:qFormat/>
    <w:uiPriority w:val="0"/>
    <w:rPr>
      <w:kern w:val="2"/>
      <w:sz w:val="21"/>
      <w:szCs w:val="22"/>
    </w:rPr>
  </w:style>
  <w:style w:type="character" w:customStyle="1" w:styleId="18">
    <w:name w:val="批注主题 字符"/>
    <w:basedOn w:val="17"/>
    <w:link w:val="8"/>
    <w:qFormat/>
    <w:uiPriority w:val="0"/>
    <w:rPr>
      <w:b/>
      <w:bCs/>
      <w:kern w:val="2"/>
      <w:sz w:val="21"/>
      <w:szCs w:val="22"/>
    </w:rPr>
  </w:style>
  <w:style w:type="paragraph" w:customStyle="1" w:styleId="19">
    <w:name w:val="修订1"/>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75F2D-DEE1-4A57-890D-9FAFC77F48E4}">
  <ds:schemaRefs/>
</ds:datastoreItem>
</file>

<file path=docProps/app.xml><?xml version="1.0" encoding="utf-8"?>
<Properties xmlns="http://schemas.openxmlformats.org/officeDocument/2006/extended-properties" xmlns:vt="http://schemas.openxmlformats.org/officeDocument/2006/docPropsVTypes">
  <Template>Normal</Template>
  <Pages>2</Pages>
  <Words>1341</Words>
  <Characters>1384</Characters>
  <Lines>49</Lines>
  <Paragraphs>43</Paragraphs>
  <TotalTime>25</TotalTime>
  <ScaleCrop>false</ScaleCrop>
  <LinksUpToDate>false</LinksUpToDate>
  <CharactersWithSpaces>1418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2025-09-15T00:55:00Z</dcterms:created>
  <dc:creator>guoyi.chen</dc:creator>
  <cp:lastModifiedBy>User</cp:lastModifiedBy>
  <cp:lastPrinted>2025-06-03T06:19:00Z</cp:lastPrinted>
  <dcterms:modified xsi:type="dcterms:W3CDTF">2026-09-23T07:40:09Z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B9CEE4FEA4D94E359426BD8D80F925CE_13</vt:lpwstr>
  </property>
  <property fmtid="{D5CDD505-2E9C-101B-9397-08002B2CF9AE}" pid="4" name="KSOTemplateDocerSaveRecord">
    <vt:lpwstr>eyJoZGlkIjoiYjk5ODM0YmMxOWJiYWQyNDU4MGIzYWRmYTA0ZmI5NDciLCJ1c2VySWQiOiIyMjA5MDU1NTUifQ==</vt:lpwstr>
  </property>
</Properties>
</file>