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CCD825">
      <w:pPr>
        <w:spacing w:before="156" w:beforeLines="50" w:after="156" w:afterLines="50" w:line="480" w:lineRule="auto"/>
        <w:ind w:right="84"/>
        <w:rPr>
          <w:b/>
          <w:iCs/>
          <w:color w:val="000000"/>
          <w:sz w:val="24"/>
        </w:rPr>
      </w:pPr>
      <w:r>
        <w:rPr>
          <w:b/>
          <w:iCs/>
          <w:color w:val="000000"/>
          <w:sz w:val="24"/>
        </w:rPr>
        <w:t>证券代码：</w:t>
      </w:r>
      <w:r>
        <w:rPr>
          <w:rFonts w:hint="eastAsia"/>
          <w:b/>
          <w:iCs/>
          <w:color w:val="000000"/>
          <w:sz w:val="24"/>
        </w:rPr>
        <w:t>688765</w:t>
      </w:r>
      <w:r>
        <w:rPr>
          <w:b/>
          <w:iCs/>
          <w:color w:val="000000"/>
          <w:sz w:val="24"/>
        </w:rPr>
        <w:t xml:space="preserve">                            </w:t>
      </w:r>
      <w:r>
        <w:rPr>
          <w:rFonts w:hint="eastAsia"/>
          <w:b/>
          <w:iCs/>
          <w:color w:val="000000"/>
          <w:sz w:val="24"/>
        </w:rPr>
        <w:t xml:space="preserve">   </w:t>
      </w:r>
      <w:r>
        <w:rPr>
          <w:b/>
          <w:iCs/>
          <w:color w:val="000000"/>
          <w:sz w:val="24"/>
        </w:rPr>
        <w:t xml:space="preserve">  证券简称：</w:t>
      </w:r>
      <w:r>
        <w:rPr>
          <w:rFonts w:hint="eastAsia"/>
          <w:b/>
          <w:iCs/>
          <w:color w:val="000000"/>
          <w:sz w:val="24"/>
        </w:rPr>
        <w:t>禾元生物</w:t>
      </w:r>
    </w:p>
    <w:p w14:paraId="716A2F7E">
      <w:pPr>
        <w:spacing w:before="156" w:beforeLines="50" w:after="156" w:afterLines="50" w:line="360" w:lineRule="auto"/>
        <w:jc w:val="center"/>
        <w:rPr>
          <w:b/>
          <w:bCs/>
          <w:iCs/>
          <w:color w:val="000000"/>
          <w:sz w:val="32"/>
          <w:szCs w:val="32"/>
        </w:rPr>
      </w:pPr>
      <w:r>
        <w:rPr>
          <w:rFonts w:hint="eastAsia"/>
          <w:b/>
          <w:bCs/>
          <w:iCs/>
          <w:color w:val="000000"/>
          <w:sz w:val="32"/>
          <w:szCs w:val="32"/>
        </w:rPr>
        <w:t>武汉禾元</w:t>
      </w:r>
      <w:r>
        <w:rPr>
          <w:b/>
          <w:bCs/>
          <w:iCs/>
          <w:color w:val="000000"/>
          <w:sz w:val="32"/>
          <w:szCs w:val="32"/>
        </w:rPr>
        <w:t>生物科技股份有限公司</w:t>
      </w:r>
    </w:p>
    <w:p w14:paraId="2B8CFF13">
      <w:pPr>
        <w:spacing w:before="156" w:beforeLines="50" w:after="156" w:afterLines="50" w:line="360" w:lineRule="auto"/>
        <w:jc w:val="center"/>
        <w:rPr>
          <w:b/>
          <w:bCs/>
          <w:iCs/>
          <w:color w:val="000000"/>
          <w:sz w:val="32"/>
          <w:szCs w:val="32"/>
        </w:rPr>
      </w:pPr>
      <w:r>
        <w:rPr>
          <w:b/>
          <w:bCs/>
          <w:iCs/>
          <w:color w:val="000000"/>
          <w:sz w:val="32"/>
          <w:szCs w:val="32"/>
        </w:rPr>
        <w:t>投资者关系活动记录表</w:t>
      </w:r>
    </w:p>
    <w:p w14:paraId="5B224AA7">
      <w:pPr>
        <w:spacing w:before="156" w:beforeLines="50" w:after="156" w:afterLines="50" w:line="360" w:lineRule="auto"/>
        <w:ind w:firstLine="6240" w:firstLineChars="2600"/>
        <w:rPr>
          <w:bCs/>
          <w:iCs/>
          <w:color w:val="000000"/>
          <w:sz w:val="24"/>
        </w:rPr>
      </w:pPr>
      <w:r>
        <w:rPr>
          <w:bCs/>
          <w:iCs/>
          <w:color w:val="000000"/>
          <w:sz w:val="24"/>
        </w:rPr>
        <w:t>编号：</w:t>
      </w:r>
      <w:r>
        <w:rPr>
          <w:rFonts w:hint="eastAsia"/>
          <w:bCs/>
          <w:iCs/>
          <w:color w:val="000000"/>
          <w:sz w:val="24"/>
        </w:rPr>
        <w:t>2026-005</w:t>
      </w:r>
    </w:p>
    <w:tbl>
      <w:tblPr>
        <w:tblStyle w:val="7"/>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6662"/>
      </w:tblGrid>
      <w:tr w14:paraId="438EB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2"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14:paraId="583B24D9">
            <w:pPr>
              <w:spacing w:line="480" w:lineRule="auto"/>
              <w:jc w:val="center"/>
              <w:rPr>
                <w:b/>
                <w:bCs/>
                <w:iCs/>
                <w:color w:val="000000"/>
                <w:sz w:val="24"/>
              </w:rPr>
            </w:pPr>
            <w:r>
              <w:rPr>
                <w:b/>
                <w:bCs/>
                <w:iCs/>
                <w:color w:val="000000"/>
                <w:sz w:val="24"/>
              </w:rPr>
              <w:t>投资者关系</w:t>
            </w:r>
          </w:p>
          <w:p w14:paraId="2B23ED3D">
            <w:pPr>
              <w:spacing w:line="480" w:lineRule="auto"/>
              <w:jc w:val="center"/>
              <w:rPr>
                <w:b/>
                <w:bCs/>
                <w:iCs/>
                <w:color w:val="000000"/>
                <w:sz w:val="24"/>
              </w:rPr>
            </w:pPr>
            <w:r>
              <w:rPr>
                <w:b/>
                <w:bCs/>
                <w:iCs/>
                <w:color w:val="000000"/>
                <w:sz w:val="24"/>
              </w:rPr>
              <w:t>活动类别</w:t>
            </w:r>
          </w:p>
        </w:tc>
        <w:tc>
          <w:tcPr>
            <w:tcW w:w="6662" w:type="dxa"/>
            <w:tcBorders>
              <w:top w:val="single" w:color="auto" w:sz="4" w:space="0"/>
              <w:left w:val="single" w:color="auto" w:sz="4" w:space="0"/>
              <w:bottom w:val="single" w:color="auto" w:sz="4" w:space="0"/>
              <w:right w:val="single" w:color="auto" w:sz="4" w:space="0"/>
            </w:tcBorders>
          </w:tcPr>
          <w:p w14:paraId="1C50FA4E">
            <w:pPr>
              <w:spacing w:line="480" w:lineRule="auto"/>
              <w:rPr>
                <w:rFonts w:hint="eastAsia" w:asciiTheme="minorEastAsia" w:hAnsiTheme="minorEastAsia" w:eastAsiaTheme="minorEastAsia"/>
                <w:sz w:val="24"/>
              </w:rPr>
            </w:pPr>
            <w:r>
              <w:rPr>
                <w:rFonts w:hint="eastAsia" w:ascii="宋体" w:hAnsi="宋体" w:cs="宋体"/>
                <w:bCs/>
                <w:iCs/>
                <w:color w:val="000000"/>
                <w:sz w:val="24"/>
              </w:rPr>
              <w:t>☑</w:t>
            </w:r>
            <w:r>
              <w:rPr>
                <w:rFonts w:asciiTheme="minorEastAsia" w:hAnsiTheme="minorEastAsia" w:eastAsiaTheme="minorEastAsia"/>
                <w:sz w:val="24"/>
              </w:rPr>
              <w:t xml:space="preserve">特定对象调研 </w:t>
            </w:r>
            <w:r>
              <w:rPr>
                <w:rFonts w:hint="eastAsia" w:asciiTheme="minorEastAsia" w:hAnsiTheme="minorEastAsia" w:eastAsiaTheme="minorEastAsia"/>
                <w:sz w:val="24"/>
              </w:rPr>
              <w:t xml:space="preserve">   </w:t>
            </w:r>
            <w:r>
              <w:rPr>
                <w:rFonts w:asciiTheme="minorEastAsia" w:hAnsiTheme="minorEastAsia" w:eastAsiaTheme="minorEastAsia"/>
                <w:sz w:val="24"/>
              </w:rPr>
              <w:t xml:space="preserve">  </w:t>
            </w:r>
            <w:r>
              <w:rPr>
                <w:rFonts w:hint="eastAsia" w:asciiTheme="minorEastAsia" w:hAnsiTheme="minorEastAsia" w:eastAsiaTheme="minorEastAsia"/>
                <w:bCs/>
                <w:iCs/>
                <w:color w:val="000000"/>
                <w:sz w:val="24"/>
              </w:rPr>
              <w:t>□</w:t>
            </w:r>
            <w:r>
              <w:rPr>
                <w:rFonts w:asciiTheme="minorEastAsia" w:hAnsiTheme="minorEastAsia" w:eastAsiaTheme="minorEastAsia"/>
                <w:sz w:val="24"/>
              </w:rPr>
              <w:t>分析师会议</w:t>
            </w:r>
            <w:r>
              <w:rPr>
                <w:rFonts w:hint="eastAsia" w:asciiTheme="minorEastAsia" w:hAnsiTheme="minorEastAsia" w:eastAsiaTheme="minorEastAsia"/>
                <w:sz w:val="24"/>
              </w:rPr>
              <w:t xml:space="preserve">        </w:t>
            </w:r>
            <w:r>
              <w:rPr>
                <w:rFonts w:asciiTheme="minorEastAsia" w:hAnsiTheme="minorEastAsia" w:eastAsiaTheme="minorEastAsia"/>
                <w:bCs/>
                <w:iCs/>
                <w:color w:val="000000"/>
                <w:sz w:val="24"/>
              </w:rPr>
              <w:t xml:space="preserve">  □</w:t>
            </w:r>
            <w:r>
              <w:rPr>
                <w:rFonts w:asciiTheme="minorEastAsia" w:hAnsiTheme="minorEastAsia" w:eastAsiaTheme="minorEastAsia"/>
                <w:sz w:val="24"/>
              </w:rPr>
              <w:t>媒体采访</w:t>
            </w:r>
          </w:p>
          <w:p w14:paraId="699F3E34">
            <w:pPr>
              <w:spacing w:line="480" w:lineRule="auto"/>
              <w:rPr>
                <w:rFonts w:hint="eastAsia" w:asciiTheme="minorEastAsia" w:hAnsiTheme="minorEastAsia" w:eastAsiaTheme="minorEastAsia"/>
                <w:sz w:val="24"/>
              </w:rPr>
            </w:pPr>
            <w:r>
              <w:rPr>
                <w:rFonts w:hint="eastAsia" w:asciiTheme="minorEastAsia" w:hAnsiTheme="minorEastAsia" w:eastAsiaTheme="minorEastAsia"/>
                <w:bCs/>
                <w:iCs/>
                <w:color w:val="000000"/>
                <w:sz w:val="24"/>
              </w:rPr>
              <w:t>☑</w:t>
            </w:r>
            <w:r>
              <w:rPr>
                <w:rFonts w:asciiTheme="minorEastAsia" w:hAnsiTheme="minorEastAsia" w:eastAsiaTheme="minorEastAsia"/>
                <w:sz w:val="24"/>
              </w:rPr>
              <w:t>业绩说明会</w:t>
            </w:r>
            <w:r>
              <w:rPr>
                <w:rFonts w:asciiTheme="minorEastAsia" w:hAnsiTheme="minorEastAsia" w:eastAsiaTheme="minorEastAsia"/>
                <w:bCs/>
                <w:iCs/>
                <w:color w:val="000000"/>
                <w:sz w:val="24"/>
              </w:rPr>
              <w:t xml:space="preserve">    </w:t>
            </w:r>
            <w:r>
              <w:rPr>
                <w:rFonts w:hint="eastAsia" w:asciiTheme="minorEastAsia" w:hAnsiTheme="minorEastAsia" w:eastAsiaTheme="minorEastAsia"/>
                <w:bCs/>
                <w:iCs/>
                <w:color w:val="000000"/>
                <w:sz w:val="24"/>
              </w:rPr>
              <w:t xml:space="preserve">   </w:t>
            </w:r>
            <w:r>
              <w:rPr>
                <w:rFonts w:asciiTheme="minorEastAsia" w:hAnsiTheme="minorEastAsia" w:eastAsiaTheme="minorEastAsia"/>
                <w:bCs/>
                <w:iCs/>
                <w:color w:val="000000"/>
                <w:sz w:val="24"/>
              </w:rPr>
              <w:t xml:space="preserve"> □</w:t>
            </w:r>
            <w:r>
              <w:rPr>
                <w:rFonts w:asciiTheme="minorEastAsia" w:hAnsiTheme="minorEastAsia" w:eastAsiaTheme="minorEastAsia"/>
                <w:sz w:val="24"/>
              </w:rPr>
              <w:t xml:space="preserve">新闻发布会     </w:t>
            </w:r>
            <w:r>
              <w:rPr>
                <w:rFonts w:hint="eastAsia" w:asciiTheme="minorEastAsia" w:hAnsiTheme="minorEastAsia" w:eastAsiaTheme="minorEastAsia"/>
                <w:sz w:val="24"/>
              </w:rPr>
              <w:t xml:space="preserve">   </w:t>
            </w:r>
            <w:r>
              <w:rPr>
                <w:rFonts w:asciiTheme="minorEastAsia" w:hAnsiTheme="minorEastAsia" w:eastAsiaTheme="minorEastAsia"/>
                <w:sz w:val="24"/>
              </w:rPr>
              <w:t xml:space="preserve">  </w:t>
            </w:r>
            <w:r>
              <w:rPr>
                <w:rFonts w:hint="eastAsia" w:asciiTheme="minorEastAsia" w:hAnsiTheme="minorEastAsia" w:eastAsiaTheme="minorEastAsia"/>
                <w:bCs/>
                <w:iCs/>
                <w:color w:val="000000"/>
                <w:sz w:val="24"/>
              </w:rPr>
              <w:t>☑</w:t>
            </w:r>
            <w:r>
              <w:rPr>
                <w:rFonts w:asciiTheme="minorEastAsia" w:hAnsiTheme="minorEastAsia" w:eastAsiaTheme="minorEastAsia"/>
                <w:sz w:val="24"/>
              </w:rPr>
              <w:t>路演活动</w:t>
            </w:r>
          </w:p>
          <w:p w14:paraId="1D222FC1">
            <w:pPr>
              <w:spacing w:line="480" w:lineRule="auto"/>
              <w:rPr>
                <w:rFonts w:hint="eastAsia" w:asciiTheme="minorEastAsia" w:hAnsiTheme="minorEastAsia" w:eastAsiaTheme="minorEastAsia"/>
                <w:bCs/>
                <w:iCs/>
                <w:color w:val="000000"/>
                <w:sz w:val="24"/>
              </w:rPr>
            </w:pPr>
            <w:r>
              <w:rPr>
                <w:rFonts w:asciiTheme="minorEastAsia" w:hAnsiTheme="minorEastAsia" w:eastAsiaTheme="minorEastAsia"/>
                <w:bCs/>
                <w:iCs/>
                <w:color w:val="000000"/>
                <w:sz w:val="24"/>
              </w:rPr>
              <w:t>□</w:t>
            </w:r>
            <w:r>
              <w:rPr>
                <w:rFonts w:asciiTheme="minorEastAsia" w:hAnsiTheme="minorEastAsia" w:eastAsiaTheme="minorEastAsia"/>
                <w:sz w:val="24"/>
              </w:rPr>
              <w:t>现场参观</w:t>
            </w:r>
            <w:r>
              <w:rPr>
                <w:rFonts w:asciiTheme="minorEastAsia" w:hAnsiTheme="minorEastAsia" w:eastAsiaTheme="minorEastAsia"/>
                <w:bCs/>
                <w:iCs/>
                <w:color w:val="000000"/>
                <w:sz w:val="24"/>
              </w:rPr>
              <w:tab/>
            </w:r>
            <w:r>
              <w:rPr>
                <w:rFonts w:asciiTheme="minorEastAsia" w:hAnsiTheme="minorEastAsia" w:eastAsiaTheme="minorEastAsia"/>
                <w:bCs/>
                <w:iCs/>
                <w:color w:val="000000"/>
                <w:sz w:val="24"/>
              </w:rPr>
              <w:t xml:space="preserve">    </w:t>
            </w:r>
            <w:r>
              <w:rPr>
                <w:rFonts w:hint="eastAsia" w:asciiTheme="minorEastAsia" w:hAnsiTheme="minorEastAsia" w:eastAsiaTheme="minorEastAsia"/>
                <w:bCs/>
                <w:iCs/>
                <w:color w:val="000000"/>
                <w:sz w:val="24"/>
              </w:rPr>
              <w:t xml:space="preserve">    </w:t>
            </w:r>
            <w:r>
              <w:rPr>
                <w:rFonts w:asciiTheme="minorEastAsia" w:hAnsiTheme="minorEastAsia" w:eastAsiaTheme="minorEastAsia"/>
                <w:bCs/>
                <w:iCs/>
                <w:color w:val="000000"/>
                <w:sz w:val="24"/>
              </w:rPr>
              <w:t xml:space="preserve">  </w:t>
            </w:r>
            <w:r>
              <w:rPr>
                <w:rFonts w:hint="eastAsia" w:asciiTheme="minorEastAsia" w:hAnsiTheme="minorEastAsia" w:eastAsiaTheme="minorEastAsia"/>
                <w:bCs/>
                <w:iCs/>
                <w:color w:val="000000"/>
                <w:sz w:val="24"/>
              </w:rPr>
              <w:t>□</w:t>
            </w:r>
            <w:r>
              <w:rPr>
                <w:rFonts w:asciiTheme="minorEastAsia" w:hAnsiTheme="minorEastAsia" w:eastAsiaTheme="minorEastAsia"/>
                <w:bCs/>
                <w:iCs/>
                <w:color w:val="000000"/>
                <w:sz w:val="24"/>
              </w:rPr>
              <w:t>其他</w:t>
            </w:r>
          </w:p>
        </w:tc>
      </w:tr>
      <w:tr w14:paraId="2162C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14:paraId="5426DF5F">
            <w:pPr>
              <w:spacing w:line="480" w:lineRule="auto"/>
              <w:jc w:val="center"/>
              <w:rPr>
                <w:b/>
                <w:bCs/>
                <w:iCs/>
                <w:color w:val="000000"/>
                <w:sz w:val="24"/>
              </w:rPr>
            </w:pPr>
            <w:r>
              <w:rPr>
                <w:b/>
                <w:bCs/>
                <w:iCs/>
                <w:color w:val="000000"/>
                <w:sz w:val="24"/>
              </w:rPr>
              <w:t>参与单位名称</w:t>
            </w:r>
          </w:p>
        </w:tc>
        <w:tc>
          <w:tcPr>
            <w:tcW w:w="6662" w:type="dxa"/>
            <w:tcBorders>
              <w:top w:val="single" w:color="auto" w:sz="4" w:space="0"/>
              <w:left w:val="single" w:color="auto" w:sz="4" w:space="0"/>
              <w:bottom w:val="single" w:color="auto" w:sz="4" w:space="0"/>
              <w:right w:val="single" w:color="auto" w:sz="4" w:space="0"/>
            </w:tcBorders>
            <w:vAlign w:val="center"/>
          </w:tcPr>
          <w:p w14:paraId="725426D6">
            <w:pPr>
              <w:spacing w:line="360" w:lineRule="auto"/>
              <w:rPr>
                <w:bCs/>
                <w:iCs/>
                <w:color w:val="000000" w:themeColor="text1"/>
                <w:sz w:val="24"/>
                <w14:textFill>
                  <w14:solidFill>
                    <w14:schemeClr w14:val="tx1"/>
                  </w14:solidFill>
                </w14:textFill>
              </w:rPr>
            </w:pPr>
            <w:r>
              <w:rPr>
                <w:rFonts w:hint="eastAsia"/>
                <w:bCs/>
                <w:iCs/>
                <w:color w:val="000000" w:themeColor="text1"/>
                <w:sz w:val="24"/>
                <w14:textFill>
                  <w14:solidFill>
                    <w14:schemeClr w14:val="tx1"/>
                  </w14:solidFill>
                </w14:textFill>
              </w:rPr>
              <w:t>东吴证券、国泰基金、东方基金、建信基金、中加基金、彤源投资、睿华资本、东方红资管、淡水泉投资、浙商资管、中信建投证券、圆信永丰基金、广州拙一资产、华景基金、华源证券、南方基金、人保养老、天风证券、宏泰集团、武汉创新投资、福鹏资产、天堂硅谷、长江证券、东方财富证券、</w:t>
            </w:r>
            <w:r>
              <w:rPr>
                <w:rFonts w:hint="eastAsia"/>
                <w:bCs/>
                <w:iCs/>
                <w:sz w:val="24"/>
              </w:rPr>
              <w:t>湖南聚力财富、武汉华虹投资、武汉昭融汇利基金、湖北天升基金、武汉谷启基金、武汉睿银基金、湖南富船基金、鸣高（武汉）基金、长沙共朗基金、武汉文辉基金、武汉谷生资产、武汉博雅承泽基金、个人投资者及线上参与科创板2026年半年</w:t>
            </w:r>
            <w:r>
              <w:rPr>
                <w:rFonts w:hint="eastAsia"/>
                <w:bCs/>
                <w:iCs/>
                <w:color w:val="000000" w:themeColor="text1"/>
                <w:sz w:val="24"/>
                <w14:textFill>
                  <w14:solidFill>
                    <w14:schemeClr w14:val="tx1"/>
                  </w14:solidFill>
                </w14:textFill>
              </w:rPr>
              <w:t>度创新药行业集体业绩说明会的全体投资者（以上排名不分先后）</w:t>
            </w:r>
          </w:p>
        </w:tc>
      </w:tr>
      <w:tr w14:paraId="1B14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14:paraId="663C5B01">
            <w:pPr>
              <w:spacing w:line="480" w:lineRule="auto"/>
              <w:jc w:val="center"/>
              <w:rPr>
                <w:b/>
                <w:bCs/>
                <w:iCs/>
                <w:color w:val="000000"/>
                <w:sz w:val="24"/>
              </w:rPr>
            </w:pPr>
            <w:r>
              <w:rPr>
                <w:b/>
                <w:bCs/>
                <w:iCs/>
                <w:color w:val="000000"/>
                <w:sz w:val="24"/>
              </w:rPr>
              <w:t>时间</w:t>
            </w:r>
          </w:p>
        </w:tc>
        <w:tc>
          <w:tcPr>
            <w:tcW w:w="6662" w:type="dxa"/>
            <w:tcBorders>
              <w:top w:val="single" w:color="auto" w:sz="4" w:space="0"/>
              <w:left w:val="single" w:color="auto" w:sz="4" w:space="0"/>
              <w:bottom w:val="single" w:color="auto" w:sz="4" w:space="0"/>
              <w:right w:val="single" w:color="auto" w:sz="4" w:space="0"/>
            </w:tcBorders>
            <w:vAlign w:val="center"/>
          </w:tcPr>
          <w:p w14:paraId="347C2E99">
            <w:pPr>
              <w:spacing w:line="360" w:lineRule="auto"/>
              <w:rPr>
                <w:bCs/>
                <w:iCs/>
                <w:color w:val="000000"/>
                <w:sz w:val="24"/>
              </w:rPr>
            </w:pPr>
            <w:r>
              <w:rPr>
                <w:rFonts w:hint="eastAsia"/>
                <w:bCs/>
                <w:iCs/>
                <w:color w:val="000000"/>
                <w:sz w:val="24"/>
              </w:rPr>
              <w:t>2026年9月</w:t>
            </w:r>
          </w:p>
        </w:tc>
      </w:tr>
      <w:tr w14:paraId="1D7B2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14:paraId="7B8130E3">
            <w:pPr>
              <w:spacing w:line="480" w:lineRule="auto"/>
              <w:jc w:val="center"/>
              <w:rPr>
                <w:b/>
                <w:bCs/>
                <w:iCs/>
                <w:color w:val="000000"/>
                <w:sz w:val="24"/>
              </w:rPr>
            </w:pPr>
            <w:r>
              <w:rPr>
                <w:b/>
                <w:bCs/>
                <w:iCs/>
                <w:color w:val="000000"/>
                <w:sz w:val="24"/>
              </w:rPr>
              <w:t>地点</w:t>
            </w:r>
          </w:p>
        </w:tc>
        <w:tc>
          <w:tcPr>
            <w:tcW w:w="6662" w:type="dxa"/>
            <w:tcBorders>
              <w:top w:val="single" w:color="auto" w:sz="4" w:space="0"/>
              <w:left w:val="single" w:color="auto" w:sz="4" w:space="0"/>
              <w:bottom w:val="single" w:color="auto" w:sz="4" w:space="0"/>
              <w:right w:val="single" w:color="auto" w:sz="4" w:space="0"/>
            </w:tcBorders>
            <w:vAlign w:val="center"/>
          </w:tcPr>
          <w:p w14:paraId="263D6C94">
            <w:pPr>
              <w:spacing w:line="360" w:lineRule="auto"/>
              <w:rPr>
                <w:bCs/>
                <w:iCs/>
                <w:color w:val="000000"/>
                <w:sz w:val="24"/>
              </w:rPr>
            </w:pPr>
            <w:r>
              <w:rPr>
                <w:rFonts w:hint="eastAsia"/>
                <w:bCs/>
                <w:iCs/>
                <w:color w:val="000000"/>
                <w:sz w:val="24"/>
              </w:rPr>
              <w:t>上证路演中心、线下券商策略会、线下调研</w:t>
            </w:r>
          </w:p>
        </w:tc>
      </w:tr>
      <w:tr w14:paraId="3CC2C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14:paraId="04147117">
            <w:pPr>
              <w:spacing w:line="480" w:lineRule="auto"/>
              <w:jc w:val="center"/>
              <w:rPr>
                <w:b/>
                <w:bCs/>
                <w:iCs/>
                <w:color w:val="000000"/>
                <w:sz w:val="24"/>
              </w:rPr>
            </w:pPr>
            <w:r>
              <w:rPr>
                <w:b/>
                <w:bCs/>
                <w:iCs/>
                <w:color w:val="000000"/>
                <w:sz w:val="24"/>
              </w:rPr>
              <w:t>上市公司</w:t>
            </w:r>
          </w:p>
          <w:p w14:paraId="181A99D1">
            <w:pPr>
              <w:spacing w:line="480" w:lineRule="auto"/>
              <w:jc w:val="center"/>
              <w:rPr>
                <w:b/>
                <w:bCs/>
                <w:iCs/>
                <w:color w:val="000000"/>
                <w:sz w:val="24"/>
              </w:rPr>
            </w:pPr>
            <w:r>
              <w:rPr>
                <w:b/>
                <w:bCs/>
                <w:iCs/>
                <w:color w:val="000000"/>
                <w:sz w:val="24"/>
              </w:rPr>
              <w:t>接待人员姓名</w:t>
            </w:r>
          </w:p>
        </w:tc>
        <w:tc>
          <w:tcPr>
            <w:tcW w:w="6662" w:type="dxa"/>
            <w:tcBorders>
              <w:top w:val="single" w:color="auto" w:sz="4" w:space="0"/>
              <w:left w:val="single" w:color="auto" w:sz="4" w:space="0"/>
              <w:bottom w:val="single" w:color="auto" w:sz="4" w:space="0"/>
              <w:right w:val="single" w:color="auto" w:sz="4" w:space="0"/>
            </w:tcBorders>
            <w:vAlign w:val="center"/>
          </w:tcPr>
          <w:p w14:paraId="78C765C1">
            <w:pPr>
              <w:spacing w:line="360" w:lineRule="auto"/>
              <w:rPr>
                <w:bCs/>
                <w:iCs/>
                <w:color w:val="000000"/>
                <w:sz w:val="24"/>
              </w:rPr>
            </w:pPr>
            <w:r>
              <w:rPr>
                <w:rFonts w:hint="eastAsia"/>
                <w:bCs/>
                <w:iCs/>
                <w:color w:val="000000"/>
                <w:sz w:val="24"/>
              </w:rPr>
              <w:t>董事长兼总经理：杨代常</w:t>
            </w:r>
          </w:p>
          <w:p w14:paraId="3C0E71B2">
            <w:pPr>
              <w:spacing w:line="360" w:lineRule="auto"/>
              <w:rPr>
                <w:bCs/>
                <w:iCs/>
                <w:color w:val="000000"/>
                <w:sz w:val="24"/>
              </w:rPr>
            </w:pPr>
            <w:r>
              <w:rPr>
                <w:rFonts w:hint="eastAsia"/>
                <w:bCs/>
                <w:iCs/>
                <w:color w:val="000000"/>
                <w:sz w:val="24"/>
              </w:rPr>
              <w:t>独立董事：余玉苗</w:t>
            </w:r>
          </w:p>
          <w:p w14:paraId="3EB5B21A">
            <w:pPr>
              <w:spacing w:line="360" w:lineRule="auto"/>
              <w:rPr>
                <w:bCs/>
                <w:iCs/>
                <w:color w:val="000000"/>
                <w:sz w:val="24"/>
              </w:rPr>
            </w:pPr>
            <w:r>
              <w:rPr>
                <w:rFonts w:hint="eastAsia"/>
                <w:bCs/>
                <w:iCs/>
                <w:color w:val="000000"/>
                <w:sz w:val="24"/>
              </w:rPr>
              <w:t>研究院院长：杨洋</w:t>
            </w:r>
          </w:p>
          <w:p w14:paraId="3AC0D8E1">
            <w:pPr>
              <w:spacing w:line="360" w:lineRule="auto"/>
              <w:rPr>
                <w:bCs/>
                <w:iCs/>
                <w:color w:val="000000"/>
                <w:sz w:val="24"/>
              </w:rPr>
            </w:pPr>
            <w:r>
              <w:rPr>
                <w:rFonts w:hint="eastAsia"/>
                <w:bCs/>
                <w:iCs/>
                <w:color w:val="000000"/>
                <w:sz w:val="24"/>
              </w:rPr>
              <w:t>首席医学官：秦志杰</w:t>
            </w:r>
          </w:p>
          <w:p w14:paraId="00334787">
            <w:pPr>
              <w:spacing w:line="360" w:lineRule="auto"/>
              <w:rPr>
                <w:bCs/>
                <w:iCs/>
                <w:color w:val="000000"/>
                <w:sz w:val="24"/>
              </w:rPr>
            </w:pPr>
            <w:r>
              <w:rPr>
                <w:rFonts w:hint="eastAsia"/>
                <w:bCs/>
                <w:iCs/>
                <w:color w:val="000000"/>
                <w:sz w:val="24"/>
              </w:rPr>
              <w:t>财务负责人：余丹</w:t>
            </w:r>
          </w:p>
          <w:p w14:paraId="3A9FC802">
            <w:pPr>
              <w:spacing w:line="360" w:lineRule="auto"/>
              <w:rPr>
                <w:bCs/>
                <w:iCs/>
                <w:color w:val="000000"/>
                <w:sz w:val="24"/>
              </w:rPr>
            </w:pPr>
            <w:r>
              <w:rPr>
                <w:rFonts w:hint="eastAsia"/>
                <w:bCs/>
                <w:iCs/>
                <w:color w:val="000000"/>
                <w:sz w:val="24"/>
              </w:rPr>
              <w:t>董事会秘书：李雪</w:t>
            </w:r>
          </w:p>
          <w:p w14:paraId="4F8BAEEE">
            <w:pPr>
              <w:spacing w:line="360" w:lineRule="auto"/>
              <w:rPr>
                <w:bCs/>
                <w:iCs/>
                <w:color w:val="000000"/>
                <w:sz w:val="24"/>
              </w:rPr>
            </w:pPr>
            <w:r>
              <w:rPr>
                <w:rFonts w:hint="eastAsia"/>
                <w:bCs/>
                <w:iCs/>
                <w:color w:val="000000"/>
                <w:sz w:val="24"/>
              </w:rPr>
              <w:t>证券事务代表：黎小静</w:t>
            </w:r>
          </w:p>
        </w:tc>
      </w:tr>
      <w:tr w14:paraId="6B64A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14:paraId="18A528CA">
            <w:pPr>
              <w:spacing w:line="480" w:lineRule="auto"/>
              <w:jc w:val="center"/>
              <w:rPr>
                <w:rFonts w:eastAsiaTheme="minorEastAsia"/>
                <w:b/>
                <w:bCs/>
                <w:iCs/>
                <w:color w:val="000000"/>
                <w:sz w:val="24"/>
              </w:rPr>
            </w:pPr>
            <w:r>
              <w:rPr>
                <w:rFonts w:eastAsiaTheme="minorEastAsia"/>
                <w:b/>
                <w:bCs/>
                <w:iCs/>
                <w:color w:val="000000"/>
                <w:sz w:val="24"/>
              </w:rPr>
              <w:t>投资者关系活动主要内容介绍</w:t>
            </w:r>
          </w:p>
        </w:tc>
        <w:tc>
          <w:tcPr>
            <w:tcW w:w="6662" w:type="dxa"/>
            <w:tcBorders>
              <w:top w:val="single" w:color="auto" w:sz="4" w:space="0"/>
              <w:left w:val="single" w:color="auto" w:sz="4" w:space="0"/>
              <w:bottom w:val="single" w:color="auto" w:sz="4" w:space="0"/>
              <w:right w:val="single" w:color="auto" w:sz="4" w:space="0"/>
            </w:tcBorders>
            <w:vAlign w:val="center"/>
          </w:tcPr>
          <w:p w14:paraId="021811B5">
            <w:pPr>
              <w:numPr>
                <w:ilvl w:val="0"/>
                <w:numId w:val="1"/>
              </w:numPr>
              <w:spacing w:line="360" w:lineRule="auto"/>
              <w:ind w:firstLine="482" w:firstLineChars="200"/>
              <w:rPr>
                <w:b/>
                <w:bCs/>
                <w:sz w:val="24"/>
              </w:rPr>
            </w:pPr>
            <w:r>
              <w:rPr>
                <w:rFonts w:hint="eastAsia"/>
                <w:b/>
                <w:bCs/>
                <w:sz w:val="24"/>
              </w:rPr>
              <w:t>120吨项目预计什么时候可以上市销售？今年水稻试验田种植1.55万亩，可否满足公司10+120共130吨产品需求？</w:t>
            </w:r>
          </w:p>
          <w:p w14:paraId="5EBE26DB">
            <w:pPr>
              <w:spacing w:line="360" w:lineRule="auto"/>
              <w:ind w:firstLine="480" w:firstLineChars="200"/>
              <w:rPr>
                <w:sz w:val="24"/>
              </w:rPr>
            </w:pPr>
            <w:r>
              <w:rPr>
                <w:sz w:val="24"/>
              </w:rPr>
              <w:t>答：</w:t>
            </w:r>
            <w:r>
              <w:rPr>
                <w:rFonts w:hint="eastAsia"/>
                <w:sz w:val="24"/>
              </w:rPr>
              <w:t>年产120吨重组人白蛋白产业化基地，主体工程已全部建成，计划2026年底向药监部门提交场地变更申请；同时，公司已着手准备第三代种子品系的变更工作，力争在2027年1季度向药监部门提交种子变更申请，待药监部门批准后即可投入商业化生产，为市场需求提供充足产能储备。上述场地变更和第三代种子品系变更的审批进度存在不确定性，请投资者注意投资风险。</w:t>
            </w:r>
          </w:p>
          <w:p w14:paraId="730F6A76">
            <w:pPr>
              <w:spacing w:line="360" w:lineRule="auto"/>
              <w:ind w:firstLine="480" w:firstLineChars="200"/>
              <w:rPr>
                <w:sz w:val="24"/>
              </w:rPr>
            </w:pPr>
            <w:r>
              <w:rPr>
                <w:rFonts w:hint="eastAsia"/>
                <w:sz w:val="24"/>
              </w:rPr>
              <w:t>截至2026年7月，公司获得农业农村部批准的种植面积22,900亩。根据产能需求，2026年已种植约15,500亩，能够满足当前商业化生产的原料需求。公司计划在120吨产线建成后，依照法规申请生产场地变更及种子品系变更，届时120吨产能满产后所需药用水稻种植用地约3万亩左右。公司将根据产能和市场需求逐步扩大，及时储备并合理匹配种植面积，保障充足的稻谷原料供应。</w:t>
            </w:r>
          </w:p>
          <w:p w14:paraId="53116DF4">
            <w:pPr>
              <w:numPr>
                <w:ilvl w:val="0"/>
                <w:numId w:val="1"/>
              </w:numPr>
              <w:spacing w:line="360" w:lineRule="auto"/>
              <w:ind w:firstLine="482" w:firstLineChars="200"/>
              <w:rPr>
                <w:b/>
                <w:bCs/>
                <w:sz w:val="24"/>
              </w:rPr>
            </w:pPr>
            <w:r>
              <w:rPr>
                <w:rFonts w:hint="eastAsia"/>
                <w:b/>
                <w:bCs/>
                <w:sz w:val="24"/>
              </w:rPr>
              <w:t>人血白蛋白国内需求量是多少吨，国内进口多少吨，全球需求量是多少吨</w:t>
            </w:r>
            <w:r>
              <w:rPr>
                <w:rFonts w:hint="eastAsia"/>
                <w:b/>
                <w:bCs/>
                <w:sz w:val="24"/>
                <w:lang w:eastAsia="zh-CN"/>
              </w:rPr>
              <w:t>？</w:t>
            </w:r>
          </w:p>
          <w:p w14:paraId="1715D3ED">
            <w:pPr>
              <w:spacing w:line="360" w:lineRule="auto"/>
              <w:ind w:firstLine="480" w:firstLineChars="200"/>
              <w:rPr>
                <w:sz w:val="24"/>
              </w:rPr>
            </w:pPr>
            <w:r>
              <w:rPr>
                <w:sz w:val="24"/>
              </w:rPr>
              <w:t>答：</w:t>
            </w:r>
            <w:r>
              <w:rPr>
                <w:rFonts w:hint="eastAsia"/>
                <w:sz w:val="24"/>
              </w:rPr>
              <w:t>根据证券公司研报，人血白蛋白2025年总体签发5565批次，较上一年仍有所上涨。中国是全球人血白蛋白需求大国，年需求量约1000吨，超60%长期依赖进口。根据全球血浆数据，全球需求估计3000吨左右。</w:t>
            </w:r>
          </w:p>
          <w:p w14:paraId="3B3A41B6">
            <w:pPr>
              <w:numPr>
                <w:ilvl w:val="0"/>
                <w:numId w:val="1"/>
              </w:numPr>
              <w:spacing w:line="360" w:lineRule="auto"/>
              <w:ind w:firstLine="482" w:firstLineChars="200"/>
              <w:rPr>
                <w:b/>
                <w:bCs/>
                <w:sz w:val="24"/>
              </w:rPr>
            </w:pPr>
            <w:r>
              <w:rPr>
                <w:rFonts w:hint="eastAsia"/>
                <w:b/>
                <w:bCs/>
                <w:sz w:val="24"/>
              </w:rPr>
              <w:t>请介绍下4个技术平台中抗体平台的应用场景。公司的植物表达平台生产成本比CHO优势巨大，可否理解现有的抗体产品只要过了专利期就可以在禾元自己的抗体平台上重新生产？公司是否可以凭借4个平台的技术，和其他新药企业合作开发水稻表达的抗体新药，走CDMO路线，降低抗体药物的成本？</w:t>
            </w:r>
          </w:p>
          <w:p w14:paraId="748B80DC">
            <w:pPr>
              <w:spacing w:line="360" w:lineRule="auto"/>
              <w:ind w:firstLine="480" w:firstLineChars="200"/>
              <w:rPr>
                <w:sz w:val="24"/>
              </w:rPr>
            </w:pPr>
            <w:r>
              <w:rPr>
                <w:sz w:val="24"/>
              </w:rPr>
              <w:t>答：</w:t>
            </w:r>
            <w:r>
              <w:rPr>
                <w:rFonts w:hint="eastAsia"/>
                <w:sz w:val="24"/>
              </w:rPr>
              <w:t>公司研发了国际领先、自主知识产权的水稻胚乳细胞生物反应器表达体系，建立了以下四个技术平台</w:t>
            </w:r>
            <w:r>
              <w:rPr>
                <w:rFonts w:hint="eastAsia"/>
                <w:sz w:val="24"/>
                <w:lang w:eastAsia="zh-CN"/>
              </w:rPr>
              <w:t>：</w:t>
            </w:r>
            <w:r>
              <w:rPr>
                <w:rFonts w:hint="eastAsia"/>
                <w:sz w:val="24"/>
              </w:rPr>
              <w:t>（1）水稻胚乳细胞重组蛋白高效表达平台</w:t>
            </w:r>
            <w:r>
              <w:rPr>
                <w:rFonts w:hint="eastAsia"/>
                <w:sz w:val="24"/>
                <w:lang w:eastAsia="zh-CN"/>
              </w:rPr>
              <w:t>；</w:t>
            </w:r>
            <w:r>
              <w:rPr>
                <w:rFonts w:hint="eastAsia"/>
                <w:sz w:val="24"/>
              </w:rPr>
              <w:t>（2）重组蛋白纯化技术平台</w:t>
            </w:r>
            <w:r>
              <w:rPr>
                <w:rFonts w:hint="eastAsia"/>
                <w:sz w:val="24"/>
                <w:lang w:eastAsia="zh-CN"/>
              </w:rPr>
              <w:t>；</w:t>
            </w:r>
            <w:r>
              <w:rPr>
                <w:rFonts w:hint="eastAsia"/>
                <w:sz w:val="24"/>
              </w:rPr>
              <w:t>（3）重组人白蛋白长效药物技术平台</w:t>
            </w:r>
            <w:r>
              <w:rPr>
                <w:rFonts w:hint="eastAsia"/>
                <w:sz w:val="24"/>
                <w:lang w:eastAsia="zh-CN"/>
              </w:rPr>
              <w:t>；</w:t>
            </w:r>
            <w:r>
              <w:rPr>
                <w:rFonts w:hint="eastAsia"/>
                <w:sz w:val="24"/>
              </w:rPr>
              <w:t>（4）水稻重组纳米抗体平台。</w:t>
            </w:r>
          </w:p>
          <w:p w14:paraId="7B5BD99B">
            <w:pPr>
              <w:spacing w:line="360" w:lineRule="auto"/>
              <w:ind w:firstLine="480" w:firstLineChars="200"/>
              <w:rPr>
                <w:sz w:val="24"/>
              </w:rPr>
            </w:pPr>
            <w:r>
              <w:rPr>
                <w:rFonts w:hint="eastAsia"/>
                <w:sz w:val="24"/>
              </w:rPr>
              <w:t>禾元生物的抗体平台不是为抗体仿制药设计的，建立的是适合于水稻表达平台的纳米抗体平台，抗体分子必须</w:t>
            </w:r>
            <w:r>
              <w:rPr>
                <w:rFonts w:hint="eastAsia"/>
                <w:sz w:val="24"/>
                <w:lang w:val="en-US" w:eastAsia="zh-CN"/>
              </w:rPr>
              <w:t>为</w:t>
            </w:r>
            <w:r>
              <w:rPr>
                <w:rFonts w:hint="eastAsia"/>
                <w:sz w:val="24"/>
              </w:rPr>
              <w:t>符合“两新一大”概念的全球新分子，而不是专利过期的抗体分子。公司正在利用水稻表达体系作为生物药生产的除细菌、酵母和CHO细胞以外的第四大平台，目前正在完善相应平台体系，将通过CDMO服务、水稻技术平台的拓展应用场景，造福社会。相关具体进展敬请关注公司后续相关公告。</w:t>
            </w:r>
          </w:p>
          <w:p w14:paraId="62D6AAD1">
            <w:pPr>
              <w:numPr>
                <w:ilvl w:val="0"/>
                <w:numId w:val="1"/>
              </w:numPr>
              <w:spacing w:line="360" w:lineRule="auto"/>
              <w:ind w:firstLine="482" w:firstLineChars="200"/>
              <w:rPr>
                <w:b/>
                <w:bCs/>
                <w:sz w:val="24"/>
              </w:rPr>
            </w:pPr>
            <w:r>
              <w:rPr>
                <w:rFonts w:hint="eastAsia"/>
                <w:b/>
                <w:bCs/>
                <w:sz w:val="24"/>
              </w:rPr>
              <w:t>请问11月医保公布目录后，公司的4季度业绩单季度能否扭亏为盈？进入医保后，在院内推广是否受医保病种金额限制？医院仍然不愿开单子，而是让病人去院外购买？</w:t>
            </w:r>
          </w:p>
          <w:p w14:paraId="5F592DC3">
            <w:pPr>
              <w:spacing w:line="360" w:lineRule="auto"/>
              <w:ind w:firstLine="480" w:firstLineChars="200"/>
              <w:rPr>
                <w:sz w:val="24"/>
              </w:rPr>
            </w:pPr>
            <w:r>
              <w:rPr>
                <w:sz w:val="24"/>
              </w:rPr>
              <w:t>答：</w:t>
            </w:r>
            <w:r>
              <w:rPr>
                <w:rFonts w:hint="eastAsia"/>
                <w:sz w:val="24"/>
              </w:rPr>
              <w:t>公司持续优化市场策略，如11月医保公布目录后，公司将加速奥福民</w:t>
            </w:r>
            <w:r>
              <w:rPr>
                <w:rFonts w:hint="eastAsia"/>
                <w:sz w:val="24"/>
                <w:vertAlign w:val="superscript"/>
              </w:rPr>
              <w:t>®</w:t>
            </w:r>
            <w:r>
              <w:rPr>
                <w:rFonts w:hint="eastAsia"/>
                <w:sz w:val="24"/>
              </w:rPr>
              <w:t>的临床应用。公司预计于2026年底向国家药品监督管理局提交适应症扩展申请。上述项目进展存在不确定性，请投资者注意投资风险。</w:t>
            </w:r>
          </w:p>
          <w:p w14:paraId="5DD9EE99">
            <w:pPr>
              <w:numPr>
                <w:ilvl w:val="0"/>
                <w:numId w:val="1"/>
              </w:numPr>
              <w:spacing w:line="360" w:lineRule="auto"/>
              <w:ind w:firstLine="482" w:firstLineChars="200"/>
              <w:rPr>
                <w:b/>
                <w:bCs/>
                <w:sz w:val="24"/>
              </w:rPr>
            </w:pPr>
            <w:r>
              <w:rPr>
                <w:rFonts w:hint="eastAsia"/>
                <w:b/>
                <w:bCs/>
                <w:sz w:val="24"/>
              </w:rPr>
              <w:t>作为科创板第五套标准上市的未盈利创新药企，公司当前市值约126亿元。在奥福民获批上市并开启商业化放量的关键拐点期，公司计划如何通过更高频次、更具颗粒度的信息披露（如月度销售数据、医保谈判进展等），来消除市场对公司</w:t>
            </w:r>
            <w:r>
              <w:rPr>
                <w:rFonts w:hint="eastAsia"/>
                <w:b/>
                <w:bCs/>
                <w:sz w:val="24"/>
                <w:lang w:eastAsia="zh-CN"/>
              </w:rPr>
              <w:t>“</w:t>
            </w:r>
            <w:r>
              <w:rPr>
                <w:rFonts w:hint="eastAsia"/>
                <w:b/>
                <w:bCs/>
                <w:sz w:val="24"/>
              </w:rPr>
              <w:t>增收不增利</w:t>
            </w:r>
            <w:r>
              <w:rPr>
                <w:rFonts w:hint="eastAsia"/>
                <w:b/>
                <w:bCs/>
                <w:sz w:val="24"/>
                <w:lang w:eastAsia="zh-CN"/>
              </w:rPr>
              <w:t>”</w:t>
            </w:r>
            <w:r>
              <w:rPr>
                <w:rFonts w:hint="eastAsia"/>
                <w:b/>
                <w:bCs/>
                <w:sz w:val="24"/>
              </w:rPr>
              <w:t>的担忧？此外，针对近期二级市场股价的波动，公司管理层是否有计划开展机构反向路演或投资者交流活动，以更好地传递公司在植物源重组蛋白领域的稀缺性与长期价值？</w:t>
            </w:r>
          </w:p>
          <w:p w14:paraId="57A58BB2">
            <w:pPr>
              <w:spacing w:line="360" w:lineRule="auto"/>
              <w:ind w:firstLine="480" w:firstLineChars="200"/>
              <w:rPr>
                <w:sz w:val="24"/>
              </w:rPr>
            </w:pPr>
            <w:r>
              <w:rPr>
                <w:sz w:val="24"/>
              </w:rPr>
              <w:t>答：</w:t>
            </w:r>
            <w:r>
              <w:rPr>
                <w:rFonts w:hint="eastAsia"/>
                <w:sz w:val="24"/>
              </w:rPr>
              <w:t>公司将严格遵守并按照监管规则及时履行信息披露义务。公司高度重视投资者关系管理与市值管理工作。后续将积极通过业绩说明会、投资者接待、路演等多种形式加强与资本市场的沟通交流。二级市场股价受宏观经济、行业趋势、市场情绪等多重复杂因素影响，存在不确定性。公司始终聚焦主业经营，努力提升内在价值。</w:t>
            </w:r>
          </w:p>
          <w:p w14:paraId="0C8A3449">
            <w:pPr>
              <w:numPr>
                <w:ilvl w:val="0"/>
                <w:numId w:val="1"/>
              </w:numPr>
              <w:spacing w:line="360" w:lineRule="auto"/>
              <w:ind w:firstLine="482" w:firstLineChars="200"/>
              <w:rPr>
                <w:b/>
                <w:bCs/>
                <w:sz w:val="24"/>
              </w:rPr>
            </w:pPr>
            <w:r>
              <w:rPr>
                <w:rFonts w:hint="eastAsia"/>
                <w:b/>
                <w:bCs/>
                <w:sz w:val="24"/>
              </w:rPr>
              <w:t>作为长期关注公司的中小股东，很高兴看到核心产品奥福民上半年带动营收同比增长了43.77%，且IV期临床已完成2000例入组。但我们也注意到，目前产品尚未进入医保，且上半年扣非净利润亏损仍达8855万元。请问管理层，在即将到来的2026年国家医保谈判中，公司有何核心策略与预期？此外，随着120吨新产能基地即将在四季度申报场地变更，公司如何平衡</w:t>
            </w:r>
            <w:r>
              <w:rPr>
                <w:rFonts w:hint="eastAsia"/>
                <w:b/>
                <w:bCs/>
                <w:sz w:val="24"/>
                <w:lang w:eastAsia="zh-CN"/>
              </w:rPr>
              <w:t>“</w:t>
            </w:r>
            <w:r>
              <w:rPr>
                <w:rFonts w:hint="eastAsia"/>
                <w:b/>
                <w:bCs/>
                <w:sz w:val="24"/>
              </w:rPr>
              <w:t>产能爬坡期的折旧摊销成本</w:t>
            </w:r>
            <w:r>
              <w:rPr>
                <w:rFonts w:hint="eastAsia"/>
                <w:b/>
                <w:bCs/>
                <w:sz w:val="24"/>
                <w:lang w:eastAsia="zh-CN"/>
              </w:rPr>
              <w:t>”</w:t>
            </w:r>
            <w:r>
              <w:rPr>
                <w:rFonts w:hint="eastAsia"/>
                <w:b/>
                <w:bCs/>
                <w:sz w:val="24"/>
              </w:rPr>
              <w:t>与</w:t>
            </w:r>
            <w:r>
              <w:rPr>
                <w:rFonts w:hint="eastAsia"/>
                <w:b/>
                <w:bCs/>
                <w:sz w:val="24"/>
                <w:lang w:eastAsia="zh-CN"/>
              </w:rPr>
              <w:t>“</w:t>
            </w:r>
            <w:r>
              <w:rPr>
                <w:rFonts w:hint="eastAsia"/>
                <w:b/>
                <w:bCs/>
                <w:sz w:val="24"/>
              </w:rPr>
              <w:t>市场渗透率提升</w:t>
            </w:r>
            <w:r>
              <w:rPr>
                <w:rFonts w:hint="eastAsia"/>
                <w:b/>
                <w:bCs/>
                <w:sz w:val="24"/>
                <w:lang w:eastAsia="zh-CN"/>
              </w:rPr>
              <w:t>”</w:t>
            </w:r>
            <w:r>
              <w:rPr>
                <w:rFonts w:hint="eastAsia"/>
                <w:b/>
                <w:bCs/>
                <w:sz w:val="24"/>
              </w:rPr>
              <w:t>之间的关系，以加速实现单季度的盈亏平衡？</w:t>
            </w:r>
          </w:p>
          <w:p w14:paraId="0925B831">
            <w:pPr>
              <w:spacing w:line="360" w:lineRule="auto"/>
              <w:ind w:firstLine="480" w:firstLineChars="200"/>
              <w:rPr>
                <w:sz w:val="24"/>
              </w:rPr>
            </w:pPr>
            <w:r>
              <w:rPr>
                <w:sz w:val="24"/>
              </w:rPr>
              <w:t>答：</w:t>
            </w:r>
            <w:r>
              <w:rPr>
                <w:rFonts w:hint="eastAsia"/>
                <w:sz w:val="24"/>
              </w:rPr>
              <w:t>关于2026年医保谈判，根据国家医疗保障局发布的2026年医保工作方案安排，公司药品奥福民</w:t>
            </w:r>
            <w:r>
              <w:rPr>
                <w:rFonts w:hint="eastAsia"/>
                <w:sz w:val="24"/>
                <w:vertAlign w:val="superscript"/>
              </w:rPr>
              <w:t>®</w:t>
            </w:r>
            <w:r>
              <w:rPr>
                <w:rFonts w:hint="eastAsia"/>
                <w:sz w:val="24"/>
              </w:rPr>
              <w:t>具体情况请关注国家医保局公开信息。随着奥福民</w:t>
            </w:r>
            <w:r>
              <w:rPr>
                <w:rFonts w:hint="eastAsia"/>
                <w:sz w:val="24"/>
                <w:vertAlign w:val="superscript"/>
              </w:rPr>
              <w:t>®</w:t>
            </w:r>
            <w:r>
              <w:rPr>
                <w:rFonts w:hint="eastAsia"/>
                <w:sz w:val="24"/>
              </w:rPr>
              <w:t>的市场推广、产能提升、进入医保以及适应症的扩展，提高市场渗透率，公司财务状况与经营能力有望持续改善，将为公司扭亏为盈创造条件。</w:t>
            </w:r>
          </w:p>
          <w:p w14:paraId="056AB081">
            <w:pPr>
              <w:numPr>
                <w:ilvl w:val="0"/>
                <w:numId w:val="1"/>
              </w:numPr>
              <w:spacing w:line="360" w:lineRule="auto"/>
              <w:ind w:firstLine="482" w:firstLineChars="200"/>
              <w:rPr>
                <w:b/>
                <w:bCs/>
                <w:sz w:val="24"/>
              </w:rPr>
            </w:pPr>
            <w:r>
              <w:rPr>
                <w:rFonts w:hint="eastAsia"/>
                <w:b/>
                <w:bCs/>
                <w:sz w:val="24"/>
              </w:rPr>
              <w:t>公司目前累计未弥补亏损已达10.71亿元，且尚未实施过现金分红。作为中小股东，我们非常关心公司的长期股东回报机制。请问董事会在评估公司未来扭亏为盈的节点时，主要考量哪些核心指标？当公司跨过盈亏平衡点后，是否有明确的股东回报规划（如现金分红或股份回购计划），以增强二级市场中小股东的持股信心？</w:t>
            </w:r>
          </w:p>
          <w:p w14:paraId="6731C559">
            <w:pPr>
              <w:spacing w:line="360" w:lineRule="auto"/>
              <w:ind w:firstLine="480" w:firstLineChars="200"/>
              <w:rPr>
                <w:sz w:val="24"/>
              </w:rPr>
            </w:pPr>
            <w:r>
              <w:rPr>
                <w:sz w:val="24"/>
              </w:rPr>
              <w:t>答：</w:t>
            </w:r>
            <w:r>
              <w:rPr>
                <w:rFonts w:hint="eastAsia"/>
                <w:sz w:val="24"/>
              </w:rPr>
              <w:t>公司已制定《关于公司首次公开发行股票并上市后未来三年股东分红回报规划》，并根据《公司章程》的相关规定，严格执行相应的利润分配政策和分红回报规划，坚持科学合理的利润分配决策机制，重视对投资者的合理回报。后续如有回购、增持等相关安排，公司将严格按照法律法规及监管要求，及时履行信息披露义务。</w:t>
            </w:r>
          </w:p>
          <w:p w14:paraId="61CDB515">
            <w:pPr>
              <w:numPr>
                <w:ilvl w:val="0"/>
                <w:numId w:val="1"/>
              </w:numPr>
              <w:spacing w:line="360" w:lineRule="auto"/>
              <w:ind w:firstLine="482" w:firstLineChars="200"/>
              <w:rPr>
                <w:b/>
                <w:bCs/>
                <w:sz w:val="24"/>
              </w:rPr>
            </w:pPr>
            <w:r>
              <w:rPr>
                <w:rFonts w:hint="eastAsia"/>
                <w:b/>
                <w:bCs/>
                <w:sz w:val="24"/>
              </w:rPr>
              <w:t>关注到公司奥福民的IV期真实世界研究进展顺利，同时国际多中心III期临床也预计在今年年底实现首例入组。请问从医学和临床数据来看，IV期研究在拓展更广泛的低白蛋白血症适应症方面，是否已经看到了明确的积极信号？另外，国际III期临床的推进中，目前与美国FDA及EMA的沟通是否顺畅？若海外临床顺利，预计最快何时能为公司带来海外商业化增量？</w:t>
            </w:r>
          </w:p>
          <w:p w14:paraId="46ADBFCD">
            <w:pPr>
              <w:spacing w:line="360" w:lineRule="auto"/>
              <w:ind w:firstLine="480" w:firstLineChars="200"/>
              <w:rPr>
                <w:sz w:val="24"/>
              </w:rPr>
            </w:pPr>
            <w:r>
              <w:rPr>
                <w:sz w:val="24"/>
              </w:rPr>
              <w:t>答：</w:t>
            </w:r>
            <w:r>
              <w:rPr>
                <w:rFonts w:hint="eastAsia"/>
                <w:sz w:val="24"/>
              </w:rPr>
              <w:t>奥福民</w:t>
            </w:r>
            <w:r>
              <w:rPr>
                <w:rFonts w:hint="eastAsia"/>
                <w:sz w:val="24"/>
                <w:vertAlign w:val="superscript"/>
              </w:rPr>
              <w:t>®</w:t>
            </w:r>
            <w:r>
              <w:rPr>
                <w:rFonts w:hint="eastAsia"/>
                <w:sz w:val="24"/>
              </w:rPr>
              <w:t>临床Ⅳ期入组已顺利完成，公司正进行数据清理工作，预计于2026年底向国家药品监督管理局提交适应症扩展申请。公司与美国FDA保持积极沟通，渠道通畅，国际III期临床研究工作正常推进中，国际临床研究受多重因素影响耗时较长。后续进展请关注公司公开信息。</w:t>
            </w:r>
          </w:p>
          <w:p w14:paraId="731D3F90">
            <w:pPr>
              <w:numPr>
                <w:ilvl w:val="0"/>
                <w:numId w:val="1"/>
              </w:numPr>
              <w:spacing w:line="360" w:lineRule="auto"/>
              <w:ind w:firstLine="482" w:firstLineChars="200"/>
              <w:rPr>
                <w:b/>
                <w:bCs/>
                <w:color w:val="auto"/>
                <w:sz w:val="24"/>
                <w:highlight w:val="none"/>
              </w:rPr>
            </w:pPr>
            <w:r>
              <w:rPr>
                <w:rFonts w:hint="eastAsia"/>
                <w:b/>
                <w:bCs/>
                <w:color w:val="auto"/>
                <w:sz w:val="24"/>
                <w:highlight w:val="none"/>
              </w:rPr>
              <w:t>公司奥福民</w:t>
            </w:r>
            <w:r>
              <w:rPr>
                <w:rFonts w:hint="eastAsia"/>
                <w:b/>
                <w:bCs/>
                <w:color w:val="auto"/>
                <w:sz w:val="24"/>
                <w:highlight w:val="none"/>
                <w:vertAlign w:val="superscript"/>
              </w:rPr>
              <w:t>®</w:t>
            </w:r>
            <w:r>
              <w:rPr>
                <w:rFonts w:hint="eastAsia"/>
                <w:b/>
                <w:bCs/>
                <w:color w:val="auto"/>
                <w:sz w:val="24"/>
                <w:highlight w:val="none"/>
              </w:rPr>
              <w:t>的IV期临床研究具体涉及哪些科室和适应症？</w:t>
            </w:r>
          </w:p>
          <w:p w14:paraId="767EAA81">
            <w:pPr>
              <w:spacing w:line="360" w:lineRule="auto"/>
              <w:ind w:firstLine="480" w:firstLineChars="200"/>
              <w:rPr>
                <w:color w:val="auto"/>
                <w:sz w:val="24"/>
                <w:highlight w:val="none"/>
              </w:rPr>
            </w:pPr>
            <w:r>
              <w:rPr>
                <w:color w:val="auto"/>
                <w:sz w:val="24"/>
                <w:highlight w:val="none"/>
              </w:rPr>
              <w:t>答：</w:t>
            </w:r>
            <w:r>
              <w:rPr>
                <w:rFonts w:hint="eastAsia"/>
                <w:color w:val="auto"/>
                <w:sz w:val="24"/>
                <w:highlight w:val="none"/>
              </w:rPr>
              <w:t>奥福民</w:t>
            </w:r>
            <w:r>
              <w:rPr>
                <w:rFonts w:hint="eastAsia"/>
                <w:color w:val="auto"/>
                <w:sz w:val="24"/>
                <w:highlight w:val="none"/>
                <w:vertAlign w:val="superscript"/>
              </w:rPr>
              <w:t>®</w:t>
            </w:r>
            <w:r>
              <w:rPr>
                <w:rFonts w:hint="eastAsia"/>
                <w:color w:val="auto"/>
                <w:sz w:val="24"/>
                <w:highlight w:val="none"/>
              </w:rPr>
              <w:t>临床Ⅳ期涵盖了消化内科、肝病科、肿瘤科、肝胆外科、重症医学科、烧伤科、急诊科、泌尿科等多种病因导致的低白蛋白血症（包括恶性肿瘤、肝硬化、肾脏疾病、重大手术后、脓毒症等）以及血容量不足需紧急治疗患者（如脓毒性休克、大面积烧伤等）。参与研究患者已全部出组，研究正处于数据清理阶段，预计于2026年底向国家药品监督管理局提交适应症扩展申请。</w:t>
            </w:r>
          </w:p>
          <w:p w14:paraId="036DB36E">
            <w:pPr>
              <w:numPr>
                <w:ilvl w:val="0"/>
                <w:numId w:val="1"/>
              </w:numPr>
              <w:spacing w:line="360" w:lineRule="auto"/>
              <w:ind w:firstLine="482" w:firstLineChars="200"/>
              <w:rPr>
                <w:b/>
                <w:bCs/>
                <w:color w:val="auto"/>
                <w:sz w:val="24"/>
                <w:highlight w:val="none"/>
              </w:rPr>
            </w:pPr>
            <w:r>
              <w:rPr>
                <w:rFonts w:hint="eastAsia"/>
                <w:b/>
                <w:bCs/>
                <w:color w:val="auto"/>
                <w:sz w:val="24"/>
                <w:highlight w:val="none"/>
              </w:rPr>
              <w:t>公司在研发端的中长期规划？</w:t>
            </w:r>
          </w:p>
          <w:p w14:paraId="0CCDE3E4">
            <w:pPr>
              <w:spacing w:line="360" w:lineRule="auto"/>
              <w:ind w:firstLine="480" w:firstLineChars="200"/>
              <w:rPr>
                <w:color w:val="auto"/>
                <w:sz w:val="24"/>
                <w:highlight w:val="none"/>
              </w:rPr>
            </w:pPr>
            <w:r>
              <w:rPr>
                <w:rFonts w:hint="eastAsia" w:ascii="宋体" w:hAnsi="宋体" w:cs="宋体"/>
                <w:color w:val="auto"/>
                <w:sz w:val="24"/>
                <w:highlight w:val="none"/>
                <w:lang w:bidi="ar"/>
              </w:rPr>
              <w:t>答：公司致力于成为第四大制药平台，聚焦“两新一大”的研发策略（新概念：能解决重大临床需求的概念性突破；新靶点：全球未完成临床</w:t>
            </w:r>
            <w:r>
              <w:rPr>
                <w:color w:val="auto"/>
                <w:sz w:val="24"/>
                <w:highlight w:val="none"/>
                <w:lang w:bidi="ar"/>
              </w:rPr>
              <w:t>II</w:t>
            </w:r>
            <w:r>
              <w:rPr>
                <w:rFonts w:hint="eastAsia" w:ascii="宋体" w:hAnsi="宋体" w:cs="宋体"/>
                <w:color w:val="auto"/>
                <w:sz w:val="24"/>
                <w:highlight w:val="none"/>
                <w:lang w:bidi="ar"/>
              </w:rPr>
              <w:t>期的新靶点；大品种：市场规模为二十亿以上的品种）持续研发，向百年老企的目标出发，利用平台优势，集中在大市场，瞄准现有体系难以攻克的难题。目前公司</w:t>
            </w:r>
            <w:r>
              <w:rPr>
                <w:color w:val="auto"/>
                <w:sz w:val="24"/>
                <w:highlight w:val="none"/>
                <w:lang w:bidi="ar"/>
              </w:rPr>
              <w:t>HY1009</w:t>
            </w:r>
            <w:r>
              <w:rPr>
                <w:rFonts w:hint="eastAsia" w:ascii="宋体" w:hAnsi="宋体" w:cs="宋体"/>
                <w:color w:val="auto"/>
                <w:sz w:val="24"/>
                <w:highlight w:val="none"/>
                <w:lang w:bidi="ar"/>
              </w:rPr>
              <w:t>超长效重组胰岛素类似物融合蛋白和</w:t>
            </w:r>
            <w:r>
              <w:rPr>
                <w:color w:val="auto"/>
                <w:sz w:val="24"/>
                <w:highlight w:val="none"/>
                <w:lang w:bidi="ar"/>
              </w:rPr>
              <w:t>HY1010</w:t>
            </w:r>
            <w:r>
              <w:rPr>
                <w:rFonts w:hint="eastAsia" w:ascii="宋体" w:hAnsi="宋体" w:cs="宋体"/>
                <w:color w:val="auto"/>
                <w:sz w:val="24"/>
                <w:highlight w:val="none"/>
                <w:lang w:bidi="ar"/>
              </w:rPr>
              <w:t>阻断</w:t>
            </w:r>
            <w:r>
              <w:rPr>
                <w:color w:val="auto"/>
                <w:sz w:val="24"/>
                <w:highlight w:val="none"/>
                <w:lang w:bidi="ar"/>
              </w:rPr>
              <w:t>Fc</w:t>
            </w:r>
            <w:r>
              <w:rPr>
                <w:rFonts w:hint="eastAsia" w:ascii="宋体" w:hAnsi="宋体" w:cs="宋体"/>
                <w:color w:val="auto"/>
                <w:sz w:val="24"/>
                <w:highlight w:val="none"/>
                <w:lang w:bidi="ar"/>
              </w:rPr>
              <w:t>γ受体的重组蛋白等在研管线都是符合公司研发策略重点在推进的在研管线。</w:t>
            </w:r>
          </w:p>
          <w:p w14:paraId="7A83733F">
            <w:pPr>
              <w:numPr>
                <w:ilvl w:val="0"/>
                <w:numId w:val="1"/>
              </w:numPr>
              <w:spacing w:line="360" w:lineRule="auto"/>
              <w:ind w:firstLine="482" w:firstLineChars="200"/>
              <w:rPr>
                <w:b/>
                <w:bCs/>
                <w:color w:val="auto"/>
                <w:sz w:val="24"/>
                <w:highlight w:val="none"/>
              </w:rPr>
            </w:pPr>
            <w:r>
              <w:rPr>
                <w:rFonts w:hint="eastAsia"/>
                <w:b/>
                <w:bCs/>
                <w:color w:val="auto"/>
                <w:sz w:val="24"/>
                <w:highlight w:val="none"/>
              </w:rPr>
              <w:t>公司120吨的白蛋白成本预计是多少，跟酵母路线的成本比，预计谁成本更低？</w:t>
            </w:r>
          </w:p>
          <w:p w14:paraId="20D53A3A">
            <w:pPr>
              <w:spacing w:line="360" w:lineRule="auto"/>
              <w:ind w:firstLine="480" w:firstLineChars="200"/>
              <w:rPr>
                <w:color w:val="auto"/>
                <w:sz w:val="24"/>
                <w:highlight w:val="none"/>
              </w:rPr>
            </w:pPr>
            <w:r>
              <w:rPr>
                <w:rFonts w:hint="eastAsia"/>
                <w:color w:val="auto"/>
                <w:sz w:val="24"/>
                <w:highlight w:val="none"/>
              </w:rPr>
              <w:t>答：相比其他技术路径，公司的水稻胚乳细胞生物反应器像一个“天然生产工厂”，是一种全新医药蛋白表达技术，通过基因工程的手段把目标蛋白植入水稻，通过光合作用合成蛋白质，并特异性在稻米胚乳中生产与积累。公司上游蛋白原料的生产通过田间种植实现，不受发酵体积的技术限制，且生产规模的扩大不需要大量固定资产投入，下游纯化工艺步骤简单。120吨产线投产后，规模化效益日益显现，产品成本将大幅降低。此外，目前国内尚未有酵母路线的白蛋白产品上市，成本尚无法进行比较。</w:t>
            </w:r>
          </w:p>
          <w:p w14:paraId="34AB4A5F">
            <w:pPr>
              <w:numPr>
                <w:ilvl w:val="0"/>
                <w:numId w:val="1"/>
              </w:numPr>
              <w:spacing w:line="360" w:lineRule="auto"/>
              <w:ind w:firstLine="482" w:firstLineChars="200"/>
              <w:rPr>
                <w:b/>
                <w:bCs/>
                <w:color w:val="auto"/>
                <w:sz w:val="24"/>
                <w:highlight w:val="none"/>
              </w:rPr>
            </w:pPr>
            <w:r>
              <w:rPr>
                <w:rFonts w:hint="eastAsia"/>
                <w:b/>
                <w:bCs/>
                <w:color w:val="auto"/>
                <w:sz w:val="24"/>
                <w:highlight w:val="none"/>
              </w:rPr>
              <w:t>公司基因工程水稻与普通水稻的生长环境是否有区别，稻谷存放时间久是否会有黄曲霉素等问题？</w:t>
            </w:r>
          </w:p>
          <w:p w14:paraId="37F77624">
            <w:pPr>
              <w:spacing w:line="360" w:lineRule="auto"/>
              <w:ind w:firstLine="480" w:firstLineChars="200"/>
              <w:rPr>
                <w:color w:val="auto"/>
                <w:sz w:val="24"/>
                <w:highlight w:val="none"/>
              </w:rPr>
            </w:pPr>
            <w:r>
              <w:rPr>
                <w:rFonts w:hint="eastAsia"/>
                <w:color w:val="auto"/>
                <w:sz w:val="24"/>
                <w:highlight w:val="none"/>
              </w:rPr>
              <w:t>答：公司稻谷原料的种植确实依靠气候、土壤等自然条件，我们的水稻品种本质上与常规水稻种植并无区别，均遵循自然生长规律。公司已建立了药用水稻种植全流程的标准操作规程与内控制度，制定了从播种、育秧、移栽、灌溉、施肥、除草、病虫害防治</w:t>
            </w:r>
            <w:bookmarkStart w:id="0" w:name="_GoBack"/>
            <w:bookmarkEnd w:id="0"/>
            <w:r>
              <w:rPr>
                <w:rFonts w:hint="eastAsia"/>
                <w:color w:val="auto"/>
                <w:sz w:val="24"/>
                <w:highlight w:val="none"/>
              </w:rPr>
              <w:t>到收获加工和储藏的全套操作SOP，种植全过程严格遵照GAP良好种植规范执行。此外，公司质量管理中心专项负责种子与原料稻谷的全链条检定、质量审核，确保各项检测指标合格后放行。在西部地区种植水稻因气候干燥，稻谷质量高，目前没有检出黄曲霉素。</w:t>
            </w:r>
          </w:p>
          <w:p w14:paraId="50F77BD2">
            <w:pPr>
              <w:numPr>
                <w:ilvl w:val="0"/>
                <w:numId w:val="1"/>
              </w:numPr>
              <w:spacing w:line="360" w:lineRule="auto"/>
              <w:ind w:firstLine="482" w:firstLineChars="200"/>
              <w:rPr>
                <w:b/>
                <w:bCs/>
                <w:color w:val="auto"/>
                <w:sz w:val="24"/>
                <w:highlight w:val="none"/>
              </w:rPr>
            </w:pPr>
            <w:r>
              <w:rPr>
                <w:rFonts w:hint="eastAsia"/>
                <w:b/>
                <w:bCs/>
                <w:color w:val="auto"/>
                <w:sz w:val="24"/>
                <w:highlight w:val="none"/>
              </w:rPr>
              <w:t>公司在生产及研发阶段如何将AI技术进行融合？</w:t>
            </w:r>
          </w:p>
          <w:p w14:paraId="1EE3780B">
            <w:pPr>
              <w:spacing w:line="360" w:lineRule="auto"/>
              <w:ind w:firstLine="480" w:firstLineChars="200"/>
              <w:rPr>
                <w:color w:val="auto"/>
                <w:sz w:val="24"/>
                <w:highlight w:val="none"/>
              </w:rPr>
            </w:pPr>
            <w:r>
              <w:rPr>
                <w:rFonts w:hint="eastAsia"/>
                <w:color w:val="auto"/>
                <w:sz w:val="24"/>
                <w:highlight w:val="none"/>
              </w:rPr>
              <w:t>答：公司在10吨以及120吨重组人白蛋白生产线实现了智能化。同时，在药物研发的早期分子设计、靶点筛选等环节，公司运用AI技术以提高研发效率、促进研发创新。</w:t>
            </w:r>
          </w:p>
          <w:p w14:paraId="565919F2">
            <w:pPr>
              <w:numPr>
                <w:ilvl w:val="0"/>
                <w:numId w:val="1"/>
              </w:numPr>
              <w:spacing w:line="360" w:lineRule="auto"/>
              <w:ind w:firstLine="482" w:firstLineChars="200"/>
              <w:rPr>
                <w:b/>
                <w:bCs/>
                <w:color w:val="auto"/>
                <w:sz w:val="24"/>
                <w:highlight w:val="none"/>
              </w:rPr>
            </w:pPr>
            <w:r>
              <w:rPr>
                <w:rFonts w:hint="eastAsia"/>
                <w:b/>
                <w:bCs/>
                <w:color w:val="auto"/>
                <w:sz w:val="24"/>
                <w:highlight w:val="none"/>
              </w:rPr>
              <w:t>公司在稳定人才和团队方面，是否有股权激励计划？</w:t>
            </w:r>
          </w:p>
          <w:p w14:paraId="7D2AA02B">
            <w:pPr>
              <w:spacing w:line="360" w:lineRule="auto"/>
              <w:ind w:firstLine="480" w:firstLineChars="200"/>
              <w:rPr>
                <w:color w:val="auto"/>
                <w:sz w:val="24"/>
                <w:highlight w:val="none"/>
              </w:rPr>
            </w:pPr>
            <w:r>
              <w:rPr>
                <w:rFonts w:hint="eastAsia"/>
                <w:color w:val="auto"/>
                <w:sz w:val="24"/>
                <w:highlight w:val="none"/>
              </w:rPr>
              <w:t>答：公司始终将人才视为核心驱动力，为稳定公司管理团队、核心技术人员和业务骨干，实现团队利益和公司长远利益的有机结合，公司成立至今已实施多次股权激励。后续随着公司业务持续拓展，人员规模稳步扩大，公司将根据业务发展需求，引进各类高级专业人才，支撑公司长期稳健发展。未来公司将根据市场情况制定股权激励计划，如有相关计划，将严格按照法律法规及监管要求，及时履行信息披露义务。</w:t>
            </w:r>
          </w:p>
          <w:p w14:paraId="0C10B478">
            <w:pPr>
              <w:numPr>
                <w:ilvl w:val="0"/>
                <w:numId w:val="1"/>
              </w:numPr>
              <w:spacing w:line="360" w:lineRule="auto"/>
              <w:ind w:firstLine="482" w:firstLineChars="200"/>
              <w:rPr>
                <w:b/>
                <w:bCs/>
                <w:sz w:val="24"/>
              </w:rPr>
            </w:pPr>
            <w:r>
              <w:rPr>
                <w:rFonts w:hint="eastAsia"/>
                <w:b/>
                <w:bCs/>
                <w:sz w:val="24"/>
              </w:rPr>
              <w:t>仔细研读财报发现，上半年公司营业成本同比大增77.67%，远超43.77%的营收增速，导致整体毛利率从58.59%下滑至48.83%；同时，销售费用激增171.28%。请问毛利率下滑是否主要是新产线折旧及产能爬坡初期的单位成本较高所致？随着下半年第三代高表达水稻技术的投产及规模效应显现，毛利率何时能回升至合理区间？另外，上半年经营性现金流净流出扩大至9525万元，结合目前10.23亿元的货币资金，公司未来的资金链安全与融资规划是怎样的？</w:t>
            </w:r>
          </w:p>
          <w:p w14:paraId="26642B66">
            <w:pPr>
              <w:spacing w:line="360" w:lineRule="auto"/>
              <w:ind w:firstLine="480" w:firstLineChars="200"/>
              <w:rPr>
                <w:sz w:val="24"/>
              </w:rPr>
            </w:pPr>
            <w:r>
              <w:rPr>
                <w:sz w:val="24"/>
              </w:rPr>
              <w:t>答：</w:t>
            </w:r>
            <w:r>
              <w:rPr>
                <w:rFonts w:hint="eastAsia"/>
                <w:sz w:val="24"/>
              </w:rPr>
              <w:t>半年报较上年同期相关指标的变动，系公司奥福民</w:t>
            </w:r>
            <w:r>
              <w:rPr>
                <w:rFonts w:hint="eastAsia"/>
                <w:sz w:val="24"/>
                <w:vertAlign w:val="superscript"/>
              </w:rPr>
              <w:t>®</w:t>
            </w:r>
            <w:r>
              <w:rPr>
                <w:rFonts w:hint="eastAsia"/>
                <w:sz w:val="24"/>
              </w:rPr>
              <w:t>上市销售带动营业收入、营业成本及销售费用均实现结构性增长所致。公司药品上市初期由于销售规模不大，正处于产能爬坡阶段，折旧摊销成本较高。后期随着产能提升，边际成本快速下降，未来第三代技术的成本可进一步降低。目前公司有充足的货币资金及募集</w:t>
            </w:r>
            <w:r>
              <w:rPr>
                <w:rFonts w:hint="eastAsia"/>
                <w:sz w:val="24"/>
                <w:lang w:val="en-US" w:eastAsia="zh-CN"/>
              </w:rPr>
              <w:t>资金</w:t>
            </w:r>
            <w:r>
              <w:rPr>
                <w:rFonts w:hint="eastAsia"/>
                <w:sz w:val="24"/>
              </w:rPr>
              <w:t>储备，公司未来的资金链安全。</w:t>
            </w:r>
          </w:p>
          <w:p w14:paraId="242032E0">
            <w:pPr>
              <w:numPr>
                <w:ilvl w:val="0"/>
                <w:numId w:val="1"/>
              </w:numPr>
              <w:spacing w:line="360" w:lineRule="auto"/>
              <w:ind w:firstLine="482" w:firstLineChars="200"/>
              <w:rPr>
                <w:b/>
                <w:bCs/>
                <w:sz w:val="24"/>
              </w:rPr>
            </w:pPr>
            <w:r>
              <w:rPr>
                <w:rFonts w:hint="eastAsia"/>
                <w:b/>
                <w:bCs/>
                <w:sz w:val="24"/>
              </w:rPr>
              <w:t>核心产能延期至2027年6月，会如何影响短期毛利率与现金流？现有的旧生产线产能是否足够支撑接下来的可能销售放量？</w:t>
            </w:r>
          </w:p>
          <w:p w14:paraId="3F329BDC">
            <w:pPr>
              <w:spacing w:line="360" w:lineRule="auto"/>
              <w:ind w:firstLine="480" w:firstLineChars="200"/>
              <w:rPr>
                <w:sz w:val="24"/>
              </w:rPr>
            </w:pPr>
            <w:r>
              <w:rPr>
                <w:sz w:val="24"/>
              </w:rPr>
              <w:t>答：</w:t>
            </w:r>
            <w:r>
              <w:rPr>
                <w:rFonts w:hint="eastAsia"/>
                <w:sz w:val="24"/>
              </w:rPr>
              <w:t>120吨产线投产后将会对产品毛利率及现金流产生正向影响。公司将积极加快120吨产线投产进度，满足市场需求。</w:t>
            </w:r>
          </w:p>
          <w:p w14:paraId="5A630564">
            <w:pPr>
              <w:numPr>
                <w:ilvl w:val="0"/>
                <w:numId w:val="1"/>
              </w:numPr>
              <w:spacing w:line="360" w:lineRule="auto"/>
              <w:ind w:firstLine="482" w:firstLineChars="200"/>
              <w:rPr>
                <w:b/>
                <w:bCs/>
                <w:sz w:val="24"/>
              </w:rPr>
            </w:pPr>
            <w:r>
              <w:rPr>
                <w:rFonts w:hint="eastAsia"/>
                <w:b/>
                <w:bCs/>
                <w:sz w:val="24"/>
              </w:rPr>
              <w:t>能否介绍中报存货暴增的原因，以及目前医院终端的实际开方和放量情况？</w:t>
            </w:r>
          </w:p>
          <w:p w14:paraId="3C6F82CC">
            <w:pPr>
              <w:spacing w:line="360" w:lineRule="auto"/>
              <w:ind w:firstLine="480" w:firstLineChars="200"/>
              <w:rPr>
                <w:sz w:val="24"/>
              </w:rPr>
            </w:pPr>
            <w:r>
              <w:rPr>
                <w:sz w:val="24"/>
              </w:rPr>
              <w:t>答：</w:t>
            </w:r>
            <w:r>
              <w:rPr>
                <w:rFonts w:hint="eastAsia"/>
                <w:sz w:val="24"/>
                <w:lang w:val="en-US" w:eastAsia="zh-CN"/>
              </w:rPr>
              <w:t>半</w:t>
            </w:r>
            <w:r>
              <w:rPr>
                <w:rFonts w:hint="eastAsia"/>
                <w:sz w:val="24"/>
              </w:rPr>
              <w:t>年报存货较上年末增长主要系公司种植投入、半成品及120吨奥福民</w:t>
            </w:r>
            <w:r>
              <w:rPr>
                <w:rFonts w:hint="eastAsia"/>
                <w:sz w:val="24"/>
                <w:vertAlign w:val="superscript"/>
              </w:rPr>
              <w:t>®</w:t>
            </w:r>
            <w:r>
              <w:rPr>
                <w:rFonts w:hint="eastAsia"/>
                <w:sz w:val="24"/>
              </w:rPr>
              <w:t>产业化基地建设项目调试备料的库存均有增加所致。</w:t>
            </w:r>
          </w:p>
          <w:p w14:paraId="4F997337">
            <w:pPr>
              <w:numPr>
                <w:ilvl w:val="0"/>
                <w:numId w:val="1"/>
              </w:numPr>
              <w:spacing w:line="360" w:lineRule="auto"/>
              <w:ind w:firstLine="482" w:firstLineChars="200"/>
              <w:rPr>
                <w:b/>
                <w:bCs/>
                <w:sz w:val="24"/>
              </w:rPr>
            </w:pPr>
            <w:r>
              <w:rPr>
                <w:rFonts w:hint="eastAsia"/>
                <w:b/>
                <w:bCs/>
                <w:sz w:val="24"/>
              </w:rPr>
              <w:t>公司会“以价换量”进入医保吗？在目前价高下，如何说服医院在DRG控费下开药？公司产品已经进入了多少医院？</w:t>
            </w:r>
          </w:p>
          <w:p w14:paraId="7B232C46">
            <w:pPr>
              <w:spacing w:line="360" w:lineRule="auto"/>
              <w:ind w:firstLine="480" w:firstLineChars="200"/>
              <w:rPr>
                <w:b/>
                <w:bCs/>
                <w:sz w:val="24"/>
              </w:rPr>
            </w:pPr>
            <w:r>
              <w:rPr>
                <w:sz w:val="24"/>
              </w:rPr>
              <w:t>答：</w:t>
            </w:r>
            <w:r>
              <w:rPr>
                <w:rFonts w:hint="eastAsia"/>
                <w:sz w:val="24"/>
              </w:rPr>
              <w:t>2026年医保谈判已经结束，请关注国家医保局公开信息。奥福民</w:t>
            </w:r>
            <w:r>
              <w:rPr>
                <w:rFonts w:hint="eastAsia"/>
                <w:sz w:val="24"/>
                <w:vertAlign w:val="superscript"/>
              </w:rPr>
              <w:t>®</w:t>
            </w:r>
            <w:r>
              <w:rPr>
                <w:rFonts w:hint="eastAsia"/>
                <w:sz w:val="24"/>
              </w:rPr>
              <w:t>自上市以来已完成各省挂网工作，并在多个省份的医院、全国多家药店实现覆盖。同时，公司采用“自营+经销商”双轨并行销售模式。公司将持续优化市场策略，积极推动奥福民</w:t>
            </w:r>
            <w:r>
              <w:rPr>
                <w:rFonts w:hint="eastAsia"/>
                <w:sz w:val="24"/>
                <w:vertAlign w:val="superscript"/>
              </w:rPr>
              <w:t>®</w:t>
            </w:r>
            <w:r>
              <w:rPr>
                <w:rFonts w:hint="eastAsia"/>
                <w:sz w:val="24"/>
              </w:rPr>
              <w:t>的临床应用。</w:t>
            </w:r>
          </w:p>
          <w:p w14:paraId="6CE12D53">
            <w:pPr>
              <w:spacing w:line="360" w:lineRule="auto"/>
              <w:ind w:firstLine="482" w:firstLineChars="200"/>
              <w:rPr>
                <w:rFonts w:hint="eastAsia"/>
                <w:b/>
                <w:bCs/>
                <w:sz w:val="24"/>
              </w:rPr>
            </w:pPr>
            <w:r>
              <w:rPr>
                <w:rFonts w:hint="eastAsia"/>
                <w:b/>
                <w:bCs/>
                <w:sz w:val="24"/>
              </w:rPr>
              <w:t>说明：对于已发布的重复问题，本表不再重复记录。</w:t>
            </w:r>
          </w:p>
          <w:p w14:paraId="16BDBD2C">
            <w:pPr>
              <w:spacing w:line="360" w:lineRule="auto"/>
              <w:ind w:firstLine="482" w:firstLineChars="200"/>
              <w:rPr>
                <w:rFonts w:hint="eastAsia" w:eastAsia="宋体"/>
                <w:b/>
                <w:bCs/>
                <w:sz w:val="24"/>
                <w:lang w:val="en-US" w:eastAsia="zh-CN"/>
              </w:rPr>
            </w:pPr>
            <w:r>
              <w:rPr>
                <w:rFonts w:hint="eastAsia" w:eastAsia="宋体"/>
                <w:b/>
                <w:bCs/>
                <w:sz w:val="24"/>
                <w:lang w:val="en-US" w:eastAsia="zh-CN"/>
              </w:rPr>
              <w:t>重点提示：本部分内容仅为公司</w:t>
            </w:r>
            <w:r>
              <w:rPr>
                <w:rFonts w:hint="eastAsia"/>
                <w:b/>
                <w:bCs/>
                <w:sz w:val="24"/>
                <w:lang w:val="en-US" w:eastAsia="zh-CN"/>
              </w:rPr>
              <w:t>相关业务</w:t>
            </w:r>
            <w:r>
              <w:rPr>
                <w:rFonts w:hint="eastAsia" w:eastAsia="宋体"/>
                <w:b/>
                <w:bCs/>
                <w:sz w:val="24"/>
                <w:lang w:val="en-US" w:eastAsia="zh-CN"/>
              </w:rPr>
              <w:t>的阶段性</w:t>
            </w:r>
            <w:r>
              <w:rPr>
                <w:rFonts w:hint="eastAsia"/>
                <w:b/>
                <w:bCs/>
                <w:sz w:val="24"/>
                <w:lang w:val="en-US" w:eastAsia="zh-CN"/>
              </w:rPr>
              <w:t>交流</w:t>
            </w:r>
            <w:r>
              <w:rPr>
                <w:rFonts w:hint="eastAsia" w:eastAsia="宋体"/>
                <w:b/>
                <w:bCs/>
                <w:sz w:val="24"/>
                <w:lang w:val="en-US" w:eastAsia="zh-CN"/>
              </w:rPr>
              <w:t>，</w:t>
            </w:r>
            <w:r>
              <w:rPr>
                <w:rFonts w:hint="eastAsia"/>
                <w:b/>
                <w:bCs/>
                <w:sz w:val="24"/>
                <w:lang w:val="en-US" w:eastAsia="zh-CN"/>
              </w:rPr>
              <w:t>不构成</w:t>
            </w:r>
            <w:r>
              <w:rPr>
                <w:rFonts w:hint="eastAsia" w:eastAsia="宋体"/>
                <w:b/>
                <w:bCs/>
                <w:sz w:val="24"/>
                <w:lang w:val="en-US" w:eastAsia="zh-CN"/>
              </w:rPr>
              <w:t>具体业务进展披露</w:t>
            </w:r>
            <w:r>
              <w:rPr>
                <w:rFonts w:hint="eastAsia"/>
                <w:b/>
                <w:bCs/>
                <w:sz w:val="24"/>
                <w:lang w:val="en-US" w:eastAsia="zh-CN"/>
              </w:rPr>
              <w:t>，亦不构成任何</w:t>
            </w:r>
            <w:r>
              <w:rPr>
                <w:rFonts w:hint="eastAsia" w:eastAsia="宋体"/>
                <w:b/>
                <w:bCs/>
                <w:sz w:val="24"/>
                <w:lang w:val="en-US" w:eastAsia="zh-CN"/>
              </w:rPr>
              <w:t>实质性承诺</w:t>
            </w:r>
            <w:r>
              <w:rPr>
                <w:rFonts w:hint="eastAsia"/>
                <w:b/>
                <w:bCs/>
                <w:sz w:val="24"/>
                <w:lang w:val="en-US" w:eastAsia="zh-CN"/>
              </w:rPr>
              <w:t>或投资建议。</w:t>
            </w:r>
            <w:r>
              <w:rPr>
                <w:rFonts w:hint="eastAsia" w:eastAsia="宋体"/>
                <w:b/>
                <w:bCs/>
                <w:sz w:val="24"/>
                <w:lang w:val="en-US" w:eastAsia="zh-CN"/>
              </w:rPr>
              <w:t>敬请投资者理性看待、审慎决策</w:t>
            </w:r>
            <w:r>
              <w:rPr>
                <w:rFonts w:hint="eastAsia"/>
                <w:b/>
                <w:bCs/>
                <w:sz w:val="24"/>
                <w:lang w:val="en-US" w:eastAsia="zh-CN"/>
              </w:rPr>
              <w:t>，注意投资风险。</w:t>
            </w:r>
          </w:p>
        </w:tc>
      </w:tr>
      <w:tr w14:paraId="21668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14:paraId="0FCE06C0">
            <w:pPr>
              <w:spacing w:line="480" w:lineRule="auto"/>
              <w:jc w:val="center"/>
              <w:rPr>
                <w:b/>
                <w:bCs/>
                <w:iCs/>
                <w:color w:val="000000"/>
                <w:sz w:val="24"/>
              </w:rPr>
            </w:pPr>
            <w:r>
              <w:rPr>
                <w:b/>
                <w:kern w:val="0"/>
                <w:sz w:val="24"/>
              </w:rPr>
              <w:t>附件清单</w:t>
            </w:r>
          </w:p>
        </w:tc>
        <w:tc>
          <w:tcPr>
            <w:tcW w:w="6662" w:type="dxa"/>
            <w:tcBorders>
              <w:top w:val="single" w:color="auto" w:sz="4" w:space="0"/>
              <w:left w:val="single" w:color="auto" w:sz="4" w:space="0"/>
              <w:bottom w:val="single" w:color="auto" w:sz="4" w:space="0"/>
              <w:right w:val="single" w:color="auto" w:sz="4" w:space="0"/>
            </w:tcBorders>
            <w:vAlign w:val="center"/>
          </w:tcPr>
          <w:p w14:paraId="6DE5BBE7">
            <w:pPr>
              <w:spacing w:line="360" w:lineRule="auto"/>
              <w:rPr>
                <w:bCs/>
                <w:iCs/>
                <w:color w:val="000000"/>
                <w:sz w:val="24"/>
              </w:rPr>
            </w:pPr>
            <w:r>
              <w:rPr>
                <w:rFonts w:hint="eastAsia"/>
                <w:sz w:val="24"/>
              </w:rPr>
              <w:t>无</w:t>
            </w:r>
          </w:p>
        </w:tc>
      </w:tr>
      <w:tr w14:paraId="354F3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14:paraId="75CAD562">
            <w:pPr>
              <w:spacing w:line="480" w:lineRule="auto"/>
              <w:jc w:val="center"/>
              <w:rPr>
                <w:b/>
                <w:kern w:val="0"/>
                <w:sz w:val="24"/>
              </w:rPr>
            </w:pPr>
            <w:r>
              <w:rPr>
                <w:b/>
                <w:kern w:val="0"/>
                <w:sz w:val="24"/>
              </w:rPr>
              <w:t>日期</w:t>
            </w:r>
          </w:p>
        </w:tc>
        <w:tc>
          <w:tcPr>
            <w:tcW w:w="6662" w:type="dxa"/>
            <w:tcBorders>
              <w:top w:val="single" w:color="auto" w:sz="4" w:space="0"/>
              <w:left w:val="single" w:color="auto" w:sz="4" w:space="0"/>
              <w:bottom w:val="single" w:color="auto" w:sz="4" w:space="0"/>
              <w:right w:val="single" w:color="auto" w:sz="4" w:space="0"/>
            </w:tcBorders>
            <w:vAlign w:val="center"/>
          </w:tcPr>
          <w:p w14:paraId="01690771">
            <w:pPr>
              <w:spacing w:line="360" w:lineRule="auto"/>
              <w:rPr>
                <w:bCs/>
                <w:iCs/>
                <w:color w:val="000000"/>
                <w:sz w:val="24"/>
              </w:rPr>
            </w:pPr>
            <w:r>
              <w:rPr>
                <w:rFonts w:hint="eastAsia"/>
                <w:bCs/>
                <w:iCs/>
                <w:color w:val="000000"/>
                <w:sz w:val="24"/>
              </w:rPr>
              <w:t>2026年9月2</w:t>
            </w:r>
            <w:r>
              <w:rPr>
                <w:rFonts w:hint="eastAsia"/>
                <w:bCs/>
                <w:iCs/>
                <w:color w:val="000000"/>
                <w:sz w:val="24"/>
                <w:lang w:val="en-US" w:eastAsia="zh-CN"/>
              </w:rPr>
              <w:t>3</w:t>
            </w:r>
            <w:r>
              <w:rPr>
                <w:rFonts w:hint="eastAsia"/>
                <w:bCs/>
                <w:iCs/>
                <w:color w:val="000000"/>
                <w:sz w:val="24"/>
              </w:rPr>
              <w:t>日</w:t>
            </w:r>
          </w:p>
        </w:tc>
      </w:tr>
    </w:tbl>
    <w:p w14:paraId="46F2281D">
      <w:pPr>
        <w:widowControl/>
        <w:spacing w:line="480" w:lineRule="auto"/>
        <w:jc w:val="left"/>
        <w:rPr>
          <w:sz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8462237"/>
    </w:sdtPr>
    <w:sdtContent>
      <w:p w14:paraId="251DEA05">
        <w:pPr>
          <w:pStyle w:val="4"/>
          <w:jc w:val="center"/>
        </w:pPr>
        <w:r>
          <w:fldChar w:fldCharType="begin"/>
        </w:r>
        <w:r>
          <w:instrText xml:space="preserve">PAGE   \* MERGEFORMAT</w:instrText>
        </w:r>
        <w:r>
          <w:fldChar w:fldCharType="separate"/>
        </w:r>
        <w:r>
          <w:rPr>
            <w:lang w:val="zh-CN"/>
          </w:rPr>
          <w:t>1</w:t>
        </w:r>
        <w:r>
          <w:fldChar w:fldCharType="end"/>
        </w:r>
      </w:p>
    </w:sdtContent>
  </w:sdt>
  <w:p w14:paraId="07A7919E">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0C03EB"/>
    <w:multiLevelType w:val="singleLevel"/>
    <w:tmpl w:val="C50C03E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771"/>
    <w:rsid w:val="0000035C"/>
    <w:rsid w:val="00000869"/>
    <w:rsid w:val="00000E51"/>
    <w:rsid w:val="000039F6"/>
    <w:rsid w:val="00004A82"/>
    <w:rsid w:val="000110D9"/>
    <w:rsid w:val="000120F8"/>
    <w:rsid w:val="000138C0"/>
    <w:rsid w:val="000153E5"/>
    <w:rsid w:val="00015791"/>
    <w:rsid w:val="00016685"/>
    <w:rsid w:val="00021AB1"/>
    <w:rsid w:val="00023329"/>
    <w:rsid w:val="00026AD5"/>
    <w:rsid w:val="000305C0"/>
    <w:rsid w:val="000319D6"/>
    <w:rsid w:val="00032E5D"/>
    <w:rsid w:val="00034EBF"/>
    <w:rsid w:val="0003517D"/>
    <w:rsid w:val="0003763A"/>
    <w:rsid w:val="00037A3A"/>
    <w:rsid w:val="000409D4"/>
    <w:rsid w:val="0004277E"/>
    <w:rsid w:val="000438F0"/>
    <w:rsid w:val="00047AD1"/>
    <w:rsid w:val="00047D81"/>
    <w:rsid w:val="000525CC"/>
    <w:rsid w:val="0005337D"/>
    <w:rsid w:val="0005795E"/>
    <w:rsid w:val="000603D1"/>
    <w:rsid w:val="000606CD"/>
    <w:rsid w:val="00060E1D"/>
    <w:rsid w:val="00061316"/>
    <w:rsid w:val="00062DC7"/>
    <w:rsid w:val="00063A9B"/>
    <w:rsid w:val="0006499C"/>
    <w:rsid w:val="0006697A"/>
    <w:rsid w:val="00067397"/>
    <w:rsid w:val="00067486"/>
    <w:rsid w:val="00067F4D"/>
    <w:rsid w:val="00070153"/>
    <w:rsid w:val="000707D5"/>
    <w:rsid w:val="00071CD8"/>
    <w:rsid w:val="00071FCD"/>
    <w:rsid w:val="00072DE8"/>
    <w:rsid w:val="0007335F"/>
    <w:rsid w:val="000738AA"/>
    <w:rsid w:val="000749FE"/>
    <w:rsid w:val="0007568D"/>
    <w:rsid w:val="00076246"/>
    <w:rsid w:val="000765A8"/>
    <w:rsid w:val="00077C5D"/>
    <w:rsid w:val="00080E1D"/>
    <w:rsid w:val="00081A73"/>
    <w:rsid w:val="00081B93"/>
    <w:rsid w:val="00081CCA"/>
    <w:rsid w:val="00084190"/>
    <w:rsid w:val="00085B49"/>
    <w:rsid w:val="00085C23"/>
    <w:rsid w:val="00086A3E"/>
    <w:rsid w:val="00092187"/>
    <w:rsid w:val="0009354D"/>
    <w:rsid w:val="00093C8C"/>
    <w:rsid w:val="0009518E"/>
    <w:rsid w:val="0009548C"/>
    <w:rsid w:val="00095E0E"/>
    <w:rsid w:val="00096228"/>
    <w:rsid w:val="00096317"/>
    <w:rsid w:val="0009657D"/>
    <w:rsid w:val="00097094"/>
    <w:rsid w:val="00097914"/>
    <w:rsid w:val="00097AEA"/>
    <w:rsid w:val="000A0177"/>
    <w:rsid w:val="000A4AF7"/>
    <w:rsid w:val="000A564E"/>
    <w:rsid w:val="000A5662"/>
    <w:rsid w:val="000A5D63"/>
    <w:rsid w:val="000A6D61"/>
    <w:rsid w:val="000A6F76"/>
    <w:rsid w:val="000A77C3"/>
    <w:rsid w:val="000B0E98"/>
    <w:rsid w:val="000B122C"/>
    <w:rsid w:val="000B2287"/>
    <w:rsid w:val="000B441B"/>
    <w:rsid w:val="000B4816"/>
    <w:rsid w:val="000B49F2"/>
    <w:rsid w:val="000B4D91"/>
    <w:rsid w:val="000B5DE9"/>
    <w:rsid w:val="000B69F9"/>
    <w:rsid w:val="000B7F85"/>
    <w:rsid w:val="000C0658"/>
    <w:rsid w:val="000C12D6"/>
    <w:rsid w:val="000C21A6"/>
    <w:rsid w:val="000C2321"/>
    <w:rsid w:val="000C2869"/>
    <w:rsid w:val="000C2A73"/>
    <w:rsid w:val="000C33D6"/>
    <w:rsid w:val="000C4A05"/>
    <w:rsid w:val="000C5FFD"/>
    <w:rsid w:val="000C6BE7"/>
    <w:rsid w:val="000C7743"/>
    <w:rsid w:val="000D098B"/>
    <w:rsid w:val="000D1313"/>
    <w:rsid w:val="000D1D2D"/>
    <w:rsid w:val="000D3A4C"/>
    <w:rsid w:val="000D5EAE"/>
    <w:rsid w:val="000D6060"/>
    <w:rsid w:val="000D60AA"/>
    <w:rsid w:val="000D662E"/>
    <w:rsid w:val="000D7993"/>
    <w:rsid w:val="000E08E4"/>
    <w:rsid w:val="000E295A"/>
    <w:rsid w:val="000E2A85"/>
    <w:rsid w:val="000E31F2"/>
    <w:rsid w:val="000E3439"/>
    <w:rsid w:val="000E6A11"/>
    <w:rsid w:val="000E75AF"/>
    <w:rsid w:val="000E77A9"/>
    <w:rsid w:val="000E7FAF"/>
    <w:rsid w:val="000F0757"/>
    <w:rsid w:val="000F35E6"/>
    <w:rsid w:val="000F3F1F"/>
    <w:rsid w:val="000F5872"/>
    <w:rsid w:val="000F7426"/>
    <w:rsid w:val="000F78AB"/>
    <w:rsid w:val="00101F24"/>
    <w:rsid w:val="00102872"/>
    <w:rsid w:val="001031A5"/>
    <w:rsid w:val="00104E03"/>
    <w:rsid w:val="00105394"/>
    <w:rsid w:val="001057FE"/>
    <w:rsid w:val="00105D6D"/>
    <w:rsid w:val="00106BAB"/>
    <w:rsid w:val="001079B5"/>
    <w:rsid w:val="00110A19"/>
    <w:rsid w:val="00111AA8"/>
    <w:rsid w:val="00112834"/>
    <w:rsid w:val="00113C55"/>
    <w:rsid w:val="001140F7"/>
    <w:rsid w:val="001143AB"/>
    <w:rsid w:val="00114B2D"/>
    <w:rsid w:val="00115E35"/>
    <w:rsid w:val="00117083"/>
    <w:rsid w:val="00117429"/>
    <w:rsid w:val="00117F33"/>
    <w:rsid w:val="00121494"/>
    <w:rsid w:val="00121A69"/>
    <w:rsid w:val="00124265"/>
    <w:rsid w:val="00125980"/>
    <w:rsid w:val="001272CD"/>
    <w:rsid w:val="00127CD5"/>
    <w:rsid w:val="001300CD"/>
    <w:rsid w:val="00130679"/>
    <w:rsid w:val="001317E0"/>
    <w:rsid w:val="001320AA"/>
    <w:rsid w:val="001336AF"/>
    <w:rsid w:val="001337CB"/>
    <w:rsid w:val="00134B2C"/>
    <w:rsid w:val="00136E9D"/>
    <w:rsid w:val="00140108"/>
    <w:rsid w:val="00140329"/>
    <w:rsid w:val="001403A7"/>
    <w:rsid w:val="00142280"/>
    <w:rsid w:val="00142CF0"/>
    <w:rsid w:val="00143524"/>
    <w:rsid w:val="00145BF8"/>
    <w:rsid w:val="00145E25"/>
    <w:rsid w:val="00146288"/>
    <w:rsid w:val="00147582"/>
    <w:rsid w:val="00150B96"/>
    <w:rsid w:val="001522C7"/>
    <w:rsid w:val="001546A0"/>
    <w:rsid w:val="0015537E"/>
    <w:rsid w:val="00155A3E"/>
    <w:rsid w:val="00157482"/>
    <w:rsid w:val="00160571"/>
    <w:rsid w:val="001619BF"/>
    <w:rsid w:val="00162ABB"/>
    <w:rsid w:val="001659DF"/>
    <w:rsid w:val="00165F9F"/>
    <w:rsid w:val="0016607B"/>
    <w:rsid w:val="00166309"/>
    <w:rsid w:val="00167A24"/>
    <w:rsid w:val="001707FF"/>
    <w:rsid w:val="0017294E"/>
    <w:rsid w:val="001732A0"/>
    <w:rsid w:val="001740B8"/>
    <w:rsid w:val="001749FB"/>
    <w:rsid w:val="00174C3B"/>
    <w:rsid w:val="00176E2D"/>
    <w:rsid w:val="001779E1"/>
    <w:rsid w:val="00180C36"/>
    <w:rsid w:val="001812EE"/>
    <w:rsid w:val="0018257B"/>
    <w:rsid w:val="00184396"/>
    <w:rsid w:val="00184B0A"/>
    <w:rsid w:val="00185EC8"/>
    <w:rsid w:val="0018639C"/>
    <w:rsid w:val="00187120"/>
    <w:rsid w:val="00187867"/>
    <w:rsid w:val="00187BCC"/>
    <w:rsid w:val="001947D9"/>
    <w:rsid w:val="0019508D"/>
    <w:rsid w:val="00195AA5"/>
    <w:rsid w:val="00197176"/>
    <w:rsid w:val="001972A8"/>
    <w:rsid w:val="001972EE"/>
    <w:rsid w:val="001A1E27"/>
    <w:rsid w:val="001A3B14"/>
    <w:rsid w:val="001B1903"/>
    <w:rsid w:val="001B192D"/>
    <w:rsid w:val="001B27BC"/>
    <w:rsid w:val="001B3796"/>
    <w:rsid w:val="001B38BC"/>
    <w:rsid w:val="001B4F3B"/>
    <w:rsid w:val="001B6090"/>
    <w:rsid w:val="001B65F4"/>
    <w:rsid w:val="001C0FD7"/>
    <w:rsid w:val="001C1E1E"/>
    <w:rsid w:val="001C2745"/>
    <w:rsid w:val="001C45C3"/>
    <w:rsid w:val="001C4ADE"/>
    <w:rsid w:val="001C544E"/>
    <w:rsid w:val="001C6644"/>
    <w:rsid w:val="001C6989"/>
    <w:rsid w:val="001D0FAD"/>
    <w:rsid w:val="001D29BA"/>
    <w:rsid w:val="001D3565"/>
    <w:rsid w:val="001D3890"/>
    <w:rsid w:val="001D3B11"/>
    <w:rsid w:val="001D3CDB"/>
    <w:rsid w:val="001E009E"/>
    <w:rsid w:val="001E103D"/>
    <w:rsid w:val="001E4D7D"/>
    <w:rsid w:val="001E5210"/>
    <w:rsid w:val="001E6667"/>
    <w:rsid w:val="001E69D7"/>
    <w:rsid w:val="001E7359"/>
    <w:rsid w:val="001F09AC"/>
    <w:rsid w:val="001F0E7A"/>
    <w:rsid w:val="001F16D0"/>
    <w:rsid w:val="001F207B"/>
    <w:rsid w:val="001F24AD"/>
    <w:rsid w:val="001F2F0B"/>
    <w:rsid w:val="001F31AE"/>
    <w:rsid w:val="001F3528"/>
    <w:rsid w:val="001F55C3"/>
    <w:rsid w:val="001F686A"/>
    <w:rsid w:val="001F6D60"/>
    <w:rsid w:val="001F6F61"/>
    <w:rsid w:val="001F73ED"/>
    <w:rsid w:val="0020005B"/>
    <w:rsid w:val="00200874"/>
    <w:rsid w:val="00200A0E"/>
    <w:rsid w:val="00200BFF"/>
    <w:rsid w:val="002019A8"/>
    <w:rsid w:val="00201A86"/>
    <w:rsid w:val="00202432"/>
    <w:rsid w:val="00202629"/>
    <w:rsid w:val="00202A21"/>
    <w:rsid w:val="00204E2C"/>
    <w:rsid w:val="002054BF"/>
    <w:rsid w:val="002062CC"/>
    <w:rsid w:val="00206A17"/>
    <w:rsid w:val="00207090"/>
    <w:rsid w:val="00207D96"/>
    <w:rsid w:val="0021054D"/>
    <w:rsid w:val="00211E7A"/>
    <w:rsid w:val="00212C63"/>
    <w:rsid w:val="00214729"/>
    <w:rsid w:val="00215E2E"/>
    <w:rsid w:val="002200D4"/>
    <w:rsid w:val="0022099F"/>
    <w:rsid w:val="002217A8"/>
    <w:rsid w:val="00222192"/>
    <w:rsid w:val="002226B2"/>
    <w:rsid w:val="00222F7C"/>
    <w:rsid w:val="002239C4"/>
    <w:rsid w:val="002260A4"/>
    <w:rsid w:val="0022671F"/>
    <w:rsid w:val="00226B1A"/>
    <w:rsid w:val="002310B4"/>
    <w:rsid w:val="00233BF7"/>
    <w:rsid w:val="00234172"/>
    <w:rsid w:val="00235F64"/>
    <w:rsid w:val="00236BFD"/>
    <w:rsid w:val="0023702A"/>
    <w:rsid w:val="00237676"/>
    <w:rsid w:val="00240547"/>
    <w:rsid w:val="002405B5"/>
    <w:rsid w:val="00244A27"/>
    <w:rsid w:val="00246536"/>
    <w:rsid w:val="00247682"/>
    <w:rsid w:val="00250DDA"/>
    <w:rsid w:val="002510A5"/>
    <w:rsid w:val="00252FC8"/>
    <w:rsid w:val="0025319C"/>
    <w:rsid w:val="0025387F"/>
    <w:rsid w:val="00255D9E"/>
    <w:rsid w:val="00255F46"/>
    <w:rsid w:val="00256FC2"/>
    <w:rsid w:val="0025727D"/>
    <w:rsid w:val="00260512"/>
    <w:rsid w:val="00260975"/>
    <w:rsid w:val="00260A93"/>
    <w:rsid w:val="00262F73"/>
    <w:rsid w:val="00263B53"/>
    <w:rsid w:val="00263C6C"/>
    <w:rsid w:val="00265C59"/>
    <w:rsid w:val="00265DDC"/>
    <w:rsid w:val="00267BAB"/>
    <w:rsid w:val="002707B4"/>
    <w:rsid w:val="00270EC0"/>
    <w:rsid w:val="00272576"/>
    <w:rsid w:val="002745AF"/>
    <w:rsid w:val="00276A2C"/>
    <w:rsid w:val="00277832"/>
    <w:rsid w:val="002805AC"/>
    <w:rsid w:val="0028135E"/>
    <w:rsid w:val="002814B7"/>
    <w:rsid w:val="00282200"/>
    <w:rsid w:val="00282233"/>
    <w:rsid w:val="002849B0"/>
    <w:rsid w:val="00284AE8"/>
    <w:rsid w:val="002856E9"/>
    <w:rsid w:val="002859D1"/>
    <w:rsid w:val="00285F8C"/>
    <w:rsid w:val="00287F1E"/>
    <w:rsid w:val="00290FF3"/>
    <w:rsid w:val="002958AB"/>
    <w:rsid w:val="00295CB4"/>
    <w:rsid w:val="0029694D"/>
    <w:rsid w:val="002A08A2"/>
    <w:rsid w:val="002A0AE4"/>
    <w:rsid w:val="002A1122"/>
    <w:rsid w:val="002A4C7E"/>
    <w:rsid w:val="002A78C2"/>
    <w:rsid w:val="002B1D1C"/>
    <w:rsid w:val="002B3841"/>
    <w:rsid w:val="002B427F"/>
    <w:rsid w:val="002B4714"/>
    <w:rsid w:val="002B47EB"/>
    <w:rsid w:val="002B6C83"/>
    <w:rsid w:val="002B6FAA"/>
    <w:rsid w:val="002B70A2"/>
    <w:rsid w:val="002B7556"/>
    <w:rsid w:val="002C0C28"/>
    <w:rsid w:val="002C2828"/>
    <w:rsid w:val="002C296F"/>
    <w:rsid w:val="002C2D8E"/>
    <w:rsid w:val="002C3CF8"/>
    <w:rsid w:val="002C49C4"/>
    <w:rsid w:val="002C623E"/>
    <w:rsid w:val="002C6BC6"/>
    <w:rsid w:val="002C723C"/>
    <w:rsid w:val="002C7468"/>
    <w:rsid w:val="002D05DD"/>
    <w:rsid w:val="002D147E"/>
    <w:rsid w:val="002D3257"/>
    <w:rsid w:val="002D5988"/>
    <w:rsid w:val="002D71CD"/>
    <w:rsid w:val="002D7C30"/>
    <w:rsid w:val="002E0282"/>
    <w:rsid w:val="002E0345"/>
    <w:rsid w:val="002E1A65"/>
    <w:rsid w:val="002E2058"/>
    <w:rsid w:val="002E2E44"/>
    <w:rsid w:val="002E4D1E"/>
    <w:rsid w:val="002E636E"/>
    <w:rsid w:val="002E6538"/>
    <w:rsid w:val="002E67CA"/>
    <w:rsid w:val="002E6AEF"/>
    <w:rsid w:val="002E7C0D"/>
    <w:rsid w:val="002F117D"/>
    <w:rsid w:val="002F19BF"/>
    <w:rsid w:val="002F36C1"/>
    <w:rsid w:val="002F3BFC"/>
    <w:rsid w:val="002F3DBB"/>
    <w:rsid w:val="002F4BBB"/>
    <w:rsid w:val="00300EAA"/>
    <w:rsid w:val="003017BA"/>
    <w:rsid w:val="00302211"/>
    <w:rsid w:val="00302DE7"/>
    <w:rsid w:val="0030460B"/>
    <w:rsid w:val="00304BF6"/>
    <w:rsid w:val="00307A5C"/>
    <w:rsid w:val="0031015B"/>
    <w:rsid w:val="00313307"/>
    <w:rsid w:val="0031348C"/>
    <w:rsid w:val="003140AD"/>
    <w:rsid w:val="00320E9E"/>
    <w:rsid w:val="00323A18"/>
    <w:rsid w:val="00326247"/>
    <w:rsid w:val="00326584"/>
    <w:rsid w:val="00327C01"/>
    <w:rsid w:val="003304AB"/>
    <w:rsid w:val="003313F1"/>
    <w:rsid w:val="003317DD"/>
    <w:rsid w:val="00331A8F"/>
    <w:rsid w:val="00331E14"/>
    <w:rsid w:val="00335CBD"/>
    <w:rsid w:val="00336E88"/>
    <w:rsid w:val="0033722E"/>
    <w:rsid w:val="003375DA"/>
    <w:rsid w:val="003376CF"/>
    <w:rsid w:val="003408D2"/>
    <w:rsid w:val="00340AC6"/>
    <w:rsid w:val="003414C9"/>
    <w:rsid w:val="00342812"/>
    <w:rsid w:val="003443F7"/>
    <w:rsid w:val="0034575F"/>
    <w:rsid w:val="0034761C"/>
    <w:rsid w:val="0035219A"/>
    <w:rsid w:val="00352B34"/>
    <w:rsid w:val="00355667"/>
    <w:rsid w:val="00357BEC"/>
    <w:rsid w:val="003612AE"/>
    <w:rsid w:val="003617C1"/>
    <w:rsid w:val="003617F7"/>
    <w:rsid w:val="00362E41"/>
    <w:rsid w:val="0036365C"/>
    <w:rsid w:val="00365EEA"/>
    <w:rsid w:val="00367F43"/>
    <w:rsid w:val="00371CD7"/>
    <w:rsid w:val="00373F50"/>
    <w:rsid w:val="00380ADE"/>
    <w:rsid w:val="00381A6B"/>
    <w:rsid w:val="00381ACD"/>
    <w:rsid w:val="00382D2D"/>
    <w:rsid w:val="00384FA5"/>
    <w:rsid w:val="003852AF"/>
    <w:rsid w:val="00386563"/>
    <w:rsid w:val="003868A2"/>
    <w:rsid w:val="00391F0A"/>
    <w:rsid w:val="0039358B"/>
    <w:rsid w:val="00393967"/>
    <w:rsid w:val="00393D47"/>
    <w:rsid w:val="00394442"/>
    <w:rsid w:val="00396229"/>
    <w:rsid w:val="003968BB"/>
    <w:rsid w:val="00396979"/>
    <w:rsid w:val="00397639"/>
    <w:rsid w:val="003A1E95"/>
    <w:rsid w:val="003A34A3"/>
    <w:rsid w:val="003A5934"/>
    <w:rsid w:val="003A5F04"/>
    <w:rsid w:val="003B06BB"/>
    <w:rsid w:val="003B0995"/>
    <w:rsid w:val="003B343D"/>
    <w:rsid w:val="003B39DA"/>
    <w:rsid w:val="003B58E1"/>
    <w:rsid w:val="003B5EBC"/>
    <w:rsid w:val="003B6941"/>
    <w:rsid w:val="003B7098"/>
    <w:rsid w:val="003B73A8"/>
    <w:rsid w:val="003C0A32"/>
    <w:rsid w:val="003C37E6"/>
    <w:rsid w:val="003D1D7B"/>
    <w:rsid w:val="003D1F6D"/>
    <w:rsid w:val="003D26E4"/>
    <w:rsid w:val="003D283C"/>
    <w:rsid w:val="003D68AB"/>
    <w:rsid w:val="003D70CC"/>
    <w:rsid w:val="003E1139"/>
    <w:rsid w:val="003E477D"/>
    <w:rsid w:val="003E55CF"/>
    <w:rsid w:val="003E5F57"/>
    <w:rsid w:val="003E61E6"/>
    <w:rsid w:val="003E7DA4"/>
    <w:rsid w:val="003F112E"/>
    <w:rsid w:val="003F3B54"/>
    <w:rsid w:val="003F3FD5"/>
    <w:rsid w:val="003F40F1"/>
    <w:rsid w:val="003F6337"/>
    <w:rsid w:val="003F6779"/>
    <w:rsid w:val="003F73BE"/>
    <w:rsid w:val="00400D4C"/>
    <w:rsid w:val="00400E63"/>
    <w:rsid w:val="00401415"/>
    <w:rsid w:val="00401D51"/>
    <w:rsid w:val="004027A1"/>
    <w:rsid w:val="00403772"/>
    <w:rsid w:val="00405A8E"/>
    <w:rsid w:val="00405AB6"/>
    <w:rsid w:val="00405ACD"/>
    <w:rsid w:val="0040671E"/>
    <w:rsid w:val="0040697C"/>
    <w:rsid w:val="00406E8B"/>
    <w:rsid w:val="00406F20"/>
    <w:rsid w:val="00410301"/>
    <w:rsid w:val="00410C16"/>
    <w:rsid w:val="004111A7"/>
    <w:rsid w:val="00412843"/>
    <w:rsid w:val="00413C1A"/>
    <w:rsid w:val="0041599F"/>
    <w:rsid w:val="00416CC0"/>
    <w:rsid w:val="00420E56"/>
    <w:rsid w:val="004210A7"/>
    <w:rsid w:val="0042183C"/>
    <w:rsid w:val="00423C55"/>
    <w:rsid w:val="00425329"/>
    <w:rsid w:val="0042600E"/>
    <w:rsid w:val="004277D3"/>
    <w:rsid w:val="004312AA"/>
    <w:rsid w:val="0043137B"/>
    <w:rsid w:val="004327D5"/>
    <w:rsid w:val="00437F28"/>
    <w:rsid w:val="00440983"/>
    <w:rsid w:val="00441436"/>
    <w:rsid w:val="00442122"/>
    <w:rsid w:val="004444F4"/>
    <w:rsid w:val="00444736"/>
    <w:rsid w:val="0044698E"/>
    <w:rsid w:val="004548B2"/>
    <w:rsid w:val="00454DCA"/>
    <w:rsid w:val="00455C96"/>
    <w:rsid w:val="00455E34"/>
    <w:rsid w:val="004573C3"/>
    <w:rsid w:val="004579EF"/>
    <w:rsid w:val="00457E7E"/>
    <w:rsid w:val="004614D8"/>
    <w:rsid w:val="004622FE"/>
    <w:rsid w:val="00462C4B"/>
    <w:rsid w:val="00462EC6"/>
    <w:rsid w:val="00464DD5"/>
    <w:rsid w:val="004655B4"/>
    <w:rsid w:val="00467A42"/>
    <w:rsid w:val="00467EFD"/>
    <w:rsid w:val="004710E5"/>
    <w:rsid w:val="00472730"/>
    <w:rsid w:val="00473BEB"/>
    <w:rsid w:val="0047421D"/>
    <w:rsid w:val="00474AFB"/>
    <w:rsid w:val="00474E11"/>
    <w:rsid w:val="004814B8"/>
    <w:rsid w:val="004819E0"/>
    <w:rsid w:val="00481C7C"/>
    <w:rsid w:val="00482719"/>
    <w:rsid w:val="00485FCD"/>
    <w:rsid w:val="004873E0"/>
    <w:rsid w:val="00487BF3"/>
    <w:rsid w:val="00492319"/>
    <w:rsid w:val="004948F1"/>
    <w:rsid w:val="004958E8"/>
    <w:rsid w:val="004966FA"/>
    <w:rsid w:val="004A14B7"/>
    <w:rsid w:val="004A1FF3"/>
    <w:rsid w:val="004A2D6C"/>
    <w:rsid w:val="004A4FC3"/>
    <w:rsid w:val="004A7002"/>
    <w:rsid w:val="004B0A2E"/>
    <w:rsid w:val="004B46F8"/>
    <w:rsid w:val="004B4D06"/>
    <w:rsid w:val="004B516B"/>
    <w:rsid w:val="004B5FC6"/>
    <w:rsid w:val="004B621F"/>
    <w:rsid w:val="004B7638"/>
    <w:rsid w:val="004C02C3"/>
    <w:rsid w:val="004C0C4C"/>
    <w:rsid w:val="004C0C4E"/>
    <w:rsid w:val="004C1C7B"/>
    <w:rsid w:val="004C4286"/>
    <w:rsid w:val="004C7EEF"/>
    <w:rsid w:val="004D06CC"/>
    <w:rsid w:val="004D1017"/>
    <w:rsid w:val="004D1697"/>
    <w:rsid w:val="004D2893"/>
    <w:rsid w:val="004D3CA1"/>
    <w:rsid w:val="004D6774"/>
    <w:rsid w:val="004D76AF"/>
    <w:rsid w:val="004D77B7"/>
    <w:rsid w:val="004E0473"/>
    <w:rsid w:val="004E2188"/>
    <w:rsid w:val="004E2191"/>
    <w:rsid w:val="004E2518"/>
    <w:rsid w:val="004E4354"/>
    <w:rsid w:val="004E474C"/>
    <w:rsid w:val="004E4EAE"/>
    <w:rsid w:val="004E538C"/>
    <w:rsid w:val="004E5D81"/>
    <w:rsid w:val="004E6276"/>
    <w:rsid w:val="004E71B1"/>
    <w:rsid w:val="004F0E53"/>
    <w:rsid w:val="004F1CE5"/>
    <w:rsid w:val="004F359E"/>
    <w:rsid w:val="004F3A43"/>
    <w:rsid w:val="004F5172"/>
    <w:rsid w:val="004F6E9B"/>
    <w:rsid w:val="0050002E"/>
    <w:rsid w:val="00500AB2"/>
    <w:rsid w:val="005046FC"/>
    <w:rsid w:val="0050691B"/>
    <w:rsid w:val="005071D2"/>
    <w:rsid w:val="00507BD0"/>
    <w:rsid w:val="00507FAC"/>
    <w:rsid w:val="00510858"/>
    <w:rsid w:val="005115AD"/>
    <w:rsid w:val="00512274"/>
    <w:rsid w:val="005127B0"/>
    <w:rsid w:val="00512938"/>
    <w:rsid w:val="005135F8"/>
    <w:rsid w:val="00515727"/>
    <w:rsid w:val="00516CD1"/>
    <w:rsid w:val="00520324"/>
    <w:rsid w:val="00520422"/>
    <w:rsid w:val="00522EB7"/>
    <w:rsid w:val="00523159"/>
    <w:rsid w:val="00526B4B"/>
    <w:rsid w:val="00526C95"/>
    <w:rsid w:val="00526CED"/>
    <w:rsid w:val="00530A3F"/>
    <w:rsid w:val="00531CAB"/>
    <w:rsid w:val="005321E8"/>
    <w:rsid w:val="00532C47"/>
    <w:rsid w:val="00533E62"/>
    <w:rsid w:val="00535322"/>
    <w:rsid w:val="00535F80"/>
    <w:rsid w:val="005367AD"/>
    <w:rsid w:val="00536C1E"/>
    <w:rsid w:val="00537123"/>
    <w:rsid w:val="0053730A"/>
    <w:rsid w:val="005400F7"/>
    <w:rsid w:val="0054109B"/>
    <w:rsid w:val="00541114"/>
    <w:rsid w:val="00543E49"/>
    <w:rsid w:val="005445AA"/>
    <w:rsid w:val="00544A78"/>
    <w:rsid w:val="0054792F"/>
    <w:rsid w:val="0055192D"/>
    <w:rsid w:val="00553FFC"/>
    <w:rsid w:val="00554A3C"/>
    <w:rsid w:val="0055611D"/>
    <w:rsid w:val="0055713D"/>
    <w:rsid w:val="005579E5"/>
    <w:rsid w:val="00560126"/>
    <w:rsid w:val="0056014D"/>
    <w:rsid w:val="005606BE"/>
    <w:rsid w:val="00560712"/>
    <w:rsid w:val="00563CCC"/>
    <w:rsid w:val="00566297"/>
    <w:rsid w:val="0056755C"/>
    <w:rsid w:val="0057171D"/>
    <w:rsid w:val="00573771"/>
    <w:rsid w:val="00573B46"/>
    <w:rsid w:val="005749CB"/>
    <w:rsid w:val="00581616"/>
    <w:rsid w:val="00585880"/>
    <w:rsid w:val="00587DA5"/>
    <w:rsid w:val="00590F2C"/>
    <w:rsid w:val="00592C23"/>
    <w:rsid w:val="00593ED2"/>
    <w:rsid w:val="005960C7"/>
    <w:rsid w:val="00596676"/>
    <w:rsid w:val="00596ABB"/>
    <w:rsid w:val="00596C38"/>
    <w:rsid w:val="00597FA1"/>
    <w:rsid w:val="005A09F8"/>
    <w:rsid w:val="005A285C"/>
    <w:rsid w:val="005A2A92"/>
    <w:rsid w:val="005A3DEC"/>
    <w:rsid w:val="005A3E64"/>
    <w:rsid w:val="005A6476"/>
    <w:rsid w:val="005A6DC8"/>
    <w:rsid w:val="005A6E06"/>
    <w:rsid w:val="005A7496"/>
    <w:rsid w:val="005B05AE"/>
    <w:rsid w:val="005B411B"/>
    <w:rsid w:val="005B6B79"/>
    <w:rsid w:val="005C1785"/>
    <w:rsid w:val="005C2B7B"/>
    <w:rsid w:val="005C4F96"/>
    <w:rsid w:val="005C5079"/>
    <w:rsid w:val="005C7435"/>
    <w:rsid w:val="005D00DD"/>
    <w:rsid w:val="005D058B"/>
    <w:rsid w:val="005D233D"/>
    <w:rsid w:val="005D3E6F"/>
    <w:rsid w:val="005D3F63"/>
    <w:rsid w:val="005D4AFB"/>
    <w:rsid w:val="005D4D14"/>
    <w:rsid w:val="005E1A90"/>
    <w:rsid w:val="005E2277"/>
    <w:rsid w:val="005E2662"/>
    <w:rsid w:val="005E3248"/>
    <w:rsid w:val="005E4165"/>
    <w:rsid w:val="005E45C1"/>
    <w:rsid w:val="005E4B2F"/>
    <w:rsid w:val="005E502F"/>
    <w:rsid w:val="005E5620"/>
    <w:rsid w:val="005E5826"/>
    <w:rsid w:val="005E6A65"/>
    <w:rsid w:val="005E73A7"/>
    <w:rsid w:val="005E75D2"/>
    <w:rsid w:val="005E78BC"/>
    <w:rsid w:val="005F40B8"/>
    <w:rsid w:val="005F443B"/>
    <w:rsid w:val="005F4991"/>
    <w:rsid w:val="005F49BE"/>
    <w:rsid w:val="005F61E1"/>
    <w:rsid w:val="005F62D5"/>
    <w:rsid w:val="005F6711"/>
    <w:rsid w:val="0060440C"/>
    <w:rsid w:val="00604AFB"/>
    <w:rsid w:val="00605168"/>
    <w:rsid w:val="006109C5"/>
    <w:rsid w:val="00611079"/>
    <w:rsid w:val="006111A8"/>
    <w:rsid w:val="00611D7E"/>
    <w:rsid w:val="006125A4"/>
    <w:rsid w:val="00612858"/>
    <w:rsid w:val="00612FBB"/>
    <w:rsid w:val="00615F9C"/>
    <w:rsid w:val="0061634F"/>
    <w:rsid w:val="006174A9"/>
    <w:rsid w:val="00620788"/>
    <w:rsid w:val="00620CCB"/>
    <w:rsid w:val="00621B7A"/>
    <w:rsid w:val="00621E56"/>
    <w:rsid w:val="0062381F"/>
    <w:rsid w:val="00623946"/>
    <w:rsid w:val="00624433"/>
    <w:rsid w:val="006248BB"/>
    <w:rsid w:val="00625329"/>
    <w:rsid w:val="00625AA1"/>
    <w:rsid w:val="0062666A"/>
    <w:rsid w:val="00626EF4"/>
    <w:rsid w:val="00630445"/>
    <w:rsid w:val="00632B7F"/>
    <w:rsid w:val="00632FCD"/>
    <w:rsid w:val="00633175"/>
    <w:rsid w:val="00634271"/>
    <w:rsid w:val="00636827"/>
    <w:rsid w:val="00637367"/>
    <w:rsid w:val="006400B9"/>
    <w:rsid w:val="006422DE"/>
    <w:rsid w:val="00644D0B"/>
    <w:rsid w:val="00644FA0"/>
    <w:rsid w:val="00650223"/>
    <w:rsid w:val="0065380E"/>
    <w:rsid w:val="00654220"/>
    <w:rsid w:val="00654614"/>
    <w:rsid w:val="00654C59"/>
    <w:rsid w:val="0065536E"/>
    <w:rsid w:val="00655D79"/>
    <w:rsid w:val="00657E99"/>
    <w:rsid w:val="00661799"/>
    <w:rsid w:val="00662025"/>
    <w:rsid w:val="00662235"/>
    <w:rsid w:val="00663921"/>
    <w:rsid w:val="00663FA7"/>
    <w:rsid w:val="00664A4E"/>
    <w:rsid w:val="00666C54"/>
    <w:rsid w:val="00666FDC"/>
    <w:rsid w:val="00667C9D"/>
    <w:rsid w:val="00670930"/>
    <w:rsid w:val="00670B87"/>
    <w:rsid w:val="0067240F"/>
    <w:rsid w:val="00675A96"/>
    <w:rsid w:val="00675EA6"/>
    <w:rsid w:val="0067689D"/>
    <w:rsid w:val="00677C23"/>
    <w:rsid w:val="006807AB"/>
    <w:rsid w:val="00680A60"/>
    <w:rsid w:val="00681064"/>
    <w:rsid w:val="006836BA"/>
    <w:rsid w:val="00683E4F"/>
    <w:rsid w:val="00684542"/>
    <w:rsid w:val="0068514C"/>
    <w:rsid w:val="00686BA9"/>
    <w:rsid w:val="00686E7E"/>
    <w:rsid w:val="00687E83"/>
    <w:rsid w:val="00690B30"/>
    <w:rsid w:val="0069135D"/>
    <w:rsid w:val="00694594"/>
    <w:rsid w:val="006948ED"/>
    <w:rsid w:val="00694CCA"/>
    <w:rsid w:val="00694FE4"/>
    <w:rsid w:val="006951BC"/>
    <w:rsid w:val="00695ED9"/>
    <w:rsid w:val="00697D0A"/>
    <w:rsid w:val="006A1A8E"/>
    <w:rsid w:val="006A2426"/>
    <w:rsid w:val="006A28D8"/>
    <w:rsid w:val="006A461E"/>
    <w:rsid w:val="006A5EEF"/>
    <w:rsid w:val="006B23EF"/>
    <w:rsid w:val="006B2B3F"/>
    <w:rsid w:val="006B35D9"/>
    <w:rsid w:val="006B46CE"/>
    <w:rsid w:val="006B5A04"/>
    <w:rsid w:val="006B662F"/>
    <w:rsid w:val="006B6914"/>
    <w:rsid w:val="006B7CE2"/>
    <w:rsid w:val="006C1089"/>
    <w:rsid w:val="006C1DCD"/>
    <w:rsid w:val="006C367A"/>
    <w:rsid w:val="006C3F5A"/>
    <w:rsid w:val="006C3F70"/>
    <w:rsid w:val="006C5419"/>
    <w:rsid w:val="006C6694"/>
    <w:rsid w:val="006C6D77"/>
    <w:rsid w:val="006D0950"/>
    <w:rsid w:val="006D1430"/>
    <w:rsid w:val="006D2DE6"/>
    <w:rsid w:val="006D38E0"/>
    <w:rsid w:val="006D416C"/>
    <w:rsid w:val="006D5DAE"/>
    <w:rsid w:val="006E0B3F"/>
    <w:rsid w:val="006E232F"/>
    <w:rsid w:val="006E2590"/>
    <w:rsid w:val="006E4135"/>
    <w:rsid w:val="006E72DC"/>
    <w:rsid w:val="006F0BA7"/>
    <w:rsid w:val="006F1B18"/>
    <w:rsid w:val="006F283C"/>
    <w:rsid w:val="006F29F9"/>
    <w:rsid w:val="006F3D26"/>
    <w:rsid w:val="006F429C"/>
    <w:rsid w:val="006F462C"/>
    <w:rsid w:val="006F5526"/>
    <w:rsid w:val="00700AD0"/>
    <w:rsid w:val="007022EA"/>
    <w:rsid w:val="00703888"/>
    <w:rsid w:val="00703E1C"/>
    <w:rsid w:val="007049D6"/>
    <w:rsid w:val="00705B27"/>
    <w:rsid w:val="00706F1A"/>
    <w:rsid w:val="007078BB"/>
    <w:rsid w:val="00707CBA"/>
    <w:rsid w:val="00707CBB"/>
    <w:rsid w:val="00714A6D"/>
    <w:rsid w:val="00715480"/>
    <w:rsid w:val="00716565"/>
    <w:rsid w:val="0071720E"/>
    <w:rsid w:val="00717A87"/>
    <w:rsid w:val="00720D75"/>
    <w:rsid w:val="007213C9"/>
    <w:rsid w:val="00721A3D"/>
    <w:rsid w:val="0072319E"/>
    <w:rsid w:val="007232B2"/>
    <w:rsid w:val="00723E84"/>
    <w:rsid w:val="00724E09"/>
    <w:rsid w:val="0072694C"/>
    <w:rsid w:val="007276CE"/>
    <w:rsid w:val="0072776C"/>
    <w:rsid w:val="00727909"/>
    <w:rsid w:val="007351F2"/>
    <w:rsid w:val="00735DDD"/>
    <w:rsid w:val="00737CFB"/>
    <w:rsid w:val="00737E24"/>
    <w:rsid w:val="00741859"/>
    <w:rsid w:val="00741D1E"/>
    <w:rsid w:val="007421CC"/>
    <w:rsid w:val="00745E19"/>
    <w:rsid w:val="0074747D"/>
    <w:rsid w:val="00750479"/>
    <w:rsid w:val="00750D4E"/>
    <w:rsid w:val="007511E4"/>
    <w:rsid w:val="00751B91"/>
    <w:rsid w:val="00753402"/>
    <w:rsid w:val="0075470B"/>
    <w:rsid w:val="00756D31"/>
    <w:rsid w:val="0076319A"/>
    <w:rsid w:val="00763BD8"/>
    <w:rsid w:val="007650C7"/>
    <w:rsid w:val="007662DE"/>
    <w:rsid w:val="00766B7B"/>
    <w:rsid w:val="00766C76"/>
    <w:rsid w:val="00766D13"/>
    <w:rsid w:val="00767263"/>
    <w:rsid w:val="00767F3C"/>
    <w:rsid w:val="007718C3"/>
    <w:rsid w:val="0077196F"/>
    <w:rsid w:val="00771B4B"/>
    <w:rsid w:val="0077468E"/>
    <w:rsid w:val="0077470A"/>
    <w:rsid w:val="00776DCE"/>
    <w:rsid w:val="00777D56"/>
    <w:rsid w:val="007810A8"/>
    <w:rsid w:val="00781BD9"/>
    <w:rsid w:val="00782E3C"/>
    <w:rsid w:val="00785B35"/>
    <w:rsid w:val="0078746A"/>
    <w:rsid w:val="007914E5"/>
    <w:rsid w:val="0079495B"/>
    <w:rsid w:val="007956DF"/>
    <w:rsid w:val="007A1328"/>
    <w:rsid w:val="007A161D"/>
    <w:rsid w:val="007A28BC"/>
    <w:rsid w:val="007A32FD"/>
    <w:rsid w:val="007A33A0"/>
    <w:rsid w:val="007A36B2"/>
    <w:rsid w:val="007A397B"/>
    <w:rsid w:val="007A4982"/>
    <w:rsid w:val="007A55AE"/>
    <w:rsid w:val="007A5852"/>
    <w:rsid w:val="007A588D"/>
    <w:rsid w:val="007A5C40"/>
    <w:rsid w:val="007A7DAD"/>
    <w:rsid w:val="007B01EB"/>
    <w:rsid w:val="007B0FA7"/>
    <w:rsid w:val="007B13FB"/>
    <w:rsid w:val="007B1E2F"/>
    <w:rsid w:val="007B30D6"/>
    <w:rsid w:val="007B57EF"/>
    <w:rsid w:val="007C020D"/>
    <w:rsid w:val="007C1440"/>
    <w:rsid w:val="007C2E31"/>
    <w:rsid w:val="007C427D"/>
    <w:rsid w:val="007C50A4"/>
    <w:rsid w:val="007C5E6A"/>
    <w:rsid w:val="007C706A"/>
    <w:rsid w:val="007C7EDE"/>
    <w:rsid w:val="007D1726"/>
    <w:rsid w:val="007D1DF4"/>
    <w:rsid w:val="007D1EB3"/>
    <w:rsid w:val="007D34A2"/>
    <w:rsid w:val="007D3DF9"/>
    <w:rsid w:val="007D478A"/>
    <w:rsid w:val="007D596E"/>
    <w:rsid w:val="007E0710"/>
    <w:rsid w:val="007E189C"/>
    <w:rsid w:val="007E30C9"/>
    <w:rsid w:val="007F119B"/>
    <w:rsid w:val="007F1835"/>
    <w:rsid w:val="007F1CBA"/>
    <w:rsid w:val="007F1EBD"/>
    <w:rsid w:val="007F470C"/>
    <w:rsid w:val="007F48DE"/>
    <w:rsid w:val="007F700D"/>
    <w:rsid w:val="00800415"/>
    <w:rsid w:val="008013DD"/>
    <w:rsid w:val="00802002"/>
    <w:rsid w:val="008031AD"/>
    <w:rsid w:val="00804759"/>
    <w:rsid w:val="00805891"/>
    <w:rsid w:val="00805D6C"/>
    <w:rsid w:val="00807171"/>
    <w:rsid w:val="00810847"/>
    <w:rsid w:val="00811F7C"/>
    <w:rsid w:val="008133DB"/>
    <w:rsid w:val="008144C6"/>
    <w:rsid w:val="00816B39"/>
    <w:rsid w:val="00816C36"/>
    <w:rsid w:val="0081781E"/>
    <w:rsid w:val="008208B8"/>
    <w:rsid w:val="00821A9C"/>
    <w:rsid w:val="0082238D"/>
    <w:rsid w:val="00824E77"/>
    <w:rsid w:val="00825D25"/>
    <w:rsid w:val="00832031"/>
    <w:rsid w:val="00833FE7"/>
    <w:rsid w:val="00835CBF"/>
    <w:rsid w:val="00835D62"/>
    <w:rsid w:val="00835E90"/>
    <w:rsid w:val="00837090"/>
    <w:rsid w:val="00841049"/>
    <w:rsid w:val="0084121D"/>
    <w:rsid w:val="00841B7B"/>
    <w:rsid w:val="00841CB0"/>
    <w:rsid w:val="00841F8E"/>
    <w:rsid w:val="00844740"/>
    <w:rsid w:val="00844E95"/>
    <w:rsid w:val="00845269"/>
    <w:rsid w:val="008458B0"/>
    <w:rsid w:val="00845C1A"/>
    <w:rsid w:val="00850461"/>
    <w:rsid w:val="0085115A"/>
    <w:rsid w:val="008530E9"/>
    <w:rsid w:val="00853D8F"/>
    <w:rsid w:val="00856007"/>
    <w:rsid w:val="00856188"/>
    <w:rsid w:val="00856395"/>
    <w:rsid w:val="00856A35"/>
    <w:rsid w:val="00856B23"/>
    <w:rsid w:val="00861926"/>
    <w:rsid w:val="00862521"/>
    <w:rsid w:val="00863052"/>
    <w:rsid w:val="00864103"/>
    <w:rsid w:val="008647F5"/>
    <w:rsid w:val="00865EF0"/>
    <w:rsid w:val="008673DA"/>
    <w:rsid w:val="00867D9C"/>
    <w:rsid w:val="00870E34"/>
    <w:rsid w:val="00870EB6"/>
    <w:rsid w:val="008771B8"/>
    <w:rsid w:val="00882C2C"/>
    <w:rsid w:val="00883DAA"/>
    <w:rsid w:val="0088602F"/>
    <w:rsid w:val="008862FA"/>
    <w:rsid w:val="008869EF"/>
    <w:rsid w:val="008924F5"/>
    <w:rsid w:val="00894A2D"/>
    <w:rsid w:val="00895219"/>
    <w:rsid w:val="00895793"/>
    <w:rsid w:val="0089642C"/>
    <w:rsid w:val="00896617"/>
    <w:rsid w:val="008966E7"/>
    <w:rsid w:val="00896F74"/>
    <w:rsid w:val="008A02FD"/>
    <w:rsid w:val="008A07C8"/>
    <w:rsid w:val="008A3089"/>
    <w:rsid w:val="008A3F41"/>
    <w:rsid w:val="008A4596"/>
    <w:rsid w:val="008A6690"/>
    <w:rsid w:val="008B04D9"/>
    <w:rsid w:val="008B1E65"/>
    <w:rsid w:val="008B5479"/>
    <w:rsid w:val="008B6B07"/>
    <w:rsid w:val="008C0DE5"/>
    <w:rsid w:val="008C0F8E"/>
    <w:rsid w:val="008C0FB5"/>
    <w:rsid w:val="008C17EB"/>
    <w:rsid w:val="008C1F14"/>
    <w:rsid w:val="008C2367"/>
    <w:rsid w:val="008C4874"/>
    <w:rsid w:val="008C5BFE"/>
    <w:rsid w:val="008C7ECD"/>
    <w:rsid w:val="008C7F99"/>
    <w:rsid w:val="008D087D"/>
    <w:rsid w:val="008D0DC4"/>
    <w:rsid w:val="008D17F5"/>
    <w:rsid w:val="008D20E0"/>
    <w:rsid w:val="008D2598"/>
    <w:rsid w:val="008D413F"/>
    <w:rsid w:val="008D4CF5"/>
    <w:rsid w:val="008D5A64"/>
    <w:rsid w:val="008E0075"/>
    <w:rsid w:val="008E0C55"/>
    <w:rsid w:val="008E156F"/>
    <w:rsid w:val="008E1C4E"/>
    <w:rsid w:val="008E2158"/>
    <w:rsid w:val="008E3C8A"/>
    <w:rsid w:val="008E62FD"/>
    <w:rsid w:val="008F00C2"/>
    <w:rsid w:val="008F056F"/>
    <w:rsid w:val="008F1336"/>
    <w:rsid w:val="008F194F"/>
    <w:rsid w:val="008F314C"/>
    <w:rsid w:val="008F376E"/>
    <w:rsid w:val="008F41E8"/>
    <w:rsid w:val="008F5538"/>
    <w:rsid w:val="008F5D5C"/>
    <w:rsid w:val="008F6D40"/>
    <w:rsid w:val="0090070B"/>
    <w:rsid w:val="00900BFD"/>
    <w:rsid w:val="00901C9C"/>
    <w:rsid w:val="00904A0C"/>
    <w:rsid w:val="00904E3A"/>
    <w:rsid w:val="00905728"/>
    <w:rsid w:val="00905832"/>
    <w:rsid w:val="00907E4C"/>
    <w:rsid w:val="009109E1"/>
    <w:rsid w:val="00911317"/>
    <w:rsid w:val="0091466D"/>
    <w:rsid w:val="00914DA6"/>
    <w:rsid w:val="00915D35"/>
    <w:rsid w:val="00916B59"/>
    <w:rsid w:val="00916CDA"/>
    <w:rsid w:val="00916FB9"/>
    <w:rsid w:val="00917086"/>
    <w:rsid w:val="00917B97"/>
    <w:rsid w:val="00923047"/>
    <w:rsid w:val="0092380C"/>
    <w:rsid w:val="009242D5"/>
    <w:rsid w:val="00925EC2"/>
    <w:rsid w:val="00927999"/>
    <w:rsid w:val="009279CD"/>
    <w:rsid w:val="00930B8C"/>
    <w:rsid w:val="00931A69"/>
    <w:rsid w:val="0093202C"/>
    <w:rsid w:val="00933674"/>
    <w:rsid w:val="00933C07"/>
    <w:rsid w:val="00933C9D"/>
    <w:rsid w:val="00934E48"/>
    <w:rsid w:val="00936ADB"/>
    <w:rsid w:val="00936D38"/>
    <w:rsid w:val="00936EB4"/>
    <w:rsid w:val="00936F5E"/>
    <w:rsid w:val="009370A4"/>
    <w:rsid w:val="00940206"/>
    <w:rsid w:val="00940B4F"/>
    <w:rsid w:val="0094210D"/>
    <w:rsid w:val="0094239C"/>
    <w:rsid w:val="0094396E"/>
    <w:rsid w:val="009451B4"/>
    <w:rsid w:val="00946DFA"/>
    <w:rsid w:val="00950083"/>
    <w:rsid w:val="00951AB4"/>
    <w:rsid w:val="009536F5"/>
    <w:rsid w:val="00953BEF"/>
    <w:rsid w:val="00953E64"/>
    <w:rsid w:val="0095766A"/>
    <w:rsid w:val="00957670"/>
    <w:rsid w:val="00960DB3"/>
    <w:rsid w:val="00961A76"/>
    <w:rsid w:val="00961C7A"/>
    <w:rsid w:val="00962A4D"/>
    <w:rsid w:val="009648BB"/>
    <w:rsid w:val="009654CC"/>
    <w:rsid w:val="0096598F"/>
    <w:rsid w:val="009669F9"/>
    <w:rsid w:val="00966B4B"/>
    <w:rsid w:val="00966BF0"/>
    <w:rsid w:val="00966DAD"/>
    <w:rsid w:val="009679C8"/>
    <w:rsid w:val="00967EA7"/>
    <w:rsid w:val="009714C5"/>
    <w:rsid w:val="00971BED"/>
    <w:rsid w:val="00973AFE"/>
    <w:rsid w:val="0097468C"/>
    <w:rsid w:val="009748B6"/>
    <w:rsid w:val="00976EFA"/>
    <w:rsid w:val="009772E6"/>
    <w:rsid w:val="00980AA0"/>
    <w:rsid w:val="00981C08"/>
    <w:rsid w:val="00982B67"/>
    <w:rsid w:val="00984D10"/>
    <w:rsid w:val="00985963"/>
    <w:rsid w:val="009859B4"/>
    <w:rsid w:val="00987856"/>
    <w:rsid w:val="0099251D"/>
    <w:rsid w:val="0099403D"/>
    <w:rsid w:val="00995E26"/>
    <w:rsid w:val="00996D3F"/>
    <w:rsid w:val="00997242"/>
    <w:rsid w:val="009A098A"/>
    <w:rsid w:val="009A245D"/>
    <w:rsid w:val="009A2DD6"/>
    <w:rsid w:val="009A5EC2"/>
    <w:rsid w:val="009A68B2"/>
    <w:rsid w:val="009A71A2"/>
    <w:rsid w:val="009A723A"/>
    <w:rsid w:val="009A7DCD"/>
    <w:rsid w:val="009B1390"/>
    <w:rsid w:val="009B1929"/>
    <w:rsid w:val="009B1AE3"/>
    <w:rsid w:val="009B1F3C"/>
    <w:rsid w:val="009B5B8D"/>
    <w:rsid w:val="009C02CA"/>
    <w:rsid w:val="009C0A6B"/>
    <w:rsid w:val="009C1F39"/>
    <w:rsid w:val="009C6563"/>
    <w:rsid w:val="009C694F"/>
    <w:rsid w:val="009C737E"/>
    <w:rsid w:val="009C7B8B"/>
    <w:rsid w:val="009C7E3A"/>
    <w:rsid w:val="009D0121"/>
    <w:rsid w:val="009D2488"/>
    <w:rsid w:val="009D332A"/>
    <w:rsid w:val="009D370B"/>
    <w:rsid w:val="009D375B"/>
    <w:rsid w:val="009D5600"/>
    <w:rsid w:val="009D6043"/>
    <w:rsid w:val="009E2655"/>
    <w:rsid w:val="009E43E2"/>
    <w:rsid w:val="009E4C04"/>
    <w:rsid w:val="009E6857"/>
    <w:rsid w:val="009F14DB"/>
    <w:rsid w:val="009F30B0"/>
    <w:rsid w:val="009F418F"/>
    <w:rsid w:val="009F4843"/>
    <w:rsid w:val="009F680D"/>
    <w:rsid w:val="009F6921"/>
    <w:rsid w:val="00A017F1"/>
    <w:rsid w:val="00A02672"/>
    <w:rsid w:val="00A0379A"/>
    <w:rsid w:val="00A04690"/>
    <w:rsid w:val="00A07192"/>
    <w:rsid w:val="00A1033B"/>
    <w:rsid w:val="00A1595C"/>
    <w:rsid w:val="00A15A00"/>
    <w:rsid w:val="00A160BF"/>
    <w:rsid w:val="00A22882"/>
    <w:rsid w:val="00A22A91"/>
    <w:rsid w:val="00A22F98"/>
    <w:rsid w:val="00A23379"/>
    <w:rsid w:val="00A24A62"/>
    <w:rsid w:val="00A25965"/>
    <w:rsid w:val="00A264CC"/>
    <w:rsid w:val="00A32852"/>
    <w:rsid w:val="00A32C97"/>
    <w:rsid w:val="00A33166"/>
    <w:rsid w:val="00A333A9"/>
    <w:rsid w:val="00A3722D"/>
    <w:rsid w:val="00A378BB"/>
    <w:rsid w:val="00A41780"/>
    <w:rsid w:val="00A41C27"/>
    <w:rsid w:val="00A42B56"/>
    <w:rsid w:val="00A42D65"/>
    <w:rsid w:val="00A43927"/>
    <w:rsid w:val="00A43A5A"/>
    <w:rsid w:val="00A44E56"/>
    <w:rsid w:val="00A456D0"/>
    <w:rsid w:val="00A46693"/>
    <w:rsid w:val="00A46A90"/>
    <w:rsid w:val="00A47E33"/>
    <w:rsid w:val="00A47F00"/>
    <w:rsid w:val="00A50100"/>
    <w:rsid w:val="00A53516"/>
    <w:rsid w:val="00A54070"/>
    <w:rsid w:val="00A56477"/>
    <w:rsid w:val="00A56786"/>
    <w:rsid w:val="00A56988"/>
    <w:rsid w:val="00A57181"/>
    <w:rsid w:val="00A57853"/>
    <w:rsid w:val="00A57AF7"/>
    <w:rsid w:val="00A57BFA"/>
    <w:rsid w:val="00A627EE"/>
    <w:rsid w:val="00A62E4E"/>
    <w:rsid w:val="00A6493B"/>
    <w:rsid w:val="00A64EFA"/>
    <w:rsid w:val="00A66B48"/>
    <w:rsid w:val="00A6705F"/>
    <w:rsid w:val="00A70277"/>
    <w:rsid w:val="00A70994"/>
    <w:rsid w:val="00A70BB9"/>
    <w:rsid w:val="00A72526"/>
    <w:rsid w:val="00A73475"/>
    <w:rsid w:val="00A734E0"/>
    <w:rsid w:val="00A74F28"/>
    <w:rsid w:val="00A775EC"/>
    <w:rsid w:val="00A77CF1"/>
    <w:rsid w:val="00A8024E"/>
    <w:rsid w:val="00A824CC"/>
    <w:rsid w:val="00A8371B"/>
    <w:rsid w:val="00A84F87"/>
    <w:rsid w:val="00A850F6"/>
    <w:rsid w:val="00A851FD"/>
    <w:rsid w:val="00A859CE"/>
    <w:rsid w:val="00A872C4"/>
    <w:rsid w:val="00A90685"/>
    <w:rsid w:val="00A90756"/>
    <w:rsid w:val="00A9367C"/>
    <w:rsid w:val="00A93D7E"/>
    <w:rsid w:val="00A95A40"/>
    <w:rsid w:val="00A95DC8"/>
    <w:rsid w:val="00A96E02"/>
    <w:rsid w:val="00A97790"/>
    <w:rsid w:val="00A978DF"/>
    <w:rsid w:val="00A97AAD"/>
    <w:rsid w:val="00A97E0F"/>
    <w:rsid w:val="00AA084E"/>
    <w:rsid w:val="00AA273D"/>
    <w:rsid w:val="00AA2EDA"/>
    <w:rsid w:val="00AA59B3"/>
    <w:rsid w:val="00AA60E1"/>
    <w:rsid w:val="00AB0B83"/>
    <w:rsid w:val="00AB150F"/>
    <w:rsid w:val="00AB17D8"/>
    <w:rsid w:val="00AB1CD8"/>
    <w:rsid w:val="00AB1D2E"/>
    <w:rsid w:val="00AB76D0"/>
    <w:rsid w:val="00AB7BAF"/>
    <w:rsid w:val="00AC0F91"/>
    <w:rsid w:val="00AC40AA"/>
    <w:rsid w:val="00AC5B32"/>
    <w:rsid w:val="00AD0A06"/>
    <w:rsid w:val="00AD77B9"/>
    <w:rsid w:val="00AD787B"/>
    <w:rsid w:val="00AE0481"/>
    <w:rsid w:val="00AE1CAD"/>
    <w:rsid w:val="00AE21FF"/>
    <w:rsid w:val="00AE3648"/>
    <w:rsid w:val="00AE3EFF"/>
    <w:rsid w:val="00AE407F"/>
    <w:rsid w:val="00AE4105"/>
    <w:rsid w:val="00AE63FA"/>
    <w:rsid w:val="00AE6482"/>
    <w:rsid w:val="00AE737C"/>
    <w:rsid w:val="00AE7BC6"/>
    <w:rsid w:val="00AF0739"/>
    <w:rsid w:val="00AF4512"/>
    <w:rsid w:val="00AF665E"/>
    <w:rsid w:val="00AF6BC6"/>
    <w:rsid w:val="00AF711F"/>
    <w:rsid w:val="00B01ACD"/>
    <w:rsid w:val="00B023EB"/>
    <w:rsid w:val="00B02DF5"/>
    <w:rsid w:val="00B04265"/>
    <w:rsid w:val="00B05179"/>
    <w:rsid w:val="00B0567E"/>
    <w:rsid w:val="00B05B33"/>
    <w:rsid w:val="00B1047A"/>
    <w:rsid w:val="00B11232"/>
    <w:rsid w:val="00B11DAD"/>
    <w:rsid w:val="00B122FA"/>
    <w:rsid w:val="00B16E4E"/>
    <w:rsid w:val="00B201B2"/>
    <w:rsid w:val="00B21065"/>
    <w:rsid w:val="00B21E85"/>
    <w:rsid w:val="00B22BF6"/>
    <w:rsid w:val="00B237E1"/>
    <w:rsid w:val="00B25094"/>
    <w:rsid w:val="00B26408"/>
    <w:rsid w:val="00B26631"/>
    <w:rsid w:val="00B26F00"/>
    <w:rsid w:val="00B30151"/>
    <w:rsid w:val="00B30613"/>
    <w:rsid w:val="00B31F5B"/>
    <w:rsid w:val="00B322EA"/>
    <w:rsid w:val="00B33140"/>
    <w:rsid w:val="00B33727"/>
    <w:rsid w:val="00B34739"/>
    <w:rsid w:val="00B3753D"/>
    <w:rsid w:val="00B37C76"/>
    <w:rsid w:val="00B41F5A"/>
    <w:rsid w:val="00B42382"/>
    <w:rsid w:val="00B43F6D"/>
    <w:rsid w:val="00B47A08"/>
    <w:rsid w:val="00B5212E"/>
    <w:rsid w:val="00B52913"/>
    <w:rsid w:val="00B550C0"/>
    <w:rsid w:val="00B55803"/>
    <w:rsid w:val="00B56E06"/>
    <w:rsid w:val="00B572A7"/>
    <w:rsid w:val="00B6013E"/>
    <w:rsid w:val="00B60470"/>
    <w:rsid w:val="00B60B54"/>
    <w:rsid w:val="00B60E44"/>
    <w:rsid w:val="00B624ED"/>
    <w:rsid w:val="00B66C14"/>
    <w:rsid w:val="00B67BE6"/>
    <w:rsid w:val="00B70811"/>
    <w:rsid w:val="00B7090B"/>
    <w:rsid w:val="00B72B8E"/>
    <w:rsid w:val="00B73C5F"/>
    <w:rsid w:val="00B75591"/>
    <w:rsid w:val="00B764A8"/>
    <w:rsid w:val="00B814F7"/>
    <w:rsid w:val="00B81514"/>
    <w:rsid w:val="00B81B09"/>
    <w:rsid w:val="00B82815"/>
    <w:rsid w:val="00B82D08"/>
    <w:rsid w:val="00B82EC1"/>
    <w:rsid w:val="00B8378C"/>
    <w:rsid w:val="00B842BC"/>
    <w:rsid w:val="00B87E58"/>
    <w:rsid w:val="00B91212"/>
    <w:rsid w:val="00B912E0"/>
    <w:rsid w:val="00B925EF"/>
    <w:rsid w:val="00B938DA"/>
    <w:rsid w:val="00B947DA"/>
    <w:rsid w:val="00B94CF3"/>
    <w:rsid w:val="00B956CA"/>
    <w:rsid w:val="00B969CB"/>
    <w:rsid w:val="00B97DAB"/>
    <w:rsid w:val="00BA13CC"/>
    <w:rsid w:val="00BA4A3D"/>
    <w:rsid w:val="00BA5197"/>
    <w:rsid w:val="00BA6CFD"/>
    <w:rsid w:val="00BA6F54"/>
    <w:rsid w:val="00BA7E4C"/>
    <w:rsid w:val="00BB20A6"/>
    <w:rsid w:val="00BB26ED"/>
    <w:rsid w:val="00BB2FBE"/>
    <w:rsid w:val="00BB33E6"/>
    <w:rsid w:val="00BB52CE"/>
    <w:rsid w:val="00BB77FD"/>
    <w:rsid w:val="00BB7CD9"/>
    <w:rsid w:val="00BC24D5"/>
    <w:rsid w:val="00BC35B2"/>
    <w:rsid w:val="00BC3E59"/>
    <w:rsid w:val="00BC45FE"/>
    <w:rsid w:val="00BC4E9F"/>
    <w:rsid w:val="00BC5512"/>
    <w:rsid w:val="00BC69F0"/>
    <w:rsid w:val="00BC6FE3"/>
    <w:rsid w:val="00BD03AD"/>
    <w:rsid w:val="00BD0A95"/>
    <w:rsid w:val="00BD1928"/>
    <w:rsid w:val="00BD2581"/>
    <w:rsid w:val="00BD3073"/>
    <w:rsid w:val="00BD47DA"/>
    <w:rsid w:val="00BD4925"/>
    <w:rsid w:val="00BD4B88"/>
    <w:rsid w:val="00BD5AF6"/>
    <w:rsid w:val="00BD5D6D"/>
    <w:rsid w:val="00BD7C0C"/>
    <w:rsid w:val="00BE2BB9"/>
    <w:rsid w:val="00BE33D2"/>
    <w:rsid w:val="00BE3858"/>
    <w:rsid w:val="00BE39FE"/>
    <w:rsid w:val="00BE4757"/>
    <w:rsid w:val="00BE4E98"/>
    <w:rsid w:val="00BE539A"/>
    <w:rsid w:val="00BE550B"/>
    <w:rsid w:val="00BE6FB8"/>
    <w:rsid w:val="00BF0120"/>
    <w:rsid w:val="00BF14DA"/>
    <w:rsid w:val="00BF1594"/>
    <w:rsid w:val="00BF3B51"/>
    <w:rsid w:val="00BF4979"/>
    <w:rsid w:val="00BF5A5A"/>
    <w:rsid w:val="00C01D00"/>
    <w:rsid w:val="00C03CC0"/>
    <w:rsid w:val="00C04C38"/>
    <w:rsid w:val="00C05F6B"/>
    <w:rsid w:val="00C06268"/>
    <w:rsid w:val="00C075A0"/>
    <w:rsid w:val="00C10B52"/>
    <w:rsid w:val="00C12D62"/>
    <w:rsid w:val="00C13405"/>
    <w:rsid w:val="00C14671"/>
    <w:rsid w:val="00C1488D"/>
    <w:rsid w:val="00C14EA4"/>
    <w:rsid w:val="00C17E17"/>
    <w:rsid w:val="00C20345"/>
    <w:rsid w:val="00C2086E"/>
    <w:rsid w:val="00C209AC"/>
    <w:rsid w:val="00C21F83"/>
    <w:rsid w:val="00C228B5"/>
    <w:rsid w:val="00C22D78"/>
    <w:rsid w:val="00C22DD9"/>
    <w:rsid w:val="00C23E3A"/>
    <w:rsid w:val="00C241A3"/>
    <w:rsid w:val="00C27915"/>
    <w:rsid w:val="00C310E5"/>
    <w:rsid w:val="00C313FC"/>
    <w:rsid w:val="00C31AB2"/>
    <w:rsid w:val="00C35224"/>
    <w:rsid w:val="00C354C1"/>
    <w:rsid w:val="00C360ED"/>
    <w:rsid w:val="00C36DFC"/>
    <w:rsid w:val="00C370CA"/>
    <w:rsid w:val="00C37223"/>
    <w:rsid w:val="00C43210"/>
    <w:rsid w:val="00C43BA1"/>
    <w:rsid w:val="00C44010"/>
    <w:rsid w:val="00C45444"/>
    <w:rsid w:val="00C45F81"/>
    <w:rsid w:val="00C46D5F"/>
    <w:rsid w:val="00C47C76"/>
    <w:rsid w:val="00C55676"/>
    <w:rsid w:val="00C561DC"/>
    <w:rsid w:val="00C56C9D"/>
    <w:rsid w:val="00C57A51"/>
    <w:rsid w:val="00C615C8"/>
    <w:rsid w:val="00C62015"/>
    <w:rsid w:val="00C6452A"/>
    <w:rsid w:val="00C64D14"/>
    <w:rsid w:val="00C719FA"/>
    <w:rsid w:val="00C721F1"/>
    <w:rsid w:val="00C7285D"/>
    <w:rsid w:val="00C73367"/>
    <w:rsid w:val="00C74191"/>
    <w:rsid w:val="00C76077"/>
    <w:rsid w:val="00C76AFE"/>
    <w:rsid w:val="00C7701B"/>
    <w:rsid w:val="00C77CE2"/>
    <w:rsid w:val="00C80814"/>
    <w:rsid w:val="00C820A6"/>
    <w:rsid w:val="00C82232"/>
    <w:rsid w:val="00C830EE"/>
    <w:rsid w:val="00C837B2"/>
    <w:rsid w:val="00C83E2E"/>
    <w:rsid w:val="00C83E3D"/>
    <w:rsid w:val="00C84AA5"/>
    <w:rsid w:val="00C870DE"/>
    <w:rsid w:val="00C87E24"/>
    <w:rsid w:val="00C87E4A"/>
    <w:rsid w:val="00C938EC"/>
    <w:rsid w:val="00C93DAB"/>
    <w:rsid w:val="00C97537"/>
    <w:rsid w:val="00CA2971"/>
    <w:rsid w:val="00CA2C67"/>
    <w:rsid w:val="00CA32F1"/>
    <w:rsid w:val="00CA7FCA"/>
    <w:rsid w:val="00CB11FB"/>
    <w:rsid w:val="00CB13D3"/>
    <w:rsid w:val="00CB1614"/>
    <w:rsid w:val="00CB16FF"/>
    <w:rsid w:val="00CB4007"/>
    <w:rsid w:val="00CC1A87"/>
    <w:rsid w:val="00CC1B1C"/>
    <w:rsid w:val="00CC2795"/>
    <w:rsid w:val="00CC2863"/>
    <w:rsid w:val="00CC38DD"/>
    <w:rsid w:val="00CC46E9"/>
    <w:rsid w:val="00CC4F26"/>
    <w:rsid w:val="00CC71BD"/>
    <w:rsid w:val="00CC74DF"/>
    <w:rsid w:val="00CD1B82"/>
    <w:rsid w:val="00CD26DD"/>
    <w:rsid w:val="00CD2A4B"/>
    <w:rsid w:val="00CD31B6"/>
    <w:rsid w:val="00CD6B6F"/>
    <w:rsid w:val="00CD75A8"/>
    <w:rsid w:val="00CD75C2"/>
    <w:rsid w:val="00CD771E"/>
    <w:rsid w:val="00CD7AD3"/>
    <w:rsid w:val="00CE4A22"/>
    <w:rsid w:val="00CE5652"/>
    <w:rsid w:val="00CE64E1"/>
    <w:rsid w:val="00CE65D9"/>
    <w:rsid w:val="00CE686F"/>
    <w:rsid w:val="00CE7833"/>
    <w:rsid w:val="00CF2FA0"/>
    <w:rsid w:val="00CF5877"/>
    <w:rsid w:val="00CF6255"/>
    <w:rsid w:val="00CF6D46"/>
    <w:rsid w:val="00CF784F"/>
    <w:rsid w:val="00D00313"/>
    <w:rsid w:val="00D00F05"/>
    <w:rsid w:val="00D03101"/>
    <w:rsid w:val="00D03A8A"/>
    <w:rsid w:val="00D03DA1"/>
    <w:rsid w:val="00D03FA3"/>
    <w:rsid w:val="00D040F1"/>
    <w:rsid w:val="00D07AEC"/>
    <w:rsid w:val="00D10727"/>
    <w:rsid w:val="00D13BAB"/>
    <w:rsid w:val="00D15607"/>
    <w:rsid w:val="00D22899"/>
    <w:rsid w:val="00D243C6"/>
    <w:rsid w:val="00D2695D"/>
    <w:rsid w:val="00D26EBE"/>
    <w:rsid w:val="00D271EF"/>
    <w:rsid w:val="00D27433"/>
    <w:rsid w:val="00D27A88"/>
    <w:rsid w:val="00D3023A"/>
    <w:rsid w:val="00D30E89"/>
    <w:rsid w:val="00D3160A"/>
    <w:rsid w:val="00D31CE7"/>
    <w:rsid w:val="00D360C4"/>
    <w:rsid w:val="00D365B9"/>
    <w:rsid w:val="00D36A0F"/>
    <w:rsid w:val="00D37025"/>
    <w:rsid w:val="00D37B19"/>
    <w:rsid w:val="00D40311"/>
    <w:rsid w:val="00D40423"/>
    <w:rsid w:val="00D40CC6"/>
    <w:rsid w:val="00D41637"/>
    <w:rsid w:val="00D4198C"/>
    <w:rsid w:val="00D41FB5"/>
    <w:rsid w:val="00D4381C"/>
    <w:rsid w:val="00D44D71"/>
    <w:rsid w:val="00D45D4E"/>
    <w:rsid w:val="00D46B04"/>
    <w:rsid w:val="00D46D9A"/>
    <w:rsid w:val="00D47B42"/>
    <w:rsid w:val="00D51442"/>
    <w:rsid w:val="00D5562E"/>
    <w:rsid w:val="00D56385"/>
    <w:rsid w:val="00D60735"/>
    <w:rsid w:val="00D61ADD"/>
    <w:rsid w:val="00D61DDE"/>
    <w:rsid w:val="00D61DFA"/>
    <w:rsid w:val="00D62640"/>
    <w:rsid w:val="00D633F0"/>
    <w:rsid w:val="00D656C0"/>
    <w:rsid w:val="00D668C0"/>
    <w:rsid w:val="00D72B5E"/>
    <w:rsid w:val="00D74724"/>
    <w:rsid w:val="00D757E6"/>
    <w:rsid w:val="00D76D9A"/>
    <w:rsid w:val="00D80029"/>
    <w:rsid w:val="00D80D9E"/>
    <w:rsid w:val="00D821AE"/>
    <w:rsid w:val="00D829A4"/>
    <w:rsid w:val="00D85556"/>
    <w:rsid w:val="00D85C8E"/>
    <w:rsid w:val="00D87351"/>
    <w:rsid w:val="00D87DAD"/>
    <w:rsid w:val="00D92BB6"/>
    <w:rsid w:val="00D936D1"/>
    <w:rsid w:val="00DA141D"/>
    <w:rsid w:val="00DA15A4"/>
    <w:rsid w:val="00DA302C"/>
    <w:rsid w:val="00DA34F5"/>
    <w:rsid w:val="00DA716E"/>
    <w:rsid w:val="00DB2B46"/>
    <w:rsid w:val="00DB2CE9"/>
    <w:rsid w:val="00DB331A"/>
    <w:rsid w:val="00DB3C6D"/>
    <w:rsid w:val="00DB5122"/>
    <w:rsid w:val="00DB5417"/>
    <w:rsid w:val="00DB54B5"/>
    <w:rsid w:val="00DB5D9A"/>
    <w:rsid w:val="00DB64F8"/>
    <w:rsid w:val="00DB7263"/>
    <w:rsid w:val="00DC2967"/>
    <w:rsid w:val="00DC30F0"/>
    <w:rsid w:val="00DC38E1"/>
    <w:rsid w:val="00DC61BF"/>
    <w:rsid w:val="00DC6C9D"/>
    <w:rsid w:val="00DD102F"/>
    <w:rsid w:val="00DD11FB"/>
    <w:rsid w:val="00DD1E28"/>
    <w:rsid w:val="00DD2994"/>
    <w:rsid w:val="00DD3209"/>
    <w:rsid w:val="00DD50AF"/>
    <w:rsid w:val="00DD551F"/>
    <w:rsid w:val="00DE0F87"/>
    <w:rsid w:val="00DE4C9E"/>
    <w:rsid w:val="00DE6832"/>
    <w:rsid w:val="00DE6AE9"/>
    <w:rsid w:val="00DF0025"/>
    <w:rsid w:val="00DF0142"/>
    <w:rsid w:val="00DF1389"/>
    <w:rsid w:val="00DF2DB3"/>
    <w:rsid w:val="00DF43AF"/>
    <w:rsid w:val="00DF4B79"/>
    <w:rsid w:val="00E007F5"/>
    <w:rsid w:val="00E00B34"/>
    <w:rsid w:val="00E016CC"/>
    <w:rsid w:val="00E022B5"/>
    <w:rsid w:val="00E02903"/>
    <w:rsid w:val="00E02BBD"/>
    <w:rsid w:val="00E0320C"/>
    <w:rsid w:val="00E03799"/>
    <w:rsid w:val="00E046D2"/>
    <w:rsid w:val="00E05E80"/>
    <w:rsid w:val="00E11098"/>
    <w:rsid w:val="00E1279A"/>
    <w:rsid w:val="00E12923"/>
    <w:rsid w:val="00E1339E"/>
    <w:rsid w:val="00E13876"/>
    <w:rsid w:val="00E16F04"/>
    <w:rsid w:val="00E1745F"/>
    <w:rsid w:val="00E17521"/>
    <w:rsid w:val="00E21DAD"/>
    <w:rsid w:val="00E2313A"/>
    <w:rsid w:val="00E244E2"/>
    <w:rsid w:val="00E26A57"/>
    <w:rsid w:val="00E27837"/>
    <w:rsid w:val="00E27B90"/>
    <w:rsid w:val="00E3003C"/>
    <w:rsid w:val="00E309DC"/>
    <w:rsid w:val="00E31712"/>
    <w:rsid w:val="00E32FB7"/>
    <w:rsid w:val="00E33A1C"/>
    <w:rsid w:val="00E33A2E"/>
    <w:rsid w:val="00E34C50"/>
    <w:rsid w:val="00E355D0"/>
    <w:rsid w:val="00E36B17"/>
    <w:rsid w:val="00E41977"/>
    <w:rsid w:val="00E421D0"/>
    <w:rsid w:val="00E426B9"/>
    <w:rsid w:val="00E430F0"/>
    <w:rsid w:val="00E461A8"/>
    <w:rsid w:val="00E5244F"/>
    <w:rsid w:val="00E52F0B"/>
    <w:rsid w:val="00E53C88"/>
    <w:rsid w:val="00E55711"/>
    <w:rsid w:val="00E55DE2"/>
    <w:rsid w:val="00E57421"/>
    <w:rsid w:val="00E5771E"/>
    <w:rsid w:val="00E57E3B"/>
    <w:rsid w:val="00E61913"/>
    <w:rsid w:val="00E6270D"/>
    <w:rsid w:val="00E62BAD"/>
    <w:rsid w:val="00E64B71"/>
    <w:rsid w:val="00E64D10"/>
    <w:rsid w:val="00E662CA"/>
    <w:rsid w:val="00E6727C"/>
    <w:rsid w:val="00E70B1B"/>
    <w:rsid w:val="00E712C6"/>
    <w:rsid w:val="00E7233D"/>
    <w:rsid w:val="00E7313F"/>
    <w:rsid w:val="00E804CA"/>
    <w:rsid w:val="00E812EA"/>
    <w:rsid w:val="00E82D7B"/>
    <w:rsid w:val="00E8357C"/>
    <w:rsid w:val="00E8390D"/>
    <w:rsid w:val="00E84880"/>
    <w:rsid w:val="00E84942"/>
    <w:rsid w:val="00E84B35"/>
    <w:rsid w:val="00E86A44"/>
    <w:rsid w:val="00E87107"/>
    <w:rsid w:val="00E87404"/>
    <w:rsid w:val="00E90BE7"/>
    <w:rsid w:val="00E92E42"/>
    <w:rsid w:val="00E93170"/>
    <w:rsid w:val="00E9359F"/>
    <w:rsid w:val="00E96028"/>
    <w:rsid w:val="00E96C9D"/>
    <w:rsid w:val="00E972B9"/>
    <w:rsid w:val="00E97D0A"/>
    <w:rsid w:val="00EA3B83"/>
    <w:rsid w:val="00EA4FD8"/>
    <w:rsid w:val="00EA5B91"/>
    <w:rsid w:val="00EA6234"/>
    <w:rsid w:val="00EB1F72"/>
    <w:rsid w:val="00EB2017"/>
    <w:rsid w:val="00EB42E2"/>
    <w:rsid w:val="00EB4FD9"/>
    <w:rsid w:val="00EB5B34"/>
    <w:rsid w:val="00EB5CDF"/>
    <w:rsid w:val="00EB7314"/>
    <w:rsid w:val="00EC1760"/>
    <w:rsid w:val="00EC1B77"/>
    <w:rsid w:val="00EC3351"/>
    <w:rsid w:val="00EC5206"/>
    <w:rsid w:val="00EC667C"/>
    <w:rsid w:val="00EC774C"/>
    <w:rsid w:val="00ED4334"/>
    <w:rsid w:val="00ED48AB"/>
    <w:rsid w:val="00ED79A2"/>
    <w:rsid w:val="00EE3A03"/>
    <w:rsid w:val="00EE4075"/>
    <w:rsid w:val="00EE4870"/>
    <w:rsid w:val="00EE50CC"/>
    <w:rsid w:val="00EF0090"/>
    <w:rsid w:val="00EF0291"/>
    <w:rsid w:val="00EF069D"/>
    <w:rsid w:val="00EF37CC"/>
    <w:rsid w:val="00EF411B"/>
    <w:rsid w:val="00EF42A0"/>
    <w:rsid w:val="00EF43A4"/>
    <w:rsid w:val="00EF5E91"/>
    <w:rsid w:val="00EF5F04"/>
    <w:rsid w:val="00EF6EF5"/>
    <w:rsid w:val="00F011C8"/>
    <w:rsid w:val="00F021D6"/>
    <w:rsid w:val="00F02EB9"/>
    <w:rsid w:val="00F04036"/>
    <w:rsid w:val="00F047F1"/>
    <w:rsid w:val="00F0486E"/>
    <w:rsid w:val="00F05652"/>
    <w:rsid w:val="00F07209"/>
    <w:rsid w:val="00F079C5"/>
    <w:rsid w:val="00F07FCB"/>
    <w:rsid w:val="00F1047F"/>
    <w:rsid w:val="00F10D3F"/>
    <w:rsid w:val="00F11D54"/>
    <w:rsid w:val="00F14740"/>
    <w:rsid w:val="00F14991"/>
    <w:rsid w:val="00F1530E"/>
    <w:rsid w:val="00F15E57"/>
    <w:rsid w:val="00F170BF"/>
    <w:rsid w:val="00F17EFB"/>
    <w:rsid w:val="00F22071"/>
    <w:rsid w:val="00F233D2"/>
    <w:rsid w:val="00F235A5"/>
    <w:rsid w:val="00F2409C"/>
    <w:rsid w:val="00F240FE"/>
    <w:rsid w:val="00F24FA1"/>
    <w:rsid w:val="00F264DE"/>
    <w:rsid w:val="00F32012"/>
    <w:rsid w:val="00F33F21"/>
    <w:rsid w:val="00F361B2"/>
    <w:rsid w:val="00F3685B"/>
    <w:rsid w:val="00F37802"/>
    <w:rsid w:val="00F414E9"/>
    <w:rsid w:val="00F41640"/>
    <w:rsid w:val="00F41E61"/>
    <w:rsid w:val="00F42B04"/>
    <w:rsid w:val="00F47B31"/>
    <w:rsid w:val="00F50D0D"/>
    <w:rsid w:val="00F51892"/>
    <w:rsid w:val="00F52857"/>
    <w:rsid w:val="00F52A58"/>
    <w:rsid w:val="00F52D8E"/>
    <w:rsid w:val="00F5380D"/>
    <w:rsid w:val="00F5551F"/>
    <w:rsid w:val="00F56977"/>
    <w:rsid w:val="00F56D12"/>
    <w:rsid w:val="00F57C69"/>
    <w:rsid w:val="00F652D5"/>
    <w:rsid w:val="00F6566F"/>
    <w:rsid w:val="00F65864"/>
    <w:rsid w:val="00F659C0"/>
    <w:rsid w:val="00F65ED8"/>
    <w:rsid w:val="00F671C2"/>
    <w:rsid w:val="00F6770B"/>
    <w:rsid w:val="00F70E2A"/>
    <w:rsid w:val="00F7144D"/>
    <w:rsid w:val="00F71721"/>
    <w:rsid w:val="00F71FEE"/>
    <w:rsid w:val="00F73F3A"/>
    <w:rsid w:val="00F73F78"/>
    <w:rsid w:val="00F75403"/>
    <w:rsid w:val="00F75662"/>
    <w:rsid w:val="00F75BD0"/>
    <w:rsid w:val="00F7671C"/>
    <w:rsid w:val="00F81043"/>
    <w:rsid w:val="00F826C1"/>
    <w:rsid w:val="00F8323D"/>
    <w:rsid w:val="00F834E1"/>
    <w:rsid w:val="00F83EB0"/>
    <w:rsid w:val="00F84CFE"/>
    <w:rsid w:val="00F85F1A"/>
    <w:rsid w:val="00F86418"/>
    <w:rsid w:val="00F87894"/>
    <w:rsid w:val="00F87BB3"/>
    <w:rsid w:val="00F90342"/>
    <w:rsid w:val="00F93283"/>
    <w:rsid w:val="00F955FE"/>
    <w:rsid w:val="00F9693D"/>
    <w:rsid w:val="00FA1505"/>
    <w:rsid w:val="00FA1C82"/>
    <w:rsid w:val="00FA2DD8"/>
    <w:rsid w:val="00FA3053"/>
    <w:rsid w:val="00FA6080"/>
    <w:rsid w:val="00FA70D9"/>
    <w:rsid w:val="00FB0C73"/>
    <w:rsid w:val="00FB11A7"/>
    <w:rsid w:val="00FB185A"/>
    <w:rsid w:val="00FB1958"/>
    <w:rsid w:val="00FB3115"/>
    <w:rsid w:val="00FB51A2"/>
    <w:rsid w:val="00FB5E45"/>
    <w:rsid w:val="00FB60ED"/>
    <w:rsid w:val="00FB73B5"/>
    <w:rsid w:val="00FC0D9A"/>
    <w:rsid w:val="00FC0F12"/>
    <w:rsid w:val="00FC13FC"/>
    <w:rsid w:val="00FC2976"/>
    <w:rsid w:val="00FC2EA8"/>
    <w:rsid w:val="00FC3267"/>
    <w:rsid w:val="00FC38B8"/>
    <w:rsid w:val="00FC40B4"/>
    <w:rsid w:val="00FC446E"/>
    <w:rsid w:val="00FC5D4C"/>
    <w:rsid w:val="00FC605C"/>
    <w:rsid w:val="00FC7F29"/>
    <w:rsid w:val="00FD00F8"/>
    <w:rsid w:val="00FD281B"/>
    <w:rsid w:val="00FD318E"/>
    <w:rsid w:val="00FD3A41"/>
    <w:rsid w:val="00FE0C68"/>
    <w:rsid w:val="00FE143D"/>
    <w:rsid w:val="00FE1F3E"/>
    <w:rsid w:val="00FE3CC2"/>
    <w:rsid w:val="00FE578F"/>
    <w:rsid w:val="00FE5C05"/>
    <w:rsid w:val="00FE7275"/>
    <w:rsid w:val="00FF0AF9"/>
    <w:rsid w:val="00FF2194"/>
    <w:rsid w:val="00FF3DEA"/>
    <w:rsid w:val="00FF5A82"/>
    <w:rsid w:val="01546C43"/>
    <w:rsid w:val="03AA7BA0"/>
    <w:rsid w:val="040832AC"/>
    <w:rsid w:val="04845B34"/>
    <w:rsid w:val="05634CDA"/>
    <w:rsid w:val="05A94938"/>
    <w:rsid w:val="05DA6A42"/>
    <w:rsid w:val="08D3787B"/>
    <w:rsid w:val="0B905EF0"/>
    <w:rsid w:val="0CC31655"/>
    <w:rsid w:val="0ED028BB"/>
    <w:rsid w:val="10203B6C"/>
    <w:rsid w:val="116F4196"/>
    <w:rsid w:val="126D7D24"/>
    <w:rsid w:val="165A5414"/>
    <w:rsid w:val="166070FE"/>
    <w:rsid w:val="16AF16EB"/>
    <w:rsid w:val="17D32AE7"/>
    <w:rsid w:val="1944021C"/>
    <w:rsid w:val="1B363FDD"/>
    <w:rsid w:val="1B841F41"/>
    <w:rsid w:val="1C7D3C0B"/>
    <w:rsid w:val="1E407755"/>
    <w:rsid w:val="1EEB439B"/>
    <w:rsid w:val="1F4F5A1B"/>
    <w:rsid w:val="20A15677"/>
    <w:rsid w:val="20B73F07"/>
    <w:rsid w:val="210B09B4"/>
    <w:rsid w:val="21AD2DD2"/>
    <w:rsid w:val="24092391"/>
    <w:rsid w:val="24465FCC"/>
    <w:rsid w:val="248D64E1"/>
    <w:rsid w:val="25C77327"/>
    <w:rsid w:val="270035D1"/>
    <w:rsid w:val="27151E7F"/>
    <w:rsid w:val="274B3E2E"/>
    <w:rsid w:val="29DF42B4"/>
    <w:rsid w:val="2A386239"/>
    <w:rsid w:val="2A5078E5"/>
    <w:rsid w:val="2C8F19A3"/>
    <w:rsid w:val="2CED0CAD"/>
    <w:rsid w:val="2D0F6552"/>
    <w:rsid w:val="34996E9F"/>
    <w:rsid w:val="355151FE"/>
    <w:rsid w:val="36EA3C31"/>
    <w:rsid w:val="36FE3319"/>
    <w:rsid w:val="3723271E"/>
    <w:rsid w:val="376809C8"/>
    <w:rsid w:val="37B32F92"/>
    <w:rsid w:val="39135F56"/>
    <w:rsid w:val="39FC1577"/>
    <w:rsid w:val="3BA426DB"/>
    <w:rsid w:val="3E2B460E"/>
    <w:rsid w:val="3ECB0817"/>
    <w:rsid w:val="415A484A"/>
    <w:rsid w:val="4185450C"/>
    <w:rsid w:val="41B71C28"/>
    <w:rsid w:val="42495922"/>
    <w:rsid w:val="474F5001"/>
    <w:rsid w:val="48BA75C2"/>
    <w:rsid w:val="499510B5"/>
    <w:rsid w:val="5111270B"/>
    <w:rsid w:val="52BE04FE"/>
    <w:rsid w:val="54A40284"/>
    <w:rsid w:val="55AC33B8"/>
    <w:rsid w:val="58146F5F"/>
    <w:rsid w:val="59CC3500"/>
    <w:rsid w:val="5A1C018A"/>
    <w:rsid w:val="5A9C7858"/>
    <w:rsid w:val="5B975097"/>
    <w:rsid w:val="5BFA18D1"/>
    <w:rsid w:val="5C9C2E51"/>
    <w:rsid w:val="5D8F18F0"/>
    <w:rsid w:val="5E355DE0"/>
    <w:rsid w:val="5EE828FB"/>
    <w:rsid w:val="60C40976"/>
    <w:rsid w:val="6252703B"/>
    <w:rsid w:val="63E829DD"/>
    <w:rsid w:val="644F7AF2"/>
    <w:rsid w:val="66D8758E"/>
    <w:rsid w:val="67DA3996"/>
    <w:rsid w:val="68E176EA"/>
    <w:rsid w:val="690A05CC"/>
    <w:rsid w:val="69294920"/>
    <w:rsid w:val="6AB71CE0"/>
    <w:rsid w:val="6CA841E5"/>
    <w:rsid w:val="6E1D25E3"/>
    <w:rsid w:val="6E754174"/>
    <w:rsid w:val="70220827"/>
    <w:rsid w:val="73535A91"/>
    <w:rsid w:val="739B086A"/>
    <w:rsid w:val="74E95043"/>
    <w:rsid w:val="757E7B57"/>
    <w:rsid w:val="76D86BAB"/>
    <w:rsid w:val="77761D8D"/>
    <w:rsid w:val="78172FE4"/>
    <w:rsid w:val="7A6D0E04"/>
    <w:rsid w:val="7A896B65"/>
    <w:rsid w:val="7C312E9E"/>
    <w:rsid w:val="7C506C41"/>
    <w:rsid w:val="7CB34D5E"/>
    <w:rsid w:val="7EA45D08"/>
    <w:rsid w:val="7EF96074"/>
    <w:rsid w:val="7F026A85"/>
    <w:rsid w:val="7FD12D6F"/>
    <w:rsid w:val="7FF945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unhideWhenUsed/>
    <w:qFormat/>
    <w:uiPriority w:val="99"/>
    <w:pPr>
      <w:jc w:val="left"/>
    </w:pPr>
  </w:style>
  <w:style w:type="paragraph" w:styleId="3">
    <w:name w:val="Balloon Text"/>
    <w:basedOn w:val="1"/>
    <w:link w:val="13"/>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8"/>
    <w:semiHidden/>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5"/>
    <w:qFormat/>
    <w:uiPriority w:val="99"/>
    <w:rPr>
      <w:rFonts w:ascii="Times New Roman" w:hAnsi="Times New Roman" w:eastAsia="宋体" w:cs="Times New Roman"/>
      <w:kern w:val="2"/>
      <w:sz w:val="18"/>
      <w:szCs w:val="18"/>
    </w:rPr>
  </w:style>
  <w:style w:type="character" w:customStyle="1" w:styleId="12">
    <w:name w:val="页脚 字符"/>
    <w:basedOn w:val="9"/>
    <w:link w:val="4"/>
    <w:qFormat/>
    <w:uiPriority w:val="99"/>
    <w:rPr>
      <w:rFonts w:ascii="Times New Roman" w:hAnsi="Times New Roman" w:eastAsia="宋体" w:cs="Times New Roman"/>
      <w:kern w:val="2"/>
      <w:sz w:val="18"/>
      <w:szCs w:val="18"/>
    </w:rPr>
  </w:style>
  <w:style w:type="character" w:customStyle="1" w:styleId="13">
    <w:name w:val="批注框文本 字符"/>
    <w:basedOn w:val="9"/>
    <w:link w:val="3"/>
    <w:semiHidden/>
    <w:qFormat/>
    <w:uiPriority w:val="99"/>
    <w:rPr>
      <w:rFonts w:ascii="Times New Roman" w:hAnsi="Times New Roman" w:eastAsia="宋体" w:cs="Times New Roman"/>
      <w:kern w:val="2"/>
      <w:sz w:val="18"/>
      <w:szCs w:val="18"/>
    </w:rPr>
  </w:style>
  <w:style w:type="paragraph" w:customStyle="1" w:styleId="14">
    <w:name w:val="列出段落1"/>
    <w:basedOn w:val="1"/>
    <w:qFormat/>
    <w:uiPriority w:val="99"/>
    <w:pPr>
      <w:ind w:firstLine="420" w:firstLineChars="200"/>
    </w:pPr>
  </w:style>
  <w:style w:type="paragraph" w:customStyle="1" w:styleId="15">
    <w:name w:val="Default"/>
    <w:qFormat/>
    <w:uiPriority w:val="0"/>
    <w:pPr>
      <w:widowControl w:val="0"/>
      <w:autoSpaceDE w:val="0"/>
      <w:autoSpaceDN w:val="0"/>
      <w:adjustRightInd w:val="0"/>
    </w:pPr>
    <w:rPr>
      <w:rFonts w:ascii="Times New Roman" w:hAnsi="Times New Roman" w:cs="Times New Roman" w:eastAsiaTheme="minorEastAsia"/>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文字 字符"/>
    <w:basedOn w:val="9"/>
    <w:link w:val="2"/>
    <w:qFormat/>
    <w:uiPriority w:val="99"/>
    <w:rPr>
      <w:rFonts w:ascii="Times New Roman" w:hAnsi="Times New Roman" w:eastAsia="宋体" w:cs="Times New Roman"/>
      <w:kern w:val="2"/>
      <w:sz w:val="21"/>
      <w:szCs w:val="24"/>
    </w:rPr>
  </w:style>
  <w:style w:type="character" w:customStyle="1" w:styleId="18">
    <w:name w:val="批注主题 字符"/>
    <w:basedOn w:val="17"/>
    <w:link w:val="6"/>
    <w:semiHidden/>
    <w:qFormat/>
    <w:uiPriority w:val="99"/>
    <w:rPr>
      <w:rFonts w:ascii="Times New Roman" w:hAnsi="Times New Roman" w:eastAsia="宋体" w:cs="Times New Roman"/>
      <w:b/>
      <w:bCs/>
      <w:kern w:val="2"/>
      <w:sz w:val="21"/>
      <w:szCs w:val="24"/>
    </w:rPr>
  </w:style>
  <w:style w:type="paragraph" w:customStyle="1" w:styleId="19">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20">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21">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22">
    <w:name w:val="006备注"/>
    <w:qFormat/>
    <w:uiPriority w:val="0"/>
    <w:pPr>
      <w:widowControl w:val="0"/>
      <w:ind w:firstLine="200" w:firstLineChars="200"/>
      <w:jc w:val="both"/>
    </w:pPr>
    <w:rPr>
      <w:rFonts w:ascii="Times New Roman" w:hAnsi="Times New Roman" w:eastAsia="宋体" w:cs="Arial"/>
      <w:bCs/>
      <w:kern w:val="2"/>
      <w:sz w:val="21"/>
      <w:szCs w:val="22"/>
      <w:lang w:val="en-US" w:eastAsia="zh-CN" w:bidi="ar-SA"/>
    </w:rPr>
  </w:style>
  <w:style w:type="paragraph" w:customStyle="1" w:styleId="23">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24">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25">
    <w:name w:val="修订6"/>
    <w:hidden/>
    <w:unhideWhenUsed/>
    <w:qFormat/>
    <w:uiPriority w:val="99"/>
    <w:rPr>
      <w:rFonts w:ascii="Times New Roman" w:hAnsi="Times New Roman" w:eastAsia="宋体" w:cs="Times New Roman"/>
      <w:kern w:val="2"/>
      <w:sz w:val="21"/>
      <w:szCs w:val="24"/>
      <w:lang w:val="en-US" w:eastAsia="zh-CN" w:bidi="ar-SA"/>
    </w:rPr>
  </w:style>
  <w:style w:type="paragraph" w:customStyle="1" w:styleId="26">
    <w:name w:val="修订7"/>
    <w:hidden/>
    <w:unhideWhenUsed/>
    <w:qFormat/>
    <w:uiPriority w:val="99"/>
    <w:rPr>
      <w:rFonts w:ascii="Times New Roman" w:hAnsi="Times New Roman" w:eastAsia="宋体" w:cs="Times New Roman"/>
      <w:kern w:val="2"/>
      <w:sz w:val="21"/>
      <w:szCs w:val="24"/>
      <w:lang w:val="en-US" w:eastAsia="zh-CN" w:bidi="ar-SA"/>
    </w:rPr>
  </w:style>
  <w:style w:type="paragraph" w:customStyle="1" w:styleId="27">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ntractReview xmlns="http://schemas.wps.cn/vas-ai-hub/contract-review">
  <reviewItems>
    <reviewItem>
      <errorID>00ead2a5-da9d-4c32-8e4b-11798ae04894</errorID>
      <errorWord>人血白蛋白</errorWord>
      <group>L1_Knowledge</group>
      <groupName>知识性问题</groupName>
      <ability>L2_Term</ability>
      <abilityName>专业术语</abilityName>
      <candidateList>
        <item>人血清白蛋白</item>
      </candidateList>
      <explain>医学名词[人血白蛋白]为不规范表述或旧称，其规范书面表述为[人血清白蛋白]。</explain>
      <paraID>53116DF4</paraID>
      <start>0</start>
      <end>5</end>
      <status>unmodified</status>
      <modifiedWord/>
      <trackRevisions>false</trackRevisions>
    </reviewItem>
    <reviewItem>
      <errorID>9c43e6bd-398b-4713-9480-9bf57dbb47ab</errorID>
      <errorWord>人血白蛋白</errorWord>
      <group>L1_Knowledge</group>
      <groupName>知识性问题</groupName>
      <ability>L2_Term</ability>
      <abilityName>专业术语</abilityName>
      <candidateList>
        <item>人血清白蛋白</item>
      </candidateList>
      <explain>医学名词[人血白蛋白]为不规范表述或旧称，其规范书面表述为[人血清白蛋白]。</explain>
      <paraID>1715D3ED</paraID>
      <start>11</start>
      <end>16</end>
      <status>unmodified</status>
      <modifiedWord/>
      <trackRevisions>false</trackRevisions>
    </reviewItem>
    <reviewItem>
      <errorID>bc2e3c43-8182-4f3e-af17-807b5e9ccadd</errorID>
      <errorWord>人血白蛋白</errorWord>
      <group>L1_Knowledge</group>
      <groupName>知识性问题</groupName>
      <ability>L2_Term</ability>
      <abilityName>专业术语</abilityName>
      <candidateList>
        <item>人血清白蛋白</item>
      </candidateList>
      <explain>医学名词[人血白蛋白]为不规范表述或旧称，其规范书面表述为[人血清白蛋白]。</explain>
      <paraID>1715D3ED</paraID>
      <start>47</start>
      <end>52</end>
      <status>unmodified</status>
      <modifiedWord/>
      <trackRevisions>false</trackRevisions>
    </reviewItem>
    <reviewItem>
      <errorID>766770d3-a02e-47dd-b2da-942f6b6802b3</errorID>
      <errorWord>绍</errorWord>
      <group>L1_Word</group>
      <groupName>字词问题</groupName>
      <ability>L2_Typo</ability>
      <abilityName>字词错误</abilityName>
      <candidateList>
        <item>绍一</item>
      </candidateList>
      <explain/>
      <paraID>3B3A41B6</paraID>
      <start>2</start>
      <end>3</end>
      <status>unmodified</status>
      <modifiedWord/>
      <trackRevisions>false</trackRevisions>
    </reviewItem>
    <reviewItem>
      <errorID>b5321c9f-5fcd-4f30-a773-c91e207d2e79</errorID>
      <errorWord>IV期</errorWord>
      <group>L1_Knowledge</group>
      <groupName>知识性问题</groupName>
      <ability>L2_Knowledge</ability>
      <abilityName>其他知识</abilityName>
      <candidateList>
        <item>Ⅳ期</item>
      </candidateList>
      <explain>中文环境下罗马数字格式错误。</explain>
      <paraID> C8A3449</paraID>
      <start>46</start>
      <end>49</end>
      <status>unmodified</status>
      <modifiedWord/>
      <trackRevisions>false</trackRevisions>
    </reviewItem>
    <reviewItem>
      <errorID>e1e40967-5e8a-4652-85a8-32357a13f7b0</errorID>
      <errorWord>IV期</errorWord>
      <group>L1_Knowledge</group>
      <groupName>知识性问题</groupName>
      <ability>L2_Knowledge</ability>
      <abilityName>其他知识</abilityName>
      <candidateList>
        <item>Ⅳ期</item>
      </candidateList>
      <explain>中文环境下罗马数字格式错误。</explain>
      <paraID>61CDB515</paraID>
      <start>9</start>
      <end>12</end>
      <status>unmodified</status>
      <modifiedWord/>
      <trackRevisions>false</trackRevisions>
    </reviewItem>
    <reviewItem>
      <errorID>b67e1269-6c62-414a-8ce8-54c2eb3b2df3</errorID>
      <errorWord>III期</errorWord>
      <group>L1_Knowledge</group>
      <groupName>知识性问题</groupName>
      <ability>L2_Knowledge</ability>
      <abilityName>其他知识</abilityName>
      <candidateList>
        <item>Ⅲ期</item>
      </candidateList>
      <explain>中文环境下罗马数字格式错误。</explain>
      <paraID>61CDB515</paraID>
      <start>30</start>
      <end>34</end>
      <status>unmodified</status>
      <modifiedWord/>
      <trackRevisions>false</trackRevisions>
    </reviewItem>
    <reviewItem>
      <errorID>59214994-a732-44ed-981c-e73744a8bb1b</errorID>
      <errorWord>IV期</errorWord>
      <group>L1_Knowledge</group>
      <groupName>知识性问题</groupName>
      <ability>L2_Knowledge</ability>
      <abilityName>其他知识</abilityName>
      <candidateList>
        <item>Ⅳ期</item>
      </candidateList>
      <explain>中文环境下罗马数字格式错误。</explain>
      <paraID>61CDB515</paraID>
      <start>64</start>
      <end>67</end>
      <status>unmodified</status>
      <modifiedWord/>
      <trackRevisions>false</trackRevisions>
    </reviewItem>
    <reviewItem>
      <errorID>598c7455-343a-4bc5-9912-42b6f8a370fa</errorID>
      <errorWord>III期</errorWord>
      <group>L1_Knowledge</group>
      <groupName>知识性问题</groupName>
      <ability>L2_Knowledge</ability>
      <abilityName>其他知识</abilityName>
      <candidateList>
        <item>Ⅲ期</item>
      </candidateList>
      <explain>中文环境下罗马数字格式错误。</explain>
      <paraID>61CDB515</paraID>
      <start>108</start>
      <end>112</end>
      <status>unmodified</status>
      <modifiedWord/>
      <trackRevisions>false</trackRevisions>
    </reviewItem>
    <reviewItem>
      <errorID>87209301-7857-46e6-94c0-677f05183880</errorID>
      <errorWord>正</errorWord>
      <group>L1_Word</group>
      <groupName>字词问题</groupName>
      <ability>L2_Typo</ability>
      <abilityName>字词错误</abilityName>
      <candidateList>
        <item>正在</item>
      </candidateList>
      <explain/>
      <paraID>46ADBFCD</paraID>
      <start>20</start>
      <end>21</end>
      <status>unmodified</status>
      <modifiedWord/>
      <trackRevisions>false</trackRevisions>
    </reviewItem>
    <reviewItem>
      <errorID>dbf18a7d-9830-499b-8722-d1a563e24d1d</errorID>
      <errorWord>III期</errorWord>
      <group>L1_Knowledge</group>
      <groupName>知识性问题</groupName>
      <ability>L2_Knowledge</ability>
      <abilityName>其他知识</abilityName>
      <candidateList>
        <item>Ⅲ期</item>
      </candidateList>
      <explain>中文环境下罗马数字格式错误。</explain>
      <paraID>46ADBFCD</paraID>
      <start>81</start>
      <end>85</end>
      <status>unmodified</status>
      <modifiedWord/>
      <trackRevisions>false</trackRevisions>
    </reviewItem>
    <reviewItem>
      <errorID>8214cf90-8bcd-46f5-8fcd-145c57445d01</errorID>
      <errorWord>IV期</errorWord>
      <group>L1_Knowledge</group>
      <groupName>知识性问题</groupName>
      <ability>L2_Knowledge</ability>
      <abilityName>其他知识</abilityName>
      <candidateList>
        <item>Ⅳ期</item>
      </candidateList>
      <explain>中文环境下罗马数字格式错误。</explain>
      <paraID>731D3F90</paraID>
      <start>7</start>
      <end>10</end>
      <status>unmodified</status>
      <modifiedWord/>
      <trackRevisions>false</trackRevisions>
    </reviewItem>
    <reviewItem>
      <errorID>727e3ad1-cab7-4dcd-8d9a-98aef6626d12</errorID>
      <errorWord>正</errorWord>
      <group>L1_Word</group>
      <groupName>字词问题</groupName>
      <ability>L2_Typo</ability>
      <abilityName>字词错误</abilityName>
      <candidateList>
        <item>正在</item>
      </candidateList>
      <explain/>
      <paraID>767EAA81</paraID>
      <start>122</start>
      <end>123</end>
      <status>unmodified</status>
      <modifiedWord/>
      <trackRevisions>false</trackRevisions>
    </reviewItem>
    <reviewItem>
      <errorID>67027d37-e0b4-428e-aa41-2140c9e6396f</errorID>
      <errorWord>II期</errorWord>
      <group>L1_Knowledge</group>
      <groupName>知识性问题</groupName>
      <ability>L2_Knowledge</ability>
      <abilityName>其他知识</abilityName>
      <candidateList>
        <item>Ⅱ期</item>
      </candidateList>
      <explain>中文环境下罗马数字格式错误。</explain>
      <paraID> CCDE3E4</paraID>
      <start>62</start>
      <end>65</end>
      <status>unmodified</status>
      <modifiedWord/>
      <trackRevisions>false</trackRevisions>
    </reviewItem>
    <reviewItem>
      <errorID>93d50c1a-5b85-4c7f-9a4b-6cf8f2f155cd</errorID>
      <errorWord>境</errorWord>
      <group>L1_Word</group>
      <groupName>字词问题</groupName>
      <ability>L2_Typo</ability>
      <abilityName>字词错误</abilityName>
      <candidateList>
        <item>境中</item>
      </candidateList>
      <explain/>
      <paraID>34AB4A5F</paraID>
      <start>17</start>
      <end>18</end>
      <status>unmodified</status>
      <modifiedWord/>
      <trackRevisions>false</trackRevisions>
    </reviewItem>
    <reviewItem>
      <errorID>60b7203b-2d56-4a87-a4d4-e4409b88fcd5</errorID>
      <errorWord>黄曲霉素</errorWord>
      <group>L1_Word</group>
      <groupName>字词问题</groupName>
      <ability>L2_Typo</ability>
      <abilityName>字词错误</abilityName>
      <candidateList>
        <item>黄曲霉毒素</item>
      </candidateList>
      <explain/>
      <paraID>34AB4A5F</paraID>
      <start>35</start>
      <end>39</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dataSourceCollection xmlns="http://www.yonyou.com/datasource"/>
</file>

<file path=customXml/item4.xml><?xml version="1.0" encoding="utf-8"?>
<relations xmlns="http://www.yonyou.com/relation"/>
</file>

<file path=customXml/itemProps1.xml><?xml version="1.0" encoding="utf-8"?>
<ds:datastoreItem xmlns:ds="http://schemas.openxmlformats.org/officeDocument/2006/customXml" ds:itemID="{3A8FE513-39EA-4A0E-A089-707C503AF237}">
  <ds:schemaRefs/>
</ds:datastoreItem>
</file>

<file path=customXml/itemProps2.xml><?xml version="1.0" encoding="utf-8"?>
<ds:datastoreItem xmlns:ds="http://schemas.openxmlformats.org/officeDocument/2006/customXml" ds:itemID="{FC3AD94B-FACD-47CF-8440-020E682DB0CB}">
  <ds:schemaRefs/>
</ds:datastoreItem>
</file>

<file path=customXml/itemProps3.xml><?xml version="1.0" encoding="utf-8"?>
<ds:datastoreItem xmlns:ds="http://schemas.openxmlformats.org/officeDocument/2006/customXml" ds:itemID="{1BA66743-1274-4B54-8F05-386447B0F5ED}">
  <ds:schemaRefs/>
</ds:datastoreItem>
</file>

<file path=customXml/itemProps4.xml><?xml version="1.0" encoding="utf-8"?>
<ds:datastoreItem xmlns:ds="http://schemas.openxmlformats.org/officeDocument/2006/customXml" ds:itemID="{CBAA4366-97A5-4384-AEE9-78DCF75423FB}">
  <ds:schemaRefs/>
</ds:datastoreItem>
</file>

<file path=docProps/app.xml><?xml version="1.0" encoding="utf-8"?>
<Properties xmlns="http://schemas.openxmlformats.org/officeDocument/2006/extended-properties" xmlns:vt="http://schemas.openxmlformats.org/officeDocument/2006/docPropsVTypes">
  <Template>Normal.dotm</Template>
  <Pages>8</Pages>
  <Words>4805</Words>
  <Characters>5015</Characters>
  <Lines>119</Lines>
  <Paragraphs>69</Paragraphs>
  <TotalTime>72</TotalTime>
  <ScaleCrop>false</ScaleCrop>
  <LinksUpToDate>false</LinksUpToDate>
  <CharactersWithSpaces>5093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2026-09-22T12:43:00Z</dcterms:created>
  <dc:creator>莫丹丹</dc:creator>
  <cp:lastModifiedBy>lxjing</cp:lastModifiedBy>
  <cp:lastPrinted>2019-05-31T07:11:00Z</cp:lastPrinted>
  <dcterms:modified xsi:type="dcterms:W3CDTF">2026-09-23T07:14:44Z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20A41A4679E2468DAE51BC14743D2257_13</vt:lpwstr>
  </property>
  <property fmtid="{D5CDD505-2E9C-101B-9397-08002B2CF9AE}" pid="4" name="KSOTemplateDocerSaveRecord">
    <vt:lpwstr>eyJoZGlkIjoiNWIzNjg2NDQwNGQ3NmQyMjkyMzEzZGVkZGIyMzYwYmMiLCJ1c2VySWQiOiI5NTg1NTgxNjgifQ==</vt:lpwstr>
  </property>
</Properties>
</file>