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04E6FA">
      <w:pPr>
        <w:spacing w:before="156" w:beforeLines="50" w:after="156" w:afterLines="50" w:line="360" w:lineRule="auto"/>
        <w:rPr>
          <w:rFonts w:hint="eastAsia" w:ascii="宋体" w:hAnsi="宋体"/>
          <w:bCs/>
          <w:iCs/>
          <w:color w:val="000000"/>
          <w:sz w:val="28"/>
        </w:rPr>
      </w:pPr>
      <w:r>
        <w:rPr>
          <w:rFonts w:hint="eastAsia" w:ascii="宋体" w:hAnsi="宋体"/>
          <w:bCs/>
          <w:iCs/>
          <w:color w:val="000000"/>
          <w:sz w:val="28"/>
        </w:rPr>
        <w:t>证券代码：</w:t>
      </w:r>
      <w:r>
        <w:rPr>
          <w:rFonts w:ascii="宋体" w:hAnsi="宋体"/>
          <w:bCs/>
          <w:iCs/>
          <w:color w:val="000000"/>
          <w:sz w:val="28"/>
        </w:rPr>
        <w:t>688</w:t>
      </w:r>
      <w:r>
        <w:rPr>
          <w:rFonts w:hint="eastAsia" w:ascii="宋体" w:hAnsi="宋体"/>
          <w:bCs/>
          <w:iCs/>
          <w:color w:val="000000"/>
          <w:sz w:val="28"/>
        </w:rPr>
        <w:t>5</w:t>
      </w:r>
      <w:r>
        <w:rPr>
          <w:rFonts w:ascii="宋体" w:hAnsi="宋体"/>
          <w:bCs/>
          <w:iCs/>
          <w:color w:val="000000"/>
          <w:sz w:val="28"/>
        </w:rPr>
        <w:t>48</w:t>
      </w:r>
      <w:r>
        <w:rPr>
          <w:rFonts w:hint="eastAsia" w:ascii="宋体" w:hAnsi="宋体"/>
          <w:bCs/>
          <w:iCs/>
          <w:color w:val="000000"/>
          <w:sz w:val="28"/>
        </w:rPr>
        <w:t xml:space="preserve">                         证券简称：广钢气体</w:t>
      </w:r>
    </w:p>
    <w:p w14:paraId="5D1DD2F8">
      <w:pPr>
        <w:spacing w:before="156" w:beforeLines="50" w:after="156" w:afterLines="50" w:line="360" w:lineRule="auto"/>
        <w:jc w:val="center"/>
        <w:rPr>
          <w:rFonts w:hint="eastAsia" w:ascii="宋体" w:hAnsi="宋体"/>
          <w:b/>
          <w:bCs/>
          <w:iCs/>
          <w:color w:val="000000"/>
          <w:sz w:val="32"/>
          <w:szCs w:val="32"/>
        </w:rPr>
      </w:pPr>
    </w:p>
    <w:p w14:paraId="5C335F3D">
      <w:pPr>
        <w:spacing w:before="156" w:beforeLines="50" w:after="156" w:afterLines="50" w:line="360" w:lineRule="auto"/>
        <w:jc w:val="center"/>
        <w:rPr>
          <w:rFonts w:hint="eastAsia" w:ascii="宋体" w:hAnsi="宋体"/>
          <w:b/>
          <w:bCs/>
          <w:iCs/>
          <w:color w:val="000000"/>
          <w:sz w:val="32"/>
          <w:szCs w:val="32"/>
        </w:rPr>
      </w:pPr>
      <w:r>
        <w:rPr>
          <w:rFonts w:hint="eastAsia" w:ascii="宋体" w:hAnsi="宋体"/>
          <w:b/>
          <w:bCs/>
          <w:iCs/>
          <w:color w:val="000000"/>
          <w:sz w:val="32"/>
          <w:szCs w:val="32"/>
        </w:rPr>
        <w:t>广州广钢气体能源股份有限公司</w:t>
      </w:r>
    </w:p>
    <w:p w14:paraId="39D99D9F">
      <w:pPr>
        <w:spacing w:before="156" w:beforeLines="50" w:after="156" w:afterLines="50" w:line="360" w:lineRule="auto"/>
        <w:jc w:val="center"/>
        <w:rPr>
          <w:rFonts w:hint="eastAsia" w:ascii="宋体" w:hAnsi="宋体"/>
          <w:b/>
          <w:bCs/>
          <w:iCs/>
          <w:color w:val="000000"/>
          <w:sz w:val="32"/>
          <w:szCs w:val="32"/>
        </w:rPr>
      </w:pPr>
      <w:r>
        <w:rPr>
          <w:rFonts w:hint="eastAsia" w:ascii="宋体" w:hAnsi="宋体"/>
          <w:b/>
          <w:bCs/>
          <w:iCs/>
          <w:color w:val="000000"/>
          <w:sz w:val="32"/>
          <w:szCs w:val="32"/>
        </w:rPr>
        <w:t>投资者关系活动记录表</w:t>
      </w:r>
    </w:p>
    <w:p w14:paraId="6C80BD44">
      <w:pPr>
        <w:spacing w:line="360" w:lineRule="auto"/>
        <w:rPr>
          <w:rFonts w:hint="eastAsia" w:ascii="宋体" w:hAnsi="宋体"/>
          <w:bCs/>
          <w:iCs/>
          <w:color w:val="000000"/>
          <w:sz w:val="24"/>
        </w:rPr>
      </w:pPr>
      <w:r>
        <w:rPr>
          <w:rFonts w:hint="eastAsia" w:ascii="宋体" w:hAnsi="宋体"/>
          <w:bCs/>
          <w:iCs/>
          <w:color w:val="000000"/>
          <w:sz w:val="24"/>
        </w:rPr>
        <w:t xml:space="preserve">                                                        编号：2</w:t>
      </w:r>
      <w:r>
        <w:rPr>
          <w:rFonts w:ascii="宋体" w:hAnsi="宋体"/>
          <w:bCs/>
          <w:iCs/>
          <w:color w:val="000000"/>
          <w:sz w:val="24"/>
        </w:rPr>
        <w:t>02</w:t>
      </w:r>
      <w:r>
        <w:rPr>
          <w:rFonts w:hint="eastAsia" w:ascii="宋体" w:hAnsi="宋体"/>
          <w:bCs/>
          <w:iCs/>
          <w:color w:val="000000"/>
          <w:sz w:val="24"/>
        </w:rPr>
        <w:t>6-</w:t>
      </w:r>
      <w:r>
        <w:rPr>
          <w:rFonts w:ascii="宋体" w:hAnsi="宋体"/>
          <w:bCs/>
          <w:iCs/>
          <w:color w:val="000000"/>
          <w:sz w:val="24"/>
        </w:rPr>
        <w:t>00</w:t>
      </w:r>
      <w:r>
        <w:rPr>
          <w:rFonts w:hint="eastAsia" w:ascii="宋体" w:hAnsi="宋体"/>
          <w:bCs/>
          <w:iCs/>
          <w:color w:val="000000"/>
          <w:sz w:val="24"/>
        </w:rPr>
        <w:t>6</w:t>
      </w:r>
    </w:p>
    <w:tbl>
      <w:tblPr>
        <w:tblStyle w:val="9"/>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9"/>
        <w:gridCol w:w="6631"/>
      </w:tblGrid>
      <w:tr w14:paraId="59FA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21E9D81C">
            <w:pPr>
              <w:spacing w:line="360" w:lineRule="auto"/>
              <w:rPr>
                <w:rFonts w:hint="eastAsia" w:ascii="宋体" w:hAnsi="宋体"/>
                <w:bCs/>
                <w:iCs/>
                <w:color w:val="000000"/>
                <w:sz w:val="24"/>
              </w:rPr>
            </w:pPr>
            <w:bookmarkStart w:id="0" w:name="_GoBack" w:colFirst="1" w:colLast="1"/>
            <w:r>
              <w:rPr>
                <w:rFonts w:hint="eastAsia" w:ascii="宋体" w:hAnsi="宋体"/>
                <w:bCs/>
                <w:iCs/>
                <w:color w:val="000000"/>
                <w:sz w:val="24"/>
              </w:rPr>
              <w:t>投资者关系活动类别</w:t>
            </w:r>
          </w:p>
          <w:p w14:paraId="23146E22">
            <w:pPr>
              <w:spacing w:line="360" w:lineRule="auto"/>
              <w:rPr>
                <w:rFonts w:hint="eastAsia" w:ascii="宋体" w:hAnsi="宋体"/>
                <w:bCs/>
                <w:iCs/>
                <w:color w:val="000000"/>
                <w:sz w:val="24"/>
              </w:rPr>
            </w:pPr>
          </w:p>
        </w:tc>
        <w:tc>
          <w:tcPr>
            <w:tcW w:w="6631" w:type="dxa"/>
            <w:tcBorders>
              <w:top w:val="single" w:color="auto" w:sz="4" w:space="0"/>
              <w:left w:val="single" w:color="auto" w:sz="4" w:space="0"/>
              <w:bottom w:val="single" w:color="auto" w:sz="4" w:space="0"/>
              <w:right w:val="single" w:color="auto" w:sz="4" w:space="0"/>
            </w:tcBorders>
          </w:tcPr>
          <w:p w14:paraId="61D1DE86">
            <w:pPr>
              <w:spacing w:line="360" w:lineRule="auto"/>
              <w:rPr>
                <w:rFonts w:hint="eastAsia" w:ascii="宋体" w:hAnsi="宋体"/>
                <w:bCs/>
                <w:iCs/>
                <w:color w:val="000000"/>
                <w:sz w:val="24"/>
              </w:rPr>
            </w:pPr>
            <w:r>
              <w:rPr>
                <w:rFonts w:hint="eastAsia" w:ascii="宋体" w:hAnsi="宋体"/>
                <w:bCs/>
                <w:iCs/>
                <w:color w:val="000000"/>
                <w:sz w:val="24"/>
              </w:rPr>
              <w:t>□</w:t>
            </w:r>
            <w:r>
              <w:rPr>
                <w:rFonts w:hint="eastAsia" w:ascii="宋体" w:hAnsi="宋体"/>
                <w:sz w:val="24"/>
              </w:rPr>
              <w:t xml:space="preserve">特定对象调研        </w:t>
            </w:r>
            <w:r>
              <w:rPr>
                <w:rFonts w:hint="eastAsia" w:ascii="宋体" w:hAnsi="宋体"/>
                <w:bCs/>
                <w:iCs/>
                <w:color w:val="000000"/>
                <w:sz w:val="24"/>
              </w:rPr>
              <w:t>□</w:t>
            </w:r>
            <w:r>
              <w:rPr>
                <w:rFonts w:hint="eastAsia" w:ascii="宋体" w:hAnsi="宋体"/>
                <w:sz w:val="24"/>
              </w:rPr>
              <w:t>分析师会议</w:t>
            </w:r>
          </w:p>
          <w:p w14:paraId="4B52A228">
            <w:pPr>
              <w:spacing w:line="360" w:lineRule="auto"/>
              <w:rPr>
                <w:rFonts w:hint="eastAsia" w:ascii="宋体" w:hAnsi="宋体"/>
                <w:bCs/>
                <w:iCs/>
                <w:color w:val="000000"/>
                <w:sz w:val="24"/>
              </w:rPr>
            </w:pPr>
            <w:r>
              <w:rPr>
                <w:rFonts w:hint="eastAsia" w:ascii="宋体" w:hAnsi="宋体"/>
                <w:bCs/>
                <w:iCs/>
                <w:color w:val="000000"/>
                <w:sz w:val="24"/>
              </w:rPr>
              <w:t>□</w:t>
            </w:r>
            <w:r>
              <w:rPr>
                <w:rFonts w:hint="eastAsia" w:ascii="宋体" w:hAnsi="宋体"/>
                <w:sz w:val="24"/>
              </w:rPr>
              <w:t xml:space="preserve">媒体采访            </w:t>
            </w:r>
            <w:r>
              <w:rPr>
                <w:rFonts w:hint="eastAsia" w:ascii="宋体" w:hAnsi="宋体"/>
                <w:bCs/>
                <w:iCs/>
                <w:color w:val="000000"/>
                <w:sz w:val="24"/>
              </w:rPr>
              <w:t>□</w:t>
            </w:r>
            <w:r>
              <w:rPr>
                <w:rFonts w:hint="eastAsia" w:ascii="宋体" w:hAnsi="宋体"/>
                <w:sz w:val="24"/>
              </w:rPr>
              <w:t>业绩说明会</w:t>
            </w:r>
          </w:p>
          <w:p w14:paraId="3C23AC74">
            <w:pPr>
              <w:spacing w:line="360" w:lineRule="auto"/>
              <w:rPr>
                <w:rFonts w:hint="eastAsia" w:ascii="宋体" w:hAnsi="宋体"/>
                <w:sz w:val="24"/>
              </w:rPr>
            </w:pPr>
            <w:r>
              <w:rPr>
                <w:rFonts w:hint="eastAsia" w:ascii="宋体" w:hAnsi="宋体"/>
                <w:bCs/>
                <w:iCs/>
                <w:color w:val="000000"/>
                <w:sz w:val="24"/>
              </w:rPr>
              <w:t>□</w:t>
            </w:r>
            <w:r>
              <w:rPr>
                <w:rFonts w:hint="eastAsia" w:ascii="宋体" w:hAnsi="宋体"/>
                <w:sz w:val="24"/>
              </w:rPr>
              <w:t xml:space="preserve">新闻发布会          </w:t>
            </w:r>
            <w:r>
              <w:rPr>
                <w:rFonts w:hint="eastAsia" w:ascii="宋体" w:hAnsi="宋体"/>
                <w:bCs/>
                <w:iCs/>
                <w:color w:val="000000"/>
                <w:sz w:val="24"/>
              </w:rPr>
              <w:t>□</w:t>
            </w:r>
            <w:r>
              <w:rPr>
                <w:rFonts w:hint="eastAsia" w:ascii="宋体" w:hAnsi="宋体"/>
                <w:sz w:val="24"/>
              </w:rPr>
              <w:t>路演活动</w:t>
            </w:r>
          </w:p>
          <w:p w14:paraId="3F9BA267">
            <w:pPr>
              <w:spacing w:line="360" w:lineRule="auto"/>
              <w:rPr>
                <w:rFonts w:hint="eastAsia" w:ascii="宋体" w:hAnsi="宋体"/>
                <w:bCs/>
                <w:iCs/>
                <w:color w:val="000000"/>
                <w:sz w:val="24"/>
              </w:rPr>
            </w:pPr>
            <w:r>
              <w:rPr>
                <w:rFonts w:hint="eastAsia" w:ascii="宋体" w:hAnsi="宋体"/>
                <w:bCs/>
                <w:iCs/>
                <w:color w:val="000000"/>
                <w:sz w:val="24"/>
              </w:rPr>
              <w:t>□</w:t>
            </w:r>
            <w:r>
              <w:rPr>
                <w:rFonts w:hint="eastAsia" w:ascii="宋体" w:hAnsi="宋体"/>
                <w:sz w:val="24"/>
              </w:rPr>
              <w:t xml:space="preserve">现场参观          </w:t>
            </w:r>
            <w:r>
              <w:rPr>
                <w:rFonts w:ascii="宋体" w:hAnsi="宋体"/>
                <w:sz w:val="24"/>
              </w:rPr>
              <w:t xml:space="preserve">  </w:t>
            </w:r>
            <w:r>
              <w:rPr>
                <w:rFonts w:hint="eastAsia" w:ascii="宋体" w:hAnsi="宋体"/>
                <w:bCs/>
                <w:iCs/>
                <w:color w:val="000000"/>
                <w:sz w:val="24"/>
              </w:rPr>
              <w:t>□</w:t>
            </w:r>
            <w:r>
              <w:rPr>
                <w:rFonts w:hint="eastAsia" w:ascii="宋体" w:hAnsi="宋体"/>
                <w:sz w:val="24"/>
              </w:rPr>
              <w:t>电话会议</w:t>
            </w:r>
          </w:p>
          <w:p w14:paraId="50B20F1A">
            <w:pPr>
              <w:tabs>
                <w:tab w:val="center" w:pos="3199"/>
              </w:tabs>
              <w:spacing w:line="360" w:lineRule="auto"/>
              <w:rPr>
                <w:rFonts w:hint="eastAsia" w:ascii="宋体" w:hAnsi="宋体"/>
                <w:bCs/>
                <w:iCs/>
                <w:color w:val="000000"/>
                <w:sz w:val="24"/>
              </w:rPr>
            </w:pPr>
            <w:r>
              <w:rPr>
                <w:rFonts w:hint="eastAsia" w:ascii="宋体" w:hAnsi="宋体"/>
                <w:bCs/>
                <w:iCs/>
                <w:color w:val="000000"/>
                <w:sz w:val="24"/>
              </w:rPr>
              <w:t>√</w:t>
            </w:r>
            <w:r>
              <w:rPr>
                <w:rFonts w:hint="eastAsia" w:ascii="宋体" w:hAnsi="宋体"/>
                <w:sz w:val="24"/>
              </w:rPr>
              <w:t>其他（2026年集体投资者会议）</w:t>
            </w:r>
          </w:p>
        </w:tc>
      </w:tr>
      <w:tr w14:paraId="0995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6DFAB11A">
            <w:pPr>
              <w:spacing w:line="360" w:lineRule="auto"/>
              <w:rPr>
                <w:rFonts w:hint="eastAsia" w:ascii="宋体" w:hAnsi="宋体"/>
                <w:bCs/>
                <w:iCs/>
                <w:color w:val="000000"/>
                <w:sz w:val="24"/>
              </w:rPr>
            </w:pPr>
            <w:r>
              <w:rPr>
                <w:rFonts w:hint="eastAsia" w:ascii="宋体" w:hAnsi="宋体"/>
                <w:bCs/>
                <w:iCs/>
                <w:color w:val="000000"/>
                <w:sz w:val="24"/>
              </w:rPr>
              <w:t>参与单位名称</w:t>
            </w:r>
          </w:p>
          <w:p w14:paraId="45693558">
            <w:pPr>
              <w:spacing w:line="360" w:lineRule="auto"/>
              <w:rPr>
                <w:rFonts w:hint="eastAsia" w:ascii="宋体" w:hAnsi="宋体"/>
                <w:bCs/>
                <w:iCs/>
                <w:color w:val="000000"/>
                <w:sz w:val="24"/>
              </w:rPr>
            </w:pPr>
            <w:r>
              <w:rPr>
                <w:rFonts w:hint="eastAsia" w:ascii="宋体" w:hAnsi="宋体"/>
                <w:bCs/>
                <w:iCs/>
                <w:color w:val="000000"/>
                <w:sz w:val="24"/>
              </w:rPr>
              <w:t>（排名不分先后）</w:t>
            </w:r>
          </w:p>
        </w:tc>
        <w:tc>
          <w:tcPr>
            <w:tcW w:w="6631" w:type="dxa"/>
            <w:tcBorders>
              <w:top w:val="single" w:color="auto" w:sz="4" w:space="0"/>
              <w:left w:val="single" w:color="auto" w:sz="4" w:space="0"/>
              <w:bottom w:val="single" w:color="auto" w:sz="4" w:space="0"/>
              <w:right w:val="single" w:color="auto" w:sz="4" w:space="0"/>
            </w:tcBorders>
            <w:vAlign w:val="center"/>
          </w:tcPr>
          <w:p w14:paraId="70305765">
            <w:pPr>
              <w:spacing w:line="360" w:lineRule="auto"/>
              <w:rPr>
                <w:rFonts w:hint="eastAsia" w:ascii="宋体" w:hAnsi="宋体"/>
                <w:bCs/>
                <w:iCs/>
                <w:color w:val="000000"/>
                <w:sz w:val="24"/>
              </w:rPr>
            </w:pPr>
            <w:r>
              <w:rPr>
                <w:rFonts w:ascii="宋体" w:hAnsi="宋体"/>
                <w:bCs/>
                <w:iCs/>
                <w:color w:val="000000"/>
                <w:sz w:val="24"/>
              </w:rPr>
              <w:t>通过</w:t>
            </w:r>
            <w:r>
              <w:rPr>
                <w:rFonts w:hint="eastAsia" w:ascii="宋体" w:hAnsi="宋体"/>
                <w:bCs/>
                <w:iCs/>
                <w:color w:val="000000"/>
                <w:sz w:val="24"/>
              </w:rPr>
              <w:t>“全景路演”视频与网络文字互动相结合，参加“公司控股股东广州工业投资控股集团有限公司2026年集体投资者会议”</w:t>
            </w:r>
            <w:r>
              <w:rPr>
                <w:rFonts w:ascii="宋体" w:hAnsi="宋体"/>
                <w:bCs/>
                <w:iCs/>
                <w:color w:val="000000"/>
                <w:sz w:val="24"/>
              </w:rPr>
              <w:t>的投资者</w:t>
            </w:r>
          </w:p>
        </w:tc>
      </w:tr>
      <w:tr w14:paraId="0554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4CA09A2F">
            <w:pPr>
              <w:spacing w:line="360" w:lineRule="auto"/>
              <w:rPr>
                <w:rFonts w:hint="eastAsia" w:ascii="宋体" w:hAnsi="宋体"/>
                <w:bCs/>
                <w:iCs/>
                <w:color w:val="000000"/>
                <w:sz w:val="24"/>
              </w:rPr>
            </w:pPr>
            <w:r>
              <w:rPr>
                <w:rFonts w:hint="eastAsia" w:ascii="宋体" w:hAnsi="宋体"/>
                <w:bCs/>
                <w:iCs/>
                <w:color w:val="000000"/>
                <w:sz w:val="24"/>
              </w:rPr>
              <w:t>时间</w:t>
            </w:r>
          </w:p>
        </w:tc>
        <w:tc>
          <w:tcPr>
            <w:tcW w:w="6631" w:type="dxa"/>
            <w:tcBorders>
              <w:top w:val="single" w:color="auto" w:sz="4" w:space="0"/>
              <w:left w:val="single" w:color="auto" w:sz="4" w:space="0"/>
              <w:bottom w:val="single" w:color="auto" w:sz="4" w:space="0"/>
              <w:right w:val="single" w:color="auto" w:sz="4" w:space="0"/>
            </w:tcBorders>
          </w:tcPr>
          <w:p w14:paraId="4847CB73">
            <w:pPr>
              <w:spacing w:line="360" w:lineRule="auto"/>
              <w:rPr>
                <w:rFonts w:hint="eastAsia" w:ascii="宋体" w:hAnsi="宋体"/>
                <w:bCs/>
                <w:iCs/>
                <w:color w:val="000000"/>
                <w:sz w:val="24"/>
              </w:rPr>
            </w:pPr>
            <w:r>
              <w:rPr>
                <w:rFonts w:hint="eastAsia" w:ascii="宋体" w:hAnsi="宋体"/>
                <w:bCs/>
                <w:iCs/>
                <w:color w:val="000000"/>
                <w:sz w:val="24"/>
              </w:rPr>
              <w:t>2</w:t>
            </w:r>
            <w:r>
              <w:rPr>
                <w:rFonts w:ascii="宋体" w:hAnsi="宋体"/>
                <w:bCs/>
                <w:iCs/>
                <w:color w:val="000000"/>
                <w:sz w:val="24"/>
              </w:rPr>
              <w:t>02</w:t>
            </w:r>
            <w:r>
              <w:rPr>
                <w:rFonts w:hint="eastAsia" w:ascii="宋体" w:hAnsi="宋体"/>
                <w:bCs/>
                <w:iCs/>
                <w:color w:val="000000"/>
                <w:sz w:val="24"/>
              </w:rPr>
              <w:t>6年9月22日</w:t>
            </w:r>
            <w:r>
              <w:rPr>
                <w:rFonts w:ascii="宋体" w:hAnsi="宋体"/>
                <w:bCs/>
                <w:iCs/>
                <w:color w:val="000000"/>
                <w:sz w:val="24"/>
              </w:rPr>
              <w:t>1</w:t>
            </w:r>
            <w:r>
              <w:rPr>
                <w:rFonts w:hint="eastAsia" w:ascii="宋体" w:hAnsi="宋体"/>
                <w:bCs/>
                <w:iCs/>
                <w:color w:val="000000"/>
                <w:sz w:val="24"/>
              </w:rPr>
              <w:t>4</w:t>
            </w:r>
            <w:r>
              <w:rPr>
                <w:rFonts w:ascii="宋体" w:hAnsi="宋体"/>
                <w:bCs/>
                <w:iCs/>
                <w:color w:val="000000"/>
                <w:sz w:val="24"/>
              </w:rPr>
              <w:t>:</w:t>
            </w:r>
            <w:r>
              <w:rPr>
                <w:rFonts w:hint="eastAsia" w:ascii="宋体" w:hAnsi="宋体"/>
                <w:bCs/>
                <w:iCs/>
                <w:color w:val="000000"/>
                <w:sz w:val="24"/>
              </w:rPr>
              <w:t>0</w:t>
            </w:r>
            <w:r>
              <w:rPr>
                <w:rFonts w:ascii="宋体" w:hAnsi="宋体"/>
                <w:bCs/>
                <w:iCs/>
                <w:color w:val="000000"/>
                <w:sz w:val="24"/>
              </w:rPr>
              <w:t>0-17:</w:t>
            </w:r>
            <w:r>
              <w:rPr>
                <w:rFonts w:hint="eastAsia" w:ascii="宋体" w:hAnsi="宋体"/>
                <w:bCs/>
                <w:iCs/>
                <w:color w:val="000000"/>
                <w:sz w:val="24"/>
              </w:rPr>
              <w:t>3</w:t>
            </w:r>
            <w:r>
              <w:rPr>
                <w:rFonts w:ascii="宋体" w:hAnsi="宋体"/>
                <w:bCs/>
                <w:iCs/>
                <w:color w:val="000000"/>
                <w:sz w:val="24"/>
              </w:rPr>
              <w:t>0</w:t>
            </w:r>
          </w:p>
        </w:tc>
      </w:tr>
      <w:tr w14:paraId="5692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2267C355">
            <w:pPr>
              <w:spacing w:line="360" w:lineRule="auto"/>
              <w:rPr>
                <w:rFonts w:hint="eastAsia" w:ascii="宋体" w:hAnsi="宋体"/>
                <w:bCs/>
                <w:iCs/>
                <w:color w:val="000000"/>
                <w:sz w:val="24"/>
              </w:rPr>
            </w:pPr>
            <w:r>
              <w:rPr>
                <w:rFonts w:hint="eastAsia" w:ascii="宋体" w:hAnsi="宋体"/>
                <w:bCs/>
                <w:iCs/>
                <w:color w:val="000000"/>
                <w:sz w:val="24"/>
              </w:rPr>
              <w:t>地点</w:t>
            </w:r>
          </w:p>
        </w:tc>
        <w:tc>
          <w:tcPr>
            <w:tcW w:w="6631" w:type="dxa"/>
            <w:tcBorders>
              <w:top w:val="single" w:color="auto" w:sz="4" w:space="0"/>
              <w:left w:val="single" w:color="auto" w:sz="4" w:space="0"/>
              <w:bottom w:val="single" w:color="auto" w:sz="4" w:space="0"/>
              <w:right w:val="single" w:color="auto" w:sz="4" w:space="0"/>
            </w:tcBorders>
          </w:tcPr>
          <w:p w14:paraId="01BD4F27">
            <w:pPr>
              <w:spacing w:line="360" w:lineRule="auto"/>
              <w:rPr>
                <w:rFonts w:hint="eastAsia" w:ascii="宋体" w:hAnsi="宋体"/>
                <w:bCs/>
                <w:iCs/>
                <w:color w:val="000000"/>
                <w:sz w:val="24"/>
              </w:rPr>
            </w:pPr>
            <w:r>
              <w:rPr>
                <w:rFonts w:hint="eastAsia" w:ascii="宋体" w:hAnsi="宋体"/>
                <w:bCs/>
                <w:iCs/>
                <w:color w:val="000000"/>
                <w:sz w:val="24"/>
              </w:rPr>
              <w:t>“全景路演”网站(http://rs.p5w.net）</w:t>
            </w:r>
          </w:p>
        </w:tc>
      </w:tr>
      <w:tr w14:paraId="2C822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419FC6F4">
            <w:pPr>
              <w:spacing w:line="360" w:lineRule="auto"/>
              <w:rPr>
                <w:rFonts w:hint="eastAsia" w:ascii="宋体" w:hAnsi="宋体"/>
                <w:bCs/>
                <w:iCs/>
                <w:color w:val="000000"/>
                <w:sz w:val="24"/>
              </w:rPr>
            </w:pPr>
            <w:r>
              <w:rPr>
                <w:rFonts w:hint="eastAsia" w:ascii="宋体" w:hAnsi="宋体"/>
                <w:bCs/>
                <w:iCs/>
                <w:color w:val="000000"/>
                <w:sz w:val="24"/>
              </w:rPr>
              <w:t>上市公司接待人员</w:t>
            </w:r>
          </w:p>
        </w:tc>
        <w:tc>
          <w:tcPr>
            <w:tcW w:w="6631" w:type="dxa"/>
            <w:tcBorders>
              <w:top w:val="single" w:color="auto" w:sz="4" w:space="0"/>
              <w:left w:val="single" w:color="auto" w:sz="4" w:space="0"/>
              <w:bottom w:val="single" w:color="auto" w:sz="4" w:space="0"/>
              <w:right w:val="single" w:color="auto" w:sz="4" w:space="0"/>
            </w:tcBorders>
          </w:tcPr>
          <w:p w14:paraId="29A06478">
            <w:pPr>
              <w:spacing w:line="360" w:lineRule="auto"/>
              <w:rPr>
                <w:rFonts w:hint="eastAsia" w:ascii="宋体" w:hAnsi="宋体"/>
                <w:bCs/>
                <w:iCs/>
                <w:color w:val="000000"/>
                <w:sz w:val="24"/>
              </w:rPr>
            </w:pPr>
            <w:r>
              <w:rPr>
                <w:rFonts w:ascii="宋体" w:hAnsi="宋体"/>
                <w:bCs/>
                <w:iCs/>
                <w:color w:val="000000"/>
                <w:sz w:val="24"/>
              </w:rPr>
              <w:t>党委书记</w:t>
            </w:r>
            <w:r>
              <w:rPr>
                <w:rFonts w:hint="eastAsia" w:ascii="宋体" w:hAnsi="宋体"/>
                <w:bCs/>
                <w:iCs/>
                <w:color w:val="000000"/>
                <w:sz w:val="24"/>
              </w:rPr>
              <w:t>、董事长、首席科学家：邓韬先生</w:t>
            </w:r>
          </w:p>
          <w:p w14:paraId="093B23AB">
            <w:pPr>
              <w:spacing w:line="360" w:lineRule="auto"/>
              <w:rPr>
                <w:rFonts w:hint="eastAsia" w:ascii="宋体" w:hAnsi="宋体"/>
                <w:bCs/>
                <w:iCs/>
                <w:color w:val="000000"/>
                <w:sz w:val="24"/>
              </w:rPr>
            </w:pPr>
            <w:r>
              <w:rPr>
                <w:rFonts w:hint="eastAsia" w:ascii="宋体" w:hAnsi="宋体"/>
                <w:bCs/>
                <w:iCs/>
                <w:color w:val="000000"/>
                <w:sz w:val="24"/>
              </w:rPr>
              <w:t>总会计师（财务负责人）：施海光先生</w:t>
            </w:r>
          </w:p>
          <w:p w14:paraId="3CD402F4">
            <w:pPr>
              <w:spacing w:line="360" w:lineRule="auto"/>
              <w:rPr>
                <w:rFonts w:hint="eastAsia" w:ascii="宋体" w:hAnsi="宋体"/>
                <w:bCs/>
                <w:iCs/>
                <w:color w:val="000000"/>
                <w:sz w:val="24"/>
              </w:rPr>
            </w:pPr>
            <w:r>
              <w:rPr>
                <w:rFonts w:hint="eastAsia" w:ascii="宋体" w:hAnsi="宋体"/>
                <w:bCs/>
                <w:iCs/>
                <w:color w:val="000000"/>
                <w:sz w:val="24"/>
              </w:rPr>
              <w:t>董事会秘书、</w:t>
            </w:r>
            <w:r>
              <w:rPr>
                <w:rFonts w:ascii="宋体" w:hAnsi="宋体"/>
                <w:bCs/>
                <w:iCs/>
                <w:color w:val="000000"/>
                <w:sz w:val="24"/>
              </w:rPr>
              <w:t>总法律顾问</w:t>
            </w:r>
            <w:r>
              <w:rPr>
                <w:rFonts w:hint="eastAsia" w:ascii="宋体" w:hAnsi="宋体"/>
                <w:bCs/>
                <w:iCs/>
                <w:color w:val="000000"/>
                <w:sz w:val="24"/>
              </w:rPr>
              <w:t>：贺新先生</w:t>
            </w:r>
          </w:p>
        </w:tc>
      </w:tr>
      <w:tr w14:paraId="67A9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193CA328">
            <w:pPr>
              <w:spacing w:line="360" w:lineRule="auto"/>
              <w:rPr>
                <w:rFonts w:hint="eastAsia" w:ascii="宋体" w:hAnsi="宋体"/>
                <w:bCs/>
                <w:iCs/>
                <w:color w:val="000000"/>
                <w:sz w:val="24"/>
              </w:rPr>
            </w:pPr>
            <w:r>
              <w:rPr>
                <w:rFonts w:hint="eastAsia" w:ascii="宋体" w:hAnsi="宋体"/>
                <w:bCs/>
                <w:iCs/>
                <w:color w:val="000000"/>
                <w:sz w:val="24"/>
              </w:rPr>
              <w:t>投资者关系活动主要内容介绍</w:t>
            </w:r>
          </w:p>
        </w:tc>
        <w:tc>
          <w:tcPr>
            <w:tcW w:w="6631" w:type="dxa"/>
            <w:tcBorders>
              <w:top w:val="single" w:color="auto" w:sz="4" w:space="0"/>
              <w:left w:val="single" w:color="auto" w:sz="4" w:space="0"/>
              <w:bottom w:val="single" w:color="auto" w:sz="4" w:space="0"/>
              <w:right w:val="single" w:color="auto" w:sz="4" w:space="0"/>
            </w:tcBorders>
          </w:tcPr>
          <w:p w14:paraId="741C8ACD">
            <w:pPr>
              <w:widowControl/>
              <w:spacing w:line="360" w:lineRule="auto"/>
              <w:rPr>
                <w:rFonts w:hint="eastAsia" w:ascii="宋体" w:hAnsi="宋体" w:cs="宋体"/>
                <w:b/>
                <w:iCs/>
                <w:color w:val="000000"/>
                <w:sz w:val="24"/>
              </w:rPr>
            </w:pPr>
            <w:r>
              <w:rPr>
                <w:rFonts w:hint="eastAsia" w:ascii="宋体" w:hAnsi="宋体" w:cs="宋体"/>
                <w:b/>
                <w:iCs/>
                <w:color w:val="000000"/>
                <w:sz w:val="24"/>
              </w:rPr>
              <w:t>Q1、电子大宗气体是这轮增长的主要看点，上半年占营收比例到多少了？新签客户的产线什么时候开始贡献收入？</w:t>
            </w:r>
          </w:p>
          <w:p w14:paraId="144F9C9E">
            <w:pPr>
              <w:widowControl/>
              <w:spacing w:line="360" w:lineRule="auto"/>
              <w:rPr>
                <w:rFonts w:hint="eastAsia" w:ascii="宋体" w:hAnsi="宋体"/>
                <w:bCs/>
                <w:iCs/>
                <w:color w:val="000000"/>
                <w:sz w:val="24"/>
              </w:rPr>
            </w:pPr>
            <w:r>
              <w:rPr>
                <w:rFonts w:hint="eastAsia" w:ascii="宋体" w:hAnsi="宋体"/>
                <w:bCs/>
                <w:iCs/>
                <w:color w:val="000000"/>
                <w:sz w:val="24"/>
              </w:rPr>
              <w:t>答：2026年上半年，公司电子大宗气体业务实现营业收入10.56亿元，占营业收入的比例为79.20%。目前，公司在合肥、武汉、成都等半导体重点区域项目仍在投入建设，有望在下半年陆续建成投入运营。</w:t>
            </w:r>
          </w:p>
          <w:p w14:paraId="34452242">
            <w:pPr>
              <w:widowControl/>
              <w:spacing w:line="360" w:lineRule="auto"/>
              <w:rPr>
                <w:rFonts w:hint="eastAsia" w:ascii="宋体" w:hAnsi="宋体"/>
                <w:bCs/>
                <w:iCs/>
                <w:color w:val="000000"/>
                <w:sz w:val="24"/>
              </w:rPr>
            </w:pPr>
          </w:p>
          <w:p w14:paraId="2F706412">
            <w:pPr>
              <w:widowControl/>
              <w:spacing w:line="360" w:lineRule="auto"/>
              <w:rPr>
                <w:rFonts w:hint="eastAsia" w:ascii="宋体" w:hAnsi="宋体"/>
                <w:b/>
                <w:iCs/>
                <w:color w:val="000000"/>
                <w:sz w:val="24"/>
              </w:rPr>
            </w:pPr>
            <w:r>
              <w:rPr>
                <w:rFonts w:hint="eastAsia" w:ascii="宋体" w:hAnsi="宋体" w:cs="宋体"/>
                <w:b/>
                <w:iCs/>
                <w:color w:val="000000"/>
                <w:sz w:val="24"/>
              </w:rPr>
              <w:t>Q2、</w:t>
            </w:r>
            <w:r>
              <w:rPr>
                <w:rFonts w:hint="eastAsia" w:ascii="宋体" w:hAnsi="宋体"/>
                <w:b/>
                <w:iCs/>
                <w:color w:val="000000"/>
                <w:sz w:val="24"/>
              </w:rPr>
              <w:t>公司中期分红每10股派0.78元、合计约1.03亿，占上半年净利四成左右。想请董秘介绍下，后续分红比例会不会稳定在这个水平？</w:t>
            </w:r>
          </w:p>
          <w:p w14:paraId="77B4A19F">
            <w:pPr>
              <w:widowControl/>
              <w:spacing w:line="360" w:lineRule="auto"/>
              <w:rPr>
                <w:rFonts w:hint="eastAsia" w:ascii="宋体" w:hAnsi="宋体"/>
                <w:bCs/>
                <w:iCs/>
                <w:color w:val="000000"/>
                <w:sz w:val="24"/>
              </w:rPr>
            </w:pPr>
            <w:r>
              <w:rPr>
                <w:rFonts w:hint="eastAsia" w:ascii="宋体" w:hAnsi="宋体"/>
                <w:bCs/>
                <w:iCs/>
                <w:color w:val="000000"/>
                <w:sz w:val="24"/>
              </w:rPr>
              <w:t>答：公司重视对投资者的合理回报，秉承“以投资者为本”的发展理念，积极为全体股东创造更多回报价值。2026 年上半年，公司拟每10股派发现金红利0.78元（含税）。未来公司将继续聚焦主业、提质增效，努力提升盈利能力和现金流水平，争取为股东创造持续、稳定、可预期的回报。涉及利润分配的具体事项，公司将严格按照规定履行审议程序和信息披露义务。</w:t>
            </w:r>
          </w:p>
          <w:p w14:paraId="727C9A6E">
            <w:pPr>
              <w:widowControl/>
              <w:spacing w:line="360" w:lineRule="auto"/>
              <w:rPr>
                <w:rFonts w:hint="eastAsia" w:ascii="宋体" w:hAnsi="宋体"/>
                <w:bCs/>
                <w:iCs/>
                <w:color w:val="000000"/>
                <w:sz w:val="24"/>
              </w:rPr>
            </w:pPr>
          </w:p>
          <w:p w14:paraId="450061F5">
            <w:pPr>
              <w:widowControl/>
              <w:spacing w:line="360" w:lineRule="auto"/>
              <w:rPr>
                <w:rFonts w:hint="eastAsia" w:ascii="宋体" w:hAnsi="宋体" w:cs="宋体"/>
                <w:b/>
                <w:iCs/>
                <w:color w:val="000000"/>
                <w:sz w:val="24"/>
              </w:rPr>
            </w:pPr>
            <w:r>
              <w:rPr>
                <w:rFonts w:hint="eastAsia" w:ascii="宋体" w:hAnsi="宋体" w:cs="宋体"/>
                <w:b/>
                <w:iCs/>
                <w:color w:val="000000"/>
                <w:sz w:val="24"/>
              </w:rPr>
              <w:t>Q3、电子大宗这块上半年新签了哪些客户和项目？</w:t>
            </w:r>
          </w:p>
          <w:p w14:paraId="632720B9">
            <w:pPr>
              <w:widowControl/>
              <w:spacing w:line="360" w:lineRule="auto"/>
              <w:rPr>
                <w:rFonts w:hint="eastAsia" w:ascii="宋体" w:hAnsi="宋体"/>
                <w:bCs/>
                <w:iCs/>
                <w:color w:val="000000"/>
                <w:sz w:val="24"/>
              </w:rPr>
            </w:pPr>
            <w:r>
              <w:rPr>
                <w:rFonts w:hint="eastAsia" w:ascii="宋体" w:hAnsi="宋体"/>
                <w:bCs/>
                <w:iCs/>
                <w:color w:val="000000"/>
                <w:sz w:val="24"/>
              </w:rPr>
              <w:t>答：2026年上半年，伴随着重点客户的持续发展，广钢气体基于前期的深入合作，成功取得客户认可，并再次为战略客户在合肥、广州等地的扩产项目提供配套供气服务。同时，公司精准完成西南半导体产业核心区域布局，落子成都，成功获取了第11个12寸芯片配套供气项目，为国家“芯”战略的实施提供关键支撑；公司深度服务华星光电、惠科等半导体显示行业龙头，并成为全球首条规模化 TCL华星8.6代印刷OLED半导体显示产线的电子大宗气体供应商。</w:t>
            </w:r>
          </w:p>
          <w:p w14:paraId="27B73C09">
            <w:pPr>
              <w:widowControl/>
              <w:spacing w:line="360" w:lineRule="auto"/>
              <w:rPr>
                <w:rFonts w:hint="eastAsia" w:ascii="宋体" w:hAnsi="宋体"/>
                <w:bCs/>
                <w:iCs/>
                <w:color w:val="000000"/>
                <w:sz w:val="24"/>
              </w:rPr>
            </w:pPr>
          </w:p>
          <w:p w14:paraId="18579D0D">
            <w:pPr>
              <w:widowControl/>
              <w:spacing w:line="360" w:lineRule="auto"/>
              <w:rPr>
                <w:rFonts w:hint="eastAsia" w:ascii="宋体" w:hAnsi="宋体" w:cs="宋体"/>
                <w:b/>
                <w:iCs/>
                <w:color w:val="000000"/>
                <w:sz w:val="24"/>
              </w:rPr>
            </w:pPr>
            <w:r>
              <w:rPr>
                <w:rFonts w:hint="eastAsia" w:ascii="宋体" w:hAnsi="宋体" w:cs="宋体"/>
                <w:b/>
                <w:iCs/>
                <w:color w:val="000000"/>
                <w:sz w:val="24"/>
              </w:rPr>
              <w:t>Q4、请谈谈卡塔尔气源恢复的情况同，目前卡塔尔有没有货源？</w:t>
            </w:r>
          </w:p>
          <w:p w14:paraId="1DD05E3F">
            <w:pPr>
              <w:widowControl/>
              <w:spacing w:line="360" w:lineRule="auto"/>
              <w:rPr>
                <w:rFonts w:hint="eastAsia" w:ascii="宋体" w:hAnsi="宋体"/>
                <w:bCs/>
                <w:iCs/>
                <w:color w:val="000000"/>
                <w:sz w:val="24"/>
              </w:rPr>
            </w:pPr>
            <w:r>
              <w:rPr>
                <w:rFonts w:hint="eastAsia" w:ascii="宋体" w:hAnsi="宋体"/>
                <w:bCs/>
                <w:iCs/>
                <w:color w:val="000000"/>
                <w:sz w:val="24"/>
              </w:rPr>
              <w:t>答：面对复杂多变的全球地缘政治与能源市场格局，公司紧紧围绕服务国家重大战略需求，已构建全球化、多渠道、抗风险的氦气供应保障体系。气源布局方面，公司已构建涵盖中东、欧洲、北美等多区域气源的全球化氦气供应体系。公司积极进行全球资源调配。值得注意的是，卡塔尔能源的一个氦气工厂已在 2026年6月底恢复部分生产，广钢气体按照其生产供应计划进行提货。</w:t>
            </w:r>
          </w:p>
          <w:p w14:paraId="2D2A91F8">
            <w:pPr>
              <w:widowControl/>
              <w:spacing w:line="360" w:lineRule="auto"/>
              <w:rPr>
                <w:rFonts w:hint="eastAsia" w:ascii="宋体" w:hAnsi="宋体"/>
                <w:bCs/>
                <w:iCs/>
                <w:color w:val="000000"/>
                <w:sz w:val="24"/>
              </w:rPr>
            </w:pPr>
          </w:p>
          <w:p w14:paraId="069F0589">
            <w:pPr>
              <w:widowControl/>
              <w:spacing w:line="360" w:lineRule="auto"/>
              <w:rPr>
                <w:rFonts w:hint="eastAsia" w:ascii="宋体" w:hAnsi="宋体"/>
                <w:b/>
                <w:iCs/>
                <w:color w:val="000000"/>
                <w:sz w:val="24"/>
              </w:rPr>
            </w:pPr>
            <w:r>
              <w:rPr>
                <w:rFonts w:hint="eastAsia" w:ascii="宋体" w:hAnsi="宋体"/>
                <w:b/>
                <w:iCs/>
                <w:color w:val="000000"/>
                <w:sz w:val="24"/>
              </w:rPr>
              <w:t>Q5、在国外市场拓展方面，目前全国布点进度怎么样？有哪几个区域市场份额正在突破？</w:t>
            </w:r>
          </w:p>
          <w:p w14:paraId="636368B6">
            <w:pPr>
              <w:widowControl/>
              <w:spacing w:line="360" w:lineRule="auto"/>
              <w:rPr>
                <w:rFonts w:hint="eastAsia" w:ascii="宋体" w:hAnsi="宋体"/>
                <w:bCs/>
                <w:iCs/>
                <w:color w:val="000000"/>
                <w:sz w:val="24"/>
              </w:rPr>
            </w:pPr>
            <w:r>
              <w:rPr>
                <w:rFonts w:hint="eastAsia" w:ascii="宋体" w:hAnsi="宋体"/>
                <w:bCs/>
                <w:iCs/>
                <w:color w:val="000000"/>
                <w:sz w:val="24"/>
              </w:rPr>
              <w:t>答：凭借国际化、标准化、专业化的制造能力，广钢气体接连获得ASME、KGS两大国际权威认证，为公司打通全球市场、实现国际化布局进一步奠定了坚实基础，推动公司明星产品Fast-N、Super-N系列制氮机更快进入全球市场，助力公司逐步拓展海外业务布局，提升“中国智造”在全球工业气体领域的影响力。</w:t>
            </w:r>
          </w:p>
          <w:p w14:paraId="6E11AA21">
            <w:pPr>
              <w:widowControl/>
              <w:spacing w:line="360" w:lineRule="auto"/>
              <w:rPr>
                <w:rFonts w:hint="eastAsia" w:ascii="宋体" w:hAnsi="宋体"/>
                <w:bCs/>
                <w:iCs/>
                <w:color w:val="000000"/>
                <w:sz w:val="24"/>
              </w:rPr>
            </w:pPr>
          </w:p>
          <w:p w14:paraId="6B76403F">
            <w:pPr>
              <w:widowControl/>
              <w:spacing w:line="360" w:lineRule="auto"/>
              <w:rPr>
                <w:rFonts w:hint="eastAsia" w:ascii="宋体" w:hAnsi="宋体"/>
                <w:b/>
                <w:iCs/>
                <w:color w:val="000000"/>
                <w:sz w:val="24"/>
              </w:rPr>
            </w:pPr>
            <w:r>
              <w:rPr>
                <w:rFonts w:hint="eastAsia" w:ascii="宋体" w:hAnsi="宋体"/>
                <w:b/>
                <w:iCs/>
                <w:color w:val="000000"/>
                <w:sz w:val="24"/>
              </w:rPr>
              <w:t>Q6、与韩国AirFirst的合作目前是处于技术方案联合迭代阶段还是已有明确的韩国半导体产线验证时间表或首单预期；成都广钢高投的半导体项目是否已锁定具体客户（如成都某晶圆厂），预计何时投产供气？</w:t>
            </w:r>
          </w:p>
          <w:p w14:paraId="04BEE61F">
            <w:pPr>
              <w:widowControl/>
              <w:spacing w:line="360" w:lineRule="auto"/>
              <w:rPr>
                <w:rFonts w:hint="eastAsia" w:ascii="宋体" w:hAnsi="宋体"/>
                <w:bCs/>
                <w:iCs/>
                <w:color w:val="000000"/>
                <w:sz w:val="24"/>
              </w:rPr>
            </w:pPr>
            <w:r>
              <w:rPr>
                <w:rFonts w:hint="eastAsia" w:ascii="宋体" w:hAnsi="宋体"/>
                <w:bCs/>
                <w:iCs/>
                <w:color w:val="000000"/>
                <w:sz w:val="24"/>
              </w:rPr>
              <w:t>答：本次战略合作整合了AirFirst成熟的韩国客户资源及本土运维经验，以及G-gas的自主设备核心技术，可精准匹配韩国先进晶圆厂对高纯氮气供应的稳定性、经济性与高品质严谨要求。双方将打通技术与商务团队协同，加速定制化“Super-N”解决方案在韩国半导体市场的落地应用与批量交付。具体合作事项以公司公告为准。</w:t>
            </w:r>
          </w:p>
          <w:p w14:paraId="78251FAF">
            <w:pPr>
              <w:widowControl/>
              <w:spacing w:line="360" w:lineRule="auto"/>
              <w:rPr>
                <w:rFonts w:hint="eastAsia" w:ascii="宋体" w:hAnsi="宋体"/>
                <w:bCs/>
                <w:iCs/>
                <w:color w:val="000000"/>
                <w:sz w:val="24"/>
              </w:rPr>
            </w:pPr>
          </w:p>
          <w:p w14:paraId="37C1C331">
            <w:pPr>
              <w:widowControl/>
              <w:spacing w:line="360" w:lineRule="auto"/>
              <w:rPr>
                <w:rFonts w:hint="eastAsia" w:ascii="宋体" w:hAnsi="宋体"/>
                <w:b/>
                <w:iCs/>
                <w:color w:val="000000"/>
                <w:sz w:val="24"/>
              </w:rPr>
            </w:pPr>
            <w:r>
              <w:rPr>
                <w:rFonts w:hint="eastAsia" w:ascii="宋体" w:hAnsi="宋体"/>
                <w:b/>
                <w:iCs/>
                <w:color w:val="000000"/>
                <w:sz w:val="24"/>
              </w:rPr>
              <w:t>Q7、研发占比微降了几个bp。这背后主要是因为项目阶段性的原因，还是研发策略有调整？</w:t>
            </w:r>
          </w:p>
          <w:p w14:paraId="74A7E062">
            <w:pPr>
              <w:widowControl/>
              <w:spacing w:line="360" w:lineRule="auto"/>
              <w:rPr>
                <w:rFonts w:hint="eastAsia" w:ascii="宋体" w:hAnsi="宋体"/>
                <w:bCs/>
                <w:iCs/>
                <w:color w:val="000000"/>
                <w:sz w:val="24"/>
              </w:rPr>
            </w:pPr>
            <w:r>
              <w:rPr>
                <w:rFonts w:hint="eastAsia" w:ascii="宋体" w:hAnsi="宋体"/>
                <w:bCs/>
                <w:iCs/>
                <w:color w:val="000000"/>
                <w:sz w:val="24"/>
              </w:rPr>
              <w:t>答：公司重视研发投入，2026年上半年研发投入5,866.63万元，同比增长9.77%，研发投入总额保持增长。</w:t>
            </w:r>
          </w:p>
          <w:p w14:paraId="7FBAEF73">
            <w:pPr>
              <w:widowControl/>
              <w:spacing w:line="360" w:lineRule="auto"/>
              <w:rPr>
                <w:rFonts w:hint="eastAsia" w:ascii="宋体" w:hAnsi="宋体"/>
                <w:bCs/>
                <w:iCs/>
                <w:color w:val="000000"/>
                <w:sz w:val="24"/>
              </w:rPr>
            </w:pPr>
          </w:p>
          <w:p w14:paraId="2F1C913A">
            <w:pPr>
              <w:widowControl/>
              <w:spacing w:line="360" w:lineRule="auto"/>
              <w:rPr>
                <w:rFonts w:hint="eastAsia" w:ascii="宋体" w:hAnsi="宋体"/>
                <w:b/>
                <w:iCs/>
                <w:color w:val="000000"/>
                <w:sz w:val="24"/>
              </w:rPr>
            </w:pPr>
            <w:r>
              <w:rPr>
                <w:rFonts w:hint="eastAsia" w:ascii="宋体" w:hAnsi="宋体"/>
                <w:b/>
                <w:iCs/>
                <w:color w:val="000000"/>
                <w:sz w:val="24"/>
              </w:rPr>
              <w:t>Q8、归母净利翻倍，经营现金流3.61亿却同比下滑了14.53%。主要是应收账款增加了，还是资本开支的原因？</w:t>
            </w:r>
          </w:p>
          <w:p w14:paraId="12679ED9">
            <w:pPr>
              <w:widowControl/>
              <w:spacing w:line="360" w:lineRule="auto"/>
              <w:rPr>
                <w:rFonts w:hint="eastAsia" w:ascii="宋体" w:hAnsi="宋体"/>
                <w:bCs/>
                <w:iCs/>
                <w:color w:val="000000"/>
                <w:sz w:val="24"/>
              </w:rPr>
            </w:pPr>
            <w:r>
              <w:rPr>
                <w:rFonts w:hint="eastAsia" w:ascii="宋体" w:hAnsi="宋体"/>
                <w:bCs/>
                <w:iCs/>
                <w:color w:val="000000"/>
                <w:sz w:val="24"/>
              </w:rPr>
              <w:t>答：公司净利润实现翻倍，主要得益于主营业务持续增长、盈利能力提升。经营活动现金流净额同比有所下降，主要是业务快速扩张过程中，应收账款阶段性增加及存货备货等经营性资金占用上升，多重因素叠加所致。资本开支计入投资活动现金流，不影响经营现金流净额。公司高度重视现金流管理，持续加强客户信用管控、推进应收账款管理，随着后续项目逐步结算回款，经营现金流将持续改善。</w:t>
            </w:r>
          </w:p>
          <w:p w14:paraId="522A34FB">
            <w:pPr>
              <w:widowControl/>
              <w:spacing w:line="360" w:lineRule="auto"/>
              <w:rPr>
                <w:rFonts w:hint="eastAsia" w:ascii="宋体" w:hAnsi="宋体"/>
                <w:bCs/>
                <w:iCs/>
                <w:color w:val="000000"/>
                <w:sz w:val="24"/>
              </w:rPr>
            </w:pPr>
          </w:p>
          <w:p w14:paraId="2B044BA3">
            <w:pPr>
              <w:widowControl/>
              <w:spacing w:line="360" w:lineRule="auto"/>
              <w:rPr>
                <w:rFonts w:hint="eastAsia" w:ascii="宋体" w:hAnsi="宋体"/>
                <w:b/>
                <w:iCs/>
                <w:color w:val="000000"/>
                <w:sz w:val="24"/>
              </w:rPr>
            </w:pPr>
            <w:r>
              <w:rPr>
                <w:rFonts w:hint="eastAsia" w:ascii="宋体" w:hAnsi="宋体"/>
                <w:b/>
                <w:iCs/>
                <w:color w:val="000000"/>
                <w:sz w:val="24"/>
              </w:rPr>
              <w:t>Q9、氢能业务目前在制氢、加氢站、储氢这几块分别什么进展？</w:t>
            </w:r>
          </w:p>
          <w:p w14:paraId="7A6A5918">
            <w:pPr>
              <w:widowControl/>
              <w:spacing w:line="360" w:lineRule="auto"/>
              <w:rPr>
                <w:rFonts w:hint="eastAsia" w:ascii="宋体" w:hAnsi="宋体"/>
                <w:bCs/>
                <w:iCs/>
                <w:color w:val="000000"/>
                <w:sz w:val="24"/>
              </w:rPr>
            </w:pPr>
            <w:r>
              <w:rPr>
                <w:rFonts w:hint="eastAsia" w:ascii="宋体" w:hAnsi="宋体"/>
                <w:bCs/>
                <w:iCs/>
                <w:color w:val="000000"/>
                <w:sz w:val="24"/>
              </w:rPr>
              <w:t>答：公司已在广东、湖北、安徽等地布局多个氢气生产基地，具备稳定的制、储、运氢能力，可服务区域内半导体、电子类客户发展需求。</w:t>
            </w:r>
          </w:p>
          <w:p w14:paraId="5BA1DFEC">
            <w:pPr>
              <w:widowControl/>
              <w:spacing w:line="360" w:lineRule="auto"/>
              <w:rPr>
                <w:rFonts w:hint="eastAsia" w:ascii="宋体" w:hAnsi="宋体"/>
                <w:bCs/>
                <w:iCs/>
                <w:color w:val="000000"/>
                <w:sz w:val="24"/>
              </w:rPr>
            </w:pPr>
          </w:p>
          <w:p w14:paraId="612B9FB1">
            <w:pPr>
              <w:widowControl/>
              <w:spacing w:line="360" w:lineRule="auto"/>
              <w:rPr>
                <w:rFonts w:hint="eastAsia" w:ascii="宋体" w:hAnsi="宋体"/>
                <w:b/>
                <w:iCs/>
                <w:color w:val="000000"/>
                <w:sz w:val="24"/>
              </w:rPr>
            </w:pPr>
            <w:r>
              <w:rPr>
                <w:rFonts w:hint="eastAsia" w:ascii="宋体" w:hAnsi="宋体"/>
                <w:b/>
                <w:iCs/>
                <w:color w:val="000000"/>
                <w:sz w:val="24"/>
              </w:rPr>
              <w:t>Q10、国内工业气体市场，林德、杭氧、盈德这些玩家格局已经比较清楚。贵司在电子大宗上到底有什么差异化？</w:t>
            </w:r>
          </w:p>
          <w:p w14:paraId="4C2B3A0C">
            <w:pPr>
              <w:widowControl/>
              <w:spacing w:line="360" w:lineRule="auto"/>
              <w:rPr>
                <w:rFonts w:hint="eastAsia" w:ascii="宋体" w:hAnsi="宋体"/>
                <w:bCs/>
                <w:iCs/>
                <w:color w:val="000000"/>
                <w:sz w:val="24"/>
              </w:rPr>
            </w:pPr>
            <w:r>
              <w:rPr>
                <w:rFonts w:hint="eastAsia" w:ascii="宋体" w:hAnsi="宋体"/>
                <w:bCs/>
                <w:iCs/>
                <w:color w:val="000000"/>
                <w:sz w:val="24"/>
              </w:rPr>
              <w:t>答：电子大宗气体行业壁垒较高，主要参与方均得到了市场和客户的长期检验。公司依托三大核心竞争优势夯实长期发展根基：一是体制机制优势，兼具国企责任担当与市场化管理体系，以全球智慧赋能本土产业；二是专业稳定的创业团队，坚持工艺与产品持续迭代升级，能够匹配半导体客户严苛的纯度标准，形成精益求精的品控文化；三是数十年的合资和电子大宗气体行业经验，铸就了深厚的历史沉淀。未来，公司将继续推动客户多元化与全球化发展略，持续拓宽成长边界，进一步打开中长期增长空间，支撑经营业绩实现稳健、可持续增长。</w:t>
            </w:r>
          </w:p>
          <w:p w14:paraId="6AB31C22">
            <w:pPr>
              <w:widowControl/>
              <w:spacing w:line="360" w:lineRule="auto"/>
              <w:rPr>
                <w:rFonts w:hint="eastAsia" w:ascii="宋体" w:hAnsi="宋体"/>
                <w:bCs/>
                <w:iCs/>
                <w:color w:val="000000"/>
                <w:sz w:val="24"/>
              </w:rPr>
            </w:pPr>
          </w:p>
          <w:p w14:paraId="1F282396">
            <w:pPr>
              <w:widowControl/>
              <w:spacing w:line="360" w:lineRule="auto"/>
              <w:rPr>
                <w:rFonts w:hint="eastAsia" w:ascii="宋体" w:hAnsi="宋体"/>
                <w:b/>
                <w:iCs/>
                <w:color w:val="000000"/>
                <w:sz w:val="24"/>
              </w:rPr>
            </w:pPr>
            <w:r>
              <w:rPr>
                <w:rFonts w:hint="eastAsia" w:ascii="宋体" w:hAnsi="宋体"/>
                <w:b/>
                <w:iCs/>
                <w:color w:val="000000"/>
                <w:sz w:val="24"/>
              </w:rPr>
              <w:t>Q11、东南亚半导体配套这块，公司目前有没有初步的布局规划？</w:t>
            </w:r>
          </w:p>
          <w:p w14:paraId="42DC3189">
            <w:pPr>
              <w:widowControl/>
              <w:spacing w:line="360" w:lineRule="auto"/>
              <w:rPr>
                <w:rFonts w:hint="eastAsia" w:ascii="宋体" w:hAnsi="宋体"/>
                <w:bCs/>
                <w:iCs/>
                <w:color w:val="000000"/>
                <w:sz w:val="24"/>
              </w:rPr>
            </w:pPr>
            <w:r>
              <w:rPr>
                <w:rFonts w:hint="eastAsia" w:ascii="宋体" w:hAnsi="宋体"/>
                <w:bCs/>
                <w:iCs/>
                <w:color w:val="000000"/>
                <w:sz w:val="24"/>
              </w:rPr>
              <w:t>答：东南亚是国际晶圆制造及封测的产业集聚区域，凭借国际化、标准化、专业化的制造能力，广钢气体接连获得 ASME、KGS 两大国际权威认证，明星产品Fast-N、Super-N系列制氮机可以稳定生产并持续供应9N级超高纯氮气，匹配当地晶圆制造、封测企业对超高纯氮气的需求。尚处于早期规划阶段，具体以公司公告为准。</w:t>
            </w:r>
          </w:p>
          <w:p w14:paraId="25A8ED36">
            <w:pPr>
              <w:widowControl/>
              <w:spacing w:line="360" w:lineRule="auto"/>
              <w:rPr>
                <w:rFonts w:hint="eastAsia" w:ascii="宋体" w:hAnsi="宋体"/>
                <w:bCs/>
                <w:iCs/>
                <w:color w:val="000000"/>
                <w:sz w:val="24"/>
              </w:rPr>
            </w:pPr>
          </w:p>
          <w:p w14:paraId="25BC3670">
            <w:pPr>
              <w:widowControl/>
              <w:spacing w:line="360" w:lineRule="auto"/>
              <w:rPr>
                <w:rFonts w:hint="eastAsia" w:ascii="宋体" w:hAnsi="宋体"/>
                <w:b/>
                <w:iCs/>
                <w:color w:val="000000"/>
                <w:sz w:val="24"/>
              </w:rPr>
            </w:pPr>
            <w:r>
              <w:rPr>
                <w:rFonts w:hint="eastAsia" w:ascii="宋体" w:hAnsi="宋体"/>
                <w:b/>
                <w:iCs/>
                <w:color w:val="000000"/>
                <w:sz w:val="24"/>
              </w:rPr>
              <w:t>Q12、下游半导体厂的资本开支景气度，请结合最近的数据做一次说明。新项目投产节奏怎么预判？</w:t>
            </w:r>
          </w:p>
          <w:p w14:paraId="01A267DD">
            <w:pPr>
              <w:widowControl/>
              <w:spacing w:line="360" w:lineRule="auto"/>
              <w:rPr>
                <w:rFonts w:hint="eastAsia" w:ascii="宋体" w:hAnsi="宋体"/>
                <w:bCs/>
                <w:iCs/>
                <w:color w:val="000000"/>
                <w:sz w:val="24"/>
              </w:rPr>
            </w:pPr>
            <w:r>
              <w:rPr>
                <w:rFonts w:hint="eastAsia" w:ascii="宋体" w:hAnsi="宋体"/>
                <w:bCs/>
                <w:iCs/>
                <w:color w:val="000000"/>
                <w:sz w:val="24"/>
              </w:rPr>
              <w:t>答：2026年是半导体行业发展机遇期，公司将持续跟进北京、上海、武汉、合肥等多地相关重点项目。</w:t>
            </w:r>
          </w:p>
          <w:p w14:paraId="3FECC56E">
            <w:pPr>
              <w:widowControl/>
              <w:spacing w:line="360" w:lineRule="auto"/>
              <w:rPr>
                <w:rFonts w:hint="eastAsia" w:ascii="宋体" w:hAnsi="宋体"/>
                <w:bCs/>
                <w:iCs/>
                <w:color w:val="000000"/>
                <w:sz w:val="24"/>
              </w:rPr>
            </w:pPr>
          </w:p>
          <w:p w14:paraId="44E91FA4">
            <w:pPr>
              <w:widowControl/>
              <w:spacing w:line="360" w:lineRule="auto"/>
              <w:rPr>
                <w:rFonts w:hint="eastAsia" w:ascii="宋体" w:hAnsi="宋体"/>
                <w:bCs/>
                <w:iCs/>
                <w:color w:val="000000"/>
                <w:sz w:val="24"/>
              </w:rPr>
            </w:pPr>
            <w:r>
              <w:rPr>
                <w:rFonts w:hint="eastAsia" w:ascii="宋体" w:hAnsi="宋体"/>
                <w:b/>
                <w:iCs/>
                <w:color w:val="000000"/>
                <w:sz w:val="24"/>
              </w:rPr>
              <w:t>Q13、请问26年在建项目下半年能够投产的大一点的项目有哪几个？</w:t>
            </w:r>
          </w:p>
          <w:p w14:paraId="701C2E3D">
            <w:pPr>
              <w:widowControl/>
              <w:spacing w:line="360" w:lineRule="auto"/>
              <w:rPr>
                <w:rFonts w:hint="eastAsia" w:ascii="宋体" w:hAnsi="宋体"/>
                <w:bCs/>
                <w:iCs/>
                <w:color w:val="000000"/>
                <w:sz w:val="24"/>
              </w:rPr>
            </w:pPr>
            <w:r>
              <w:rPr>
                <w:rFonts w:hint="eastAsia" w:ascii="宋体" w:hAnsi="宋体"/>
                <w:bCs/>
                <w:iCs/>
                <w:color w:val="000000"/>
                <w:sz w:val="24"/>
              </w:rPr>
              <w:t>答：目前，公司在合肥、武汉、成都等半导体重点区域项目仍在投入建设，有望在今年下半年陆续建成投入运营。</w:t>
            </w:r>
          </w:p>
          <w:p w14:paraId="69B834AB">
            <w:pPr>
              <w:widowControl/>
              <w:spacing w:line="360" w:lineRule="auto"/>
              <w:rPr>
                <w:rFonts w:hint="eastAsia" w:ascii="宋体" w:hAnsi="宋体"/>
                <w:bCs/>
                <w:iCs/>
                <w:color w:val="000000"/>
                <w:sz w:val="24"/>
              </w:rPr>
            </w:pPr>
          </w:p>
          <w:p w14:paraId="14246E14">
            <w:pPr>
              <w:widowControl/>
              <w:spacing w:line="360" w:lineRule="auto"/>
              <w:rPr>
                <w:rFonts w:hint="eastAsia" w:ascii="宋体" w:hAnsi="宋体"/>
                <w:b/>
                <w:iCs/>
                <w:color w:val="000000"/>
                <w:sz w:val="24"/>
              </w:rPr>
            </w:pPr>
            <w:r>
              <w:rPr>
                <w:rFonts w:hint="eastAsia" w:ascii="宋体" w:hAnsi="宋体"/>
                <w:b/>
                <w:iCs/>
                <w:color w:val="000000"/>
                <w:sz w:val="24"/>
              </w:rPr>
              <w:t>Q14、公司上半年应收款7.42亿元，请问目前有没有改善？</w:t>
            </w:r>
          </w:p>
          <w:p w14:paraId="160E1886">
            <w:pPr>
              <w:widowControl/>
              <w:spacing w:line="360" w:lineRule="auto"/>
              <w:rPr>
                <w:rFonts w:hint="eastAsia" w:ascii="宋体" w:hAnsi="宋体"/>
                <w:bCs/>
                <w:iCs/>
                <w:color w:val="000000"/>
                <w:sz w:val="24"/>
              </w:rPr>
            </w:pPr>
            <w:r>
              <w:rPr>
                <w:rFonts w:hint="eastAsia" w:ascii="宋体" w:hAnsi="宋体"/>
                <w:bCs/>
                <w:iCs/>
                <w:color w:val="000000"/>
                <w:sz w:val="24"/>
              </w:rPr>
              <w:t>答：公司应收账款增长主要系营收增长带动，目前回款正常、经营现金流保持稳健，公司持续强化应收账款管理。相关信息请以公司在法定披露平台发布的公告为准。</w:t>
            </w:r>
          </w:p>
          <w:p w14:paraId="26F34A3F">
            <w:pPr>
              <w:widowControl/>
              <w:spacing w:line="360" w:lineRule="auto"/>
              <w:rPr>
                <w:rFonts w:hint="eastAsia" w:ascii="宋体" w:hAnsi="宋体"/>
                <w:bCs/>
                <w:iCs/>
                <w:color w:val="000000"/>
                <w:sz w:val="24"/>
              </w:rPr>
            </w:pPr>
          </w:p>
          <w:p w14:paraId="45C36204">
            <w:pPr>
              <w:widowControl/>
              <w:spacing w:line="360" w:lineRule="auto"/>
              <w:rPr>
                <w:rFonts w:hint="eastAsia" w:ascii="宋体" w:hAnsi="宋体"/>
                <w:b/>
                <w:iCs/>
                <w:color w:val="000000"/>
                <w:sz w:val="24"/>
              </w:rPr>
            </w:pPr>
            <w:r>
              <w:rPr>
                <w:rFonts w:hint="eastAsia" w:ascii="宋体" w:hAnsi="宋体"/>
                <w:b/>
                <w:iCs/>
                <w:color w:val="000000"/>
                <w:sz w:val="24"/>
              </w:rPr>
              <w:t>Q15、请问公司未来对标的国际一流企业是哪个？未来公司的定位如何？</w:t>
            </w:r>
          </w:p>
          <w:p w14:paraId="2CD1581E">
            <w:pPr>
              <w:widowControl/>
              <w:spacing w:line="360" w:lineRule="auto"/>
              <w:rPr>
                <w:rFonts w:hint="eastAsia" w:ascii="宋体" w:hAnsi="宋体"/>
                <w:bCs/>
                <w:iCs/>
                <w:color w:val="000000"/>
                <w:sz w:val="24"/>
              </w:rPr>
            </w:pPr>
            <w:r>
              <w:rPr>
                <w:rFonts w:hint="eastAsia" w:ascii="宋体" w:hAnsi="宋体"/>
                <w:bCs/>
                <w:iCs/>
                <w:color w:val="000000"/>
                <w:sz w:val="24"/>
              </w:rPr>
              <w:t>答：公司系目前国内极少数实现超高纯电子大宗气体大规模供应的内资企业，对标林德气体、液化空气、空气化工三大外资气体公司。</w:t>
            </w:r>
          </w:p>
          <w:p w14:paraId="26CF4800">
            <w:pPr>
              <w:widowControl/>
              <w:spacing w:line="360" w:lineRule="auto"/>
              <w:rPr>
                <w:rFonts w:hint="eastAsia" w:ascii="宋体" w:hAnsi="宋体"/>
                <w:bCs/>
                <w:iCs/>
                <w:color w:val="000000"/>
                <w:sz w:val="24"/>
              </w:rPr>
            </w:pPr>
          </w:p>
          <w:p w14:paraId="48C32C2F">
            <w:pPr>
              <w:widowControl/>
              <w:spacing w:line="360" w:lineRule="auto"/>
              <w:rPr>
                <w:rFonts w:hint="eastAsia" w:ascii="宋体" w:hAnsi="宋体"/>
                <w:b/>
                <w:iCs/>
                <w:color w:val="000000"/>
                <w:sz w:val="24"/>
              </w:rPr>
            </w:pPr>
            <w:r>
              <w:rPr>
                <w:rFonts w:hint="eastAsia" w:ascii="宋体" w:hAnsi="宋体"/>
                <w:b/>
                <w:iCs/>
                <w:color w:val="000000"/>
                <w:sz w:val="24"/>
              </w:rPr>
              <w:t>Q16、目前账面资产负债率大概是？后面几年电子大宗的产能扩张，资本开支量级有指引吗？</w:t>
            </w:r>
          </w:p>
          <w:p w14:paraId="03F77BAC">
            <w:pPr>
              <w:widowControl/>
              <w:spacing w:line="360" w:lineRule="auto"/>
              <w:rPr>
                <w:rFonts w:hint="eastAsia" w:ascii="宋体" w:hAnsi="宋体"/>
                <w:bCs/>
                <w:iCs/>
                <w:color w:val="000000"/>
                <w:sz w:val="24"/>
              </w:rPr>
            </w:pPr>
            <w:r>
              <w:rPr>
                <w:rFonts w:hint="eastAsia" w:ascii="宋体" w:hAnsi="宋体"/>
                <w:bCs/>
                <w:iCs/>
                <w:color w:val="000000"/>
                <w:sz w:val="24"/>
              </w:rPr>
              <w:t>答：截至2026年6月末，公司资产负债率33.61%，整体负债水平合理，财务结构稳健。近三年资本开支分别为11.04亿元、15.05亿元、13.97亿元，年均投入十亿元以上，未来将根据项目进度统筹安排，具体以定期报告披露为准。</w:t>
            </w:r>
          </w:p>
          <w:p w14:paraId="0C8734F7">
            <w:pPr>
              <w:widowControl/>
              <w:spacing w:line="360" w:lineRule="auto"/>
              <w:rPr>
                <w:rFonts w:hint="eastAsia" w:ascii="宋体" w:hAnsi="宋体"/>
                <w:bCs/>
                <w:iCs/>
                <w:color w:val="000000"/>
                <w:sz w:val="24"/>
              </w:rPr>
            </w:pPr>
          </w:p>
          <w:p w14:paraId="0DD2988E">
            <w:pPr>
              <w:widowControl/>
              <w:spacing w:line="360" w:lineRule="auto"/>
              <w:rPr>
                <w:rFonts w:hint="eastAsia" w:ascii="宋体" w:hAnsi="宋体"/>
                <w:b/>
                <w:iCs/>
                <w:color w:val="000000"/>
                <w:sz w:val="24"/>
              </w:rPr>
            </w:pPr>
            <w:r>
              <w:rPr>
                <w:rFonts w:hint="eastAsia" w:ascii="宋体" w:hAnsi="宋体"/>
                <w:b/>
                <w:iCs/>
                <w:color w:val="000000"/>
                <w:sz w:val="24"/>
              </w:rPr>
              <w:t>Q17、半年报里，营收增长19.62%，归母净利增长117.73%、扣非增121.63%，利润增速远快于收入。这主要是电子大宗气体放量带来的结构改善，还是一次性因素？</w:t>
            </w:r>
          </w:p>
          <w:p w14:paraId="7C2C78A7">
            <w:pPr>
              <w:widowControl/>
              <w:spacing w:line="360" w:lineRule="auto"/>
              <w:rPr>
                <w:rFonts w:hint="eastAsia" w:ascii="宋体" w:hAnsi="宋体"/>
                <w:bCs/>
                <w:iCs/>
                <w:color w:val="000000"/>
                <w:sz w:val="24"/>
              </w:rPr>
            </w:pPr>
            <w:r>
              <w:rPr>
                <w:rFonts w:hint="eastAsia" w:ascii="宋体" w:hAnsi="宋体"/>
                <w:bCs/>
                <w:iCs/>
                <w:color w:val="000000"/>
                <w:sz w:val="24"/>
              </w:rPr>
              <w:t>答：2026年上半年营收增长19.62%，归母净利润增长117.73%、扣非归母净利润增长121.63%，利润增速显著快于收入。增长原因主要来自两方面：一是电子大宗气体项目进入产能爬坡商业化阶段，带动收入和利润提升；二是全球氦气供需格局发生变化，价格上涨对收入和利润提升产生正向贡献。公司将继续推进在建电子大宗气体项目投产运营，持续推动后续业绩增长。</w:t>
            </w:r>
          </w:p>
          <w:p w14:paraId="1F6135BF">
            <w:pPr>
              <w:widowControl/>
              <w:spacing w:line="360" w:lineRule="auto"/>
              <w:rPr>
                <w:rFonts w:hint="eastAsia" w:ascii="宋体" w:hAnsi="宋体"/>
                <w:bCs/>
                <w:iCs/>
                <w:color w:val="000000"/>
                <w:sz w:val="24"/>
              </w:rPr>
            </w:pPr>
          </w:p>
          <w:p w14:paraId="2DCF6B67">
            <w:pPr>
              <w:widowControl/>
              <w:spacing w:line="360" w:lineRule="auto"/>
              <w:rPr>
                <w:rFonts w:hint="eastAsia" w:ascii="宋体" w:hAnsi="宋体"/>
                <w:b/>
                <w:iCs/>
                <w:color w:val="000000"/>
                <w:sz w:val="24"/>
              </w:rPr>
            </w:pPr>
            <w:r>
              <w:rPr>
                <w:rFonts w:hint="eastAsia" w:ascii="宋体" w:hAnsi="宋体"/>
                <w:b/>
                <w:iCs/>
                <w:color w:val="000000"/>
                <w:sz w:val="24"/>
              </w:rPr>
              <w:t>Q18、下半年还有什么扩产项目？</w:t>
            </w:r>
          </w:p>
          <w:p w14:paraId="748274AF">
            <w:pPr>
              <w:widowControl/>
              <w:spacing w:line="360" w:lineRule="auto"/>
              <w:rPr>
                <w:rFonts w:hint="eastAsia" w:ascii="宋体" w:hAnsi="宋体"/>
                <w:bCs/>
                <w:iCs/>
                <w:color w:val="000000"/>
                <w:sz w:val="24"/>
              </w:rPr>
            </w:pPr>
            <w:r>
              <w:rPr>
                <w:rFonts w:hint="eastAsia" w:ascii="宋体" w:hAnsi="宋体"/>
                <w:bCs/>
                <w:iCs/>
                <w:color w:val="000000"/>
                <w:sz w:val="24"/>
              </w:rPr>
              <w:t>答：2026年是半导体行业发展机遇期，公司将持续跟进北京、上海、武汉、合肥等多地相关重点项目。</w:t>
            </w:r>
          </w:p>
        </w:tc>
      </w:tr>
      <w:tr w14:paraId="7D6A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654C08C9">
            <w:pPr>
              <w:spacing w:line="360" w:lineRule="auto"/>
              <w:rPr>
                <w:rFonts w:hint="eastAsia" w:ascii="宋体" w:hAnsi="宋体"/>
                <w:bCs/>
                <w:iCs/>
                <w:color w:val="000000"/>
                <w:sz w:val="24"/>
              </w:rPr>
            </w:pPr>
            <w:r>
              <w:rPr>
                <w:rFonts w:hint="eastAsia" w:ascii="宋体" w:hAnsi="宋体"/>
                <w:bCs/>
                <w:iCs/>
                <w:color w:val="000000"/>
                <w:sz w:val="24"/>
              </w:rPr>
              <w:t>附件清单（如有）</w:t>
            </w:r>
          </w:p>
        </w:tc>
        <w:tc>
          <w:tcPr>
            <w:tcW w:w="6631" w:type="dxa"/>
            <w:tcBorders>
              <w:top w:val="single" w:color="auto" w:sz="4" w:space="0"/>
              <w:left w:val="single" w:color="auto" w:sz="4" w:space="0"/>
              <w:bottom w:val="single" w:color="auto" w:sz="4" w:space="0"/>
              <w:right w:val="single" w:color="auto" w:sz="4" w:space="0"/>
            </w:tcBorders>
            <w:vAlign w:val="center"/>
          </w:tcPr>
          <w:p w14:paraId="30F9E249">
            <w:pPr>
              <w:rPr>
                <w:rFonts w:hint="eastAsia" w:ascii="宋体" w:hAnsi="宋体"/>
                <w:bCs/>
                <w:iCs/>
                <w:color w:val="000000"/>
                <w:sz w:val="24"/>
              </w:rPr>
            </w:pPr>
            <w:r>
              <w:rPr>
                <w:rFonts w:hint="eastAsia" w:ascii="宋体" w:hAnsi="宋体"/>
                <w:bCs/>
                <w:iCs/>
                <w:color w:val="000000"/>
                <w:sz w:val="24"/>
              </w:rPr>
              <w:t>无</w:t>
            </w:r>
          </w:p>
        </w:tc>
      </w:tr>
      <w:tr w14:paraId="21DF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047B39D6">
            <w:pPr>
              <w:spacing w:line="360" w:lineRule="auto"/>
              <w:rPr>
                <w:rFonts w:hint="eastAsia" w:ascii="宋体" w:hAnsi="宋体"/>
                <w:bCs/>
                <w:iCs/>
                <w:color w:val="000000"/>
                <w:sz w:val="24"/>
              </w:rPr>
            </w:pPr>
            <w:r>
              <w:rPr>
                <w:rFonts w:hint="eastAsia" w:ascii="宋体" w:hAnsi="宋体"/>
                <w:bCs/>
                <w:iCs/>
                <w:color w:val="000000"/>
                <w:sz w:val="24"/>
              </w:rPr>
              <w:t>风险提示</w:t>
            </w:r>
          </w:p>
        </w:tc>
        <w:tc>
          <w:tcPr>
            <w:tcW w:w="6631" w:type="dxa"/>
            <w:tcBorders>
              <w:top w:val="single" w:color="auto" w:sz="4" w:space="0"/>
              <w:left w:val="single" w:color="auto" w:sz="4" w:space="0"/>
              <w:bottom w:val="single" w:color="auto" w:sz="4" w:space="0"/>
              <w:right w:val="single" w:color="auto" w:sz="4" w:space="0"/>
            </w:tcBorders>
            <w:vAlign w:val="center"/>
          </w:tcPr>
          <w:p w14:paraId="06666937">
            <w:pPr>
              <w:spacing w:line="360" w:lineRule="auto"/>
              <w:rPr>
                <w:rFonts w:hint="eastAsia" w:ascii="宋体" w:hAnsi="宋体"/>
                <w:bCs/>
                <w:iCs/>
                <w:color w:val="000000"/>
                <w:sz w:val="24"/>
              </w:rPr>
            </w:pPr>
            <w:r>
              <w:rPr>
                <w:rFonts w:hint="eastAsia" w:ascii="宋体" w:hAnsi="宋体"/>
                <w:bCs/>
                <w:iCs/>
                <w:color w:val="000000"/>
                <w:sz w:val="24"/>
              </w:rPr>
              <w:t>以上如涉及对行业的预测、公司发展战略规划等相关内容，不能视作公司或公司管理层对行业、公司发展或业绩的承诺和保证，敬请广大投资者注意投资风险。</w:t>
            </w:r>
          </w:p>
        </w:tc>
      </w:tr>
      <w:tr w14:paraId="4D3D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04666189">
            <w:pPr>
              <w:spacing w:line="360" w:lineRule="auto"/>
              <w:rPr>
                <w:rFonts w:hint="eastAsia" w:ascii="宋体" w:hAnsi="宋体"/>
                <w:bCs/>
                <w:iCs/>
                <w:color w:val="000000"/>
                <w:sz w:val="24"/>
              </w:rPr>
            </w:pPr>
            <w:r>
              <w:rPr>
                <w:rFonts w:hint="eastAsia" w:ascii="宋体" w:hAnsi="宋体"/>
                <w:bCs/>
                <w:iCs/>
                <w:color w:val="000000"/>
                <w:sz w:val="24"/>
              </w:rPr>
              <w:t>关于本次活动是否涉及应当披露重大信息的说明</w:t>
            </w:r>
          </w:p>
        </w:tc>
        <w:tc>
          <w:tcPr>
            <w:tcW w:w="6631" w:type="dxa"/>
            <w:tcBorders>
              <w:top w:val="single" w:color="auto" w:sz="4" w:space="0"/>
              <w:left w:val="single" w:color="auto" w:sz="4" w:space="0"/>
              <w:bottom w:val="single" w:color="auto" w:sz="4" w:space="0"/>
              <w:right w:val="single" w:color="auto" w:sz="4" w:space="0"/>
            </w:tcBorders>
            <w:vAlign w:val="center"/>
          </w:tcPr>
          <w:p w14:paraId="66B873BF">
            <w:pPr>
              <w:spacing w:line="360" w:lineRule="auto"/>
              <w:rPr>
                <w:rFonts w:hint="eastAsia" w:ascii="宋体" w:hAnsi="宋体"/>
                <w:bCs/>
                <w:iCs/>
                <w:color w:val="000000"/>
                <w:sz w:val="24"/>
              </w:rPr>
            </w:pPr>
            <w:r>
              <w:rPr>
                <w:rFonts w:hint="eastAsia" w:ascii="宋体" w:hAnsi="宋体"/>
                <w:bCs/>
                <w:iCs/>
                <w:color w:val="000000"/>
                <w:sz w:val="24"/>
              </w:rPr>
              <w:t>本次活动不涉及应当披露重大信息。</w:t>
            </w:r>
          </w:p>
        </w:tc>
      </w:tr>
      <w:tr w14:paraId="36FD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tcBorders>
              <w:top w:val="single" w:color="auto" w:sz="4" w:space="0"/>
              <w:left w:val="single" w:color="auto" w:sz="4" w:space="0"/>
              <w:bottom w:val="single" w:color="auto" w:sz="4" w:space="0"/>
              <w:right w:val="single" w:color="auto" w:sz="4" w:space="0"/>
            </w:tcBorders>
            <w:vAlign w:val="center"/>
          </w:tcPr>
          <w:p w14:paraId="46F1A7E6">
            <w:pPr>
              <w:spacing w:line="360" w:lineRule="auto"/>
              <w:rPr>
                <w:rFonts w:hint="eastAsia" w:ascii="宋体" w:hAnsi="宋体"/>
                <w:bCs/>
                <w:iCs/>
                <w:color w:val="000000"/>
                <w:sz w:val="24"/>
              </w:rPr>
            </w:pPr>
            <w:r>
              <w:rPr>
                <w:rFonts w:hint="eastAsia" w:ascii="宋体" w:hAnsi="宋体"/>
                <w:bCs/>
                <w:iCs/>
                <w:color w:val="000000"/>
                <w:sz w:val="24"/>
              </w:rPr>
              <w:t>日期</w:t>
            </w:r>
          </w:p>
        </w:tc>
        <w:tc>
          <w:tcPr>
            <w:tcW w:w="6631" w:type="dxa"/>
            <w:tcBorders>
              <w:top w:val="single" w:color="auto" w:sz="4" w:space="0"/>
              <w:left w:val="single" w:color="auto" w:sz="4" w:space="0"/>
              <w:bottom w:val="single" w:color="auto" w:sz="4" w:space="0"/>
              <w:right w:val="single" w:color="auto" w:sz="4" w:space="0"/>
            </w:tcBorders>
            <w:vAlign w:val="center"/>
          </w:tcPr>
          <w:p w14:paraId="3FC300AA">
            <w:pPr>
              <w:spacing w:line="360" w:lineRule="auto"/>
              <w:rPr>
                <w:rFonts w:hint="eastAsia" w:ascii="宋体" w:hAnsi="宋体"/>
                <w:bCs/>
                <w:iCs/>
                <w:color w:val="000000"/>
                <w:sz w:val="24"/>
              </w:rPr>
            </w:pPr>
            <w:r>
              <w:rPr>
                <w:rFonts w:hint="eastAsia" w:ascii="宋体" w:hAnsi="宋体"/>
                <w:bCs/>
                <w:iCs/>
                <w:color w:val="000000"/>
                <w:sz w:val="24"/>
              </w:rPr>
              <w:t>2</w:t>
            </w:r>
            <w:r>
              <w:rPr>
                <w:rFonts w:ascii="宋体" w:hAnsi="宋体"/>
                <w:bCs/>
                <w:iCs/>
                <w:color w:val="000000"/>
                <w:sz w:val="24"/>
              </w:rPr>
              <w:t>02</w:t>
            </w:r>
            <w:r>
              <w:rPr>
                <w:rFonts w:hint="eastAsia" w:ascii="宋体" w:hAnsi="宋体"/>
                <w:bCs/>
                <w:iCs/>
                <w:color w:val="000000"/>
                <w:sz w:val="24"/>
              </w:rPr>
              <w:t>6年9月22日</w:t>
            </w:r>
          </w:p>
        </w:tc>
      </w:tr>
      <w:bookmarkEnd w:id="0"/>
    </w:tbl>
    <w:p w14:paraId="57A392EA">
      <w:pPr>
        <w:widowControl/>
        <w:jc w:val="left"/>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kzYjRiZTlhMTkxYmRlZjEwMDljMDM5ZDM4M2Y2NDUifQ=="/>
    <w:docVar w:name="KSO_WPS_MARK_KEY" w:val="f24a8a36-8842-49cc-be26-330e00327327"/>
  </w:docVars>
  <w:rsids>
    <w:rsidRoot w:val="002D6BF0"/>
    <w:rsid w:val="00000727"/>
    <w:rsid w:val="000033CE"/>
    <w:rsid w:val="00003FD9"/>
    <w:rsid w:val="0000570B"/>
    <w:rsid w:val="00006EF0"/>
    <w:rsid w:val="0000726A"/>
    <w:rsid w:val="00012948"/>
    <w:rsid w:val="000132DE"/>
    <w:rsid w:val="00015224"/>
    <w:rsid w:val="000154CB"/>
    <w:rsid w:val="000204A3"/>
    <w:rsid w:val="000217A1"/>
    <w:rsid w:val="00022D3E"/>
    <w:rsid w:val="0002517F"/>
    <w:rsid w:val="00027306"/>
    <w:rsid w:val="00031CB9"/>
    <w:rsid w:val="0004218C"/>
    <w:rsid w:val="000425E4"/>
    <w:rsid w:val="00042F80"/>
    <w:rsid w:val="00045190"/>
    <w:rsid w:val="00046227"/>
    <w:rsid w:val="0004646F"/>
    <w:rsid w:val="00046C97"/>
    <w:rsid w:val="00047F68"/>
    <w:rsid w:val="0005142E"/>
    <w:rsid w:val="00053805"/>
    <w:rsid w:val="00054143"/>
    <w:rsid w:val="000547F3"/>
    <w:rsid w:val="000561D6"/>
    <w:rsid w:val="000574C2"/>
    <w:rsid w:val="00057CED"/>
    <w:rsid w:val="0006409D"/>
    <w:rsid w:val="0006525A"/>
    <w:rsid w:val="00065711"/>
    <w:rsid w:val="00065A24"/>
    <w:rsid w:val="000667F1"/>
    <w:rsid w:val="00067457"/>
    <w:rsid w:val="0006763F"/>
    <w:rsid w:val="00070B77"/>
    <w:rsid w:val="0007276C"/>
    <w:rsid w:val="000730A6"/>
    <w:rsid w:val="00074A20"/>
    <w:rsid w:val="0007530D"/>
    <w:rsid w:val="00077B26"/>
    <w:rsid w:val="00077F37"/>
    <w:rsid w:val="00080364"/>
    <w:rsid w:val="000817D1"/>
    <w:rsid w:val="00083220"/>
    <w:rsid w:val="00084D4C"/>
    <w:rsid w:val="00085565"/>
    <w:rsid w:val="00085946"/>
    <w:rsid w:val="000861B9"/>
    <w:rsid w:val="000877D2"/>
    <w:rsid w:val="00090EED"/>
    <w:rsid w:val="00094143"/>
    <w:rsid w:val="00096E82"/>
    <w:rsid w:val="00097C24"/>
    <w:rsid w:val="000A1E0D"/>
    <w:rsid w:val="000A2E89"/>
    <w:rsid w:val="000A73E3"/>
    <w:rsid w:val="000B4450"/>
    <w:rsid w:val="000B49E8"/>
    <w:rsid w:val="000B5138"/>
    <w:rsid w:val="000B57F9"/>
    <w:rsid w:val="000B63F4"/>
    <w:rsid w:val="000B7D97"/>
    <w:rsid w:val="000C3744"/>
    <w:rsid w:val="000C3844"/>
    <w:rsid w:val="000C4965"/>
    <w:rsid w:val="000C61F5"/>
    <w:rsid w:val="000C64E2"/>
    <w:rsid w:val="000C6E53"/>
    <w:rsid w:val="000C739E"/>
    <w:rsid w:val="000C7651"/>
    <w:rsid w:val="000C78F4"/>
    <w:rsid w:val="000D0BE8"/>
    <w:rsid w:val="000D1215"/>
    <w:rsid w:val="000E1969"/>
    <w:rsid w:val="000E295B"/>
    <w:rsid w:val="000E4C11"/>
    <w:rsid w:val="000E4D0F"/>
    <w:rsid w:val="000E5B6B"/>
    <w:rsid w:val="000E5E40"/>
    <w:rsid w:val="000E7A5F"/>
    <w:rsid w:val="000F1807"/>
    <w:rsid w:val="000F2801"/>
    <w:rsid w:val="001003D0"/>
    <w:rsid w:val="00101719"/>
    <w:rsid w:val="00102350"/>
    <w:rsid w:val="0010401F"/>
    <w:rsid w:val="00105686"/>
    <w:rsid w:val="00107828"/>
    <w:rsid w:val="00111831"/>
    <w:rsid w:val="00112B0C"/>
    <w:rsid w:val="00113FA9"/>
    <w:rsid w:val="00114127"/>
    <w:rsid w:val="001210CC"/>
    <w:rsid w:val="0012177D"/>
    <w:rsid w:val="00123393"/>
    <w:rsid w:val="00123BD5"/>
    <w:rsid w:val="00124B14"/>
    <w:rsid w:val="00125979"/>
    <w:rsid w:val="00130C80"/>
    <w:rsid w:val="00134131"/>
    <w:rsid w:val="00136805"/>
    <w:rsid w:val="00137AEC"/>
    <w:rsid w:val="00140830"/>
    <w:rsid w:val="00142D3E"/>
    <w:rsid w:val="001432D4"/>
    <w:rsid w:val="00146949"/>
    <w:rsid w:val="00147151"/>
    <w:rsid w:val="00150520"/>
    <w:rsid w:val="00151100"/>
    <w:rsid w:val="00151601"/>
    <w:rsid w:val="001532A1"/>
    <w:rsid w:val="00153EB6"/>
    <w:rsid w:val="001549C0"/>
    <w:rsid w:val="00154A45"/>
    <w:rsid w:val="00156EEE"/>
    <w:rsid w:val="00157CB7"/>
    <w:rsid w:val="00157EF7"/>
    <w:rsid w:val="00160ECA"/>
    <w:rsid w:val="001644A6"/>
    <w:rsid w:val="001648E6"/>
    <w:rsid w:val="00164D6C"/>
    <w:rsid w:val="0016537C"/>
    <w:rsid w:val="00165726"/>
    <w:rsid w:val="0016591A"/>
    <w:rsid w:val="00165944"/>
    <w:rsid w:val="00166991"/>
    <w:rsid w:val="0016720A"/>
    <w:rsid w:val="00167356"/>
    <w:rsid w:val="00170227"/>
    <w:rsid w:val="00174B96"/>
    <w:rsid w:val="00174DD2"/>
    <w:rsid w:val="0017578F"/>
    <w:rsid w:val="001771DC"/>
    <w:rsid w:val="00181D04"/>
    <w:rsid w:val="00182FFB"/>
    <w:rsid w:val="0018726A"/>
    <w:rsid w:val="001879C1"/>
    <w:rsid w:val="00190CF8"/>
    <w:rsid w:val="001916C4"/>
    <w:rsid w:val="00192EBC"/>
    <w:rsid w:val="00193963"/>
    <w:rsid w:val="001948F6"/>
    <w:rsid w:val="00196292"/>
    <w:rsid w:val="001A221B"/>
    <w:rsid w:val="001A2657"/>
    <w:rsid w:val="001A2C69"/>
    <w:rsid w:val="001A3020"/>
    <w:rsid w:val="001A5141"/>
    <w:rsid w:val="001A52EC"/>
    <w:rsid w:val="001A6EE3"/>
    <w:rsid w:val="001A7AA3"/>
    <w:rsid w:val="001B1A5D"/>
    <w:rsid w:val="001B4892"/>
    <w:rsid w:val="001B6409"/>
    <w:rsid w:val="001C044F"/>
    <w:rsid w:val="001C0EE4"/>
    <w:rsid w:val="001C3C24"/>
    <w:rsid w:val="001D1B93"/>
    <w:rsid w:val="001D1E8E"/>
    <w:rsid w:val="001D4702"/>
    <w:rsid w:val="001D4732"/>
    <w:rsid w:val="001D5678"/>
    <w:rsid w:val="001D78FA"/>
    <w:rsid w:val="001D7FD8"/>
    <w:rsid w:val="001E0674"/>
    <w:rsid w:val="001E20A7"/>
    <w:rsid w:val="001E6381"/>
    <w:rsid w:val="001E775A"/>
    <w:rsid w:val="001E7946"/>
    <w:rsid w:val="001F032A"/>
    <w:rsid w:val="001F0507"/>
    <w:rsid w:val="001F0F96"/>
    <w:rsid w:val="001F28A5"/>
    <w:rsid w:val="001F37B5"/>
    <w:rsid w:val="001F4328"/>
    <w:rsid w:val="001F5069"/>
    <w:rsid w:val="001F65B7"/>
    <w:rsid w:val="002035FB"/>
    <w:rsid w:val="0020559F"/>
    <w:rsid w:val="00205817"/>
    <w:rsid w:val="00205A92"/>
    <w:rsid w:val="00210D24"/>
    <w:rsid w:val="00211B95"/>
    <w:rsid w:val="00211E06"/>
    <w:rsid w:val="00213C4C"/>
    <w:rsid w:val="00216990"/>
    <w:rsid w:val="00216D7C"/>
    <w:rsid w:val="00216E6F"/>
    <w:rsid w:val="00217146"/>
    <w:rsid w:val="002243CA"/>
    <w:rsid w:val="00227BCB"/>
    <w:rsid w:val="00231C0B"/>
    <w:rsid w:val="00233672"/>
    <w:rsid w:val="00233E1A"/>
    <w:rsid w:val="00233F7A"/>
    <w:rsid w:val="00237252"/>
    <w:rsid w:val="0024328A"/>
    <w:rsid w:val="002435C4"/>
    <w:rsid w:val="00243DD5"/>
    <w:rsid w:val="0024512F"/>
    <w:rsid w:val="00245F88"/>
    <w:rsid w:val="00250CC3"/>
    <w:rsid w:val="002510E1"/>
    <w:rsid w:val="00253E08"/>
    <w:rsid w:val="002600B0"/>
    <w:rsid w:val="002614A5"/>
    <w:rsid w:val="00261B24"/>
    <w:rsid w:val="00265D04"/>
    <w:rsid w:val="00266538"/>
    <w:rsid w:val="00270BB0"/>
    <w:rsid w:val="002719F2"/>
    <w:rsid w:val="00273B43"/>
    <w:rsid w:val="00274A03"/>
    <w:rsid w:val="00275569"/>
    <w:rsid w:val="002762CF"/>
    <w:rsid w:val="00280E59"/>
    <w:rsid w:val="00280EF1"/>
    <w:rsid w:val="0028241D"/>
    <w:rsid w:val="00283D93"/>
    <w:rsid w:val="002876B3"/>
    <w:rsid w:val="00287888"/>
    <w:rsid w:val="00290F92"/>
    <w:rsid w:val="0029503C"/>
    <w:rsid w:val="00295C02"/>
    <w:rsid w:val="00297421"/>
    <w:rsid w:val="002A006A"/>
    <w:rsid w:val="002A082B"/>
    <w:rsid w:val="002A1F85"/>
    <w:rsid w:val="002A2442"/>
    <w:rsid w:val="002A5317"/>
    <w:rsid w:val="002A7857"/>
    <w:rsid w:val="002A7BF9"/>
    <w:rsid w:val="002B307F"/>
    <w:rsid w:val="002B4CB9"/>
    <w:rsid w:val="002C112E"/>
    <w:rsid w:val="002C2B45"/>
    <w:rsid w:val="002C32A8"/>
    <w:rsid w:val="002C47A0"/>
    <w:rsid w:val="002C4E39"/>
    <w:rsid w:val="002C65B8"/>
    <w:rsid w:val="002D139B"/>
    <w:rsid w:val="002D2A95"/>
    <w:rsid w:val="002D2EC8"/>
    <w:rsid w:val="002D30B1"/>
    <w:rsid w:val="002D3D1C"/>
    <w:rsid w:val="002D5986"/>
    <w:rsid w:val="002D6BF0"/>
    <w:rsid w:val="002D71B2"/>
    <w:rsid w:val="002E2152"/>
    <w:rsid w:val="002E2F03"/>
    <w:rsid w:val="002F2A42"/>
    <w:rsid w:val="002F489B"/>
    <w:rsid w:val="002F5047"/>
    <w:rsid w:val="00301C57"/>
    <w:rsid w:val="0031036C"/>
    <w:rsid w:val="00310AB3"/>
    <w:rsid w:val="003119CD"/>
    <w:rsid w:val="00315C96"/>
    <w:rsid w:val="00315ED8"/>
    <w:rsid w:val="003175CF"/>
    <w:rsid w:val="00320048"/>
    <w:rsid w:val="00324D79"/>
    <w:rsid w:val="00326486"/>
    <w:rsid w:val="00326A3D"/>
    <w:rsid w:val="003367CB"/>
    <w:rsid w:val="0034196B"/>
    <w:rsid w:val="00341FBD"/>
    <w:rsid w:val="00342C23"/>
    <w:rsid w:val="00342DDE"/>
    <w:rsid w:val="00343865"/>
    <w:rsid w:val="00343EFE"/>
    <w:rsid w:val="003445DE"/>
    <w:rsid w:val="00346F47"/>
    <w:rsid w:val="003536CB"/>
    <w:rsid w:val="00353C6D"/>
    <w:rsid w:val="00355072"/>
    <w:rsid w:val="00357151"/>
    <w:rsid w:val="00357D1E"/>
    <w:rsid w:val="0036070B"/>
    <w:rsid w:val="00362376"/>
    <w:rsid w:val="0036391C"/>
    <w:rsid w:val="00363E3D"/>
    <w:rsid w:val="00364644"/>
    <w:rsid w:val="003744AA"/>
    <w:rsid w:val="003757B9"/>
    <w:rsid w:val="003822A6"/>
    <w:rsid w:val="003839CC"/>
    <w:rsid w:val="00383C47"/>
    <w:rsid w:val="00384345"/>
    <w:rsid w:val="0038601A"/>
    <w:rsid w:val="0038682D"/>
    <w:rsid w:val="00386C10"/>
    <w:rsid w:val="00393689"/>
    <w:rsid w:val="0039508E"/>
    <w:rsid w:val="00396B9C"/>
    <w:rsid w:val="003A26A2"/>
    <w:rsid w:val="003A42C4"/>
    <w:rsid w:val="003B0BD4"/>
    <w:rsid w:val="003B3431"/>
    <w:rsid w:val="003B3A10"/>
    <w:rsid w:val="003B6833"/>
    <w:rsid w:val="003B7716"/>
    <w:rsid w:val="003B7801"/>
    <w:rsid w:val="003D3443"/>
    <w:rsid w:val="003E4BB2"/>
    <w:rsid w:val="003E7622"/>
    <w:rsid w:val="003F2773"/>
    <w:rsid w:val="003F2A80"/>
    <w:rsid w:val="003F30C9"/>
    <w:rsid w:val="003F3499"/>
    <w:rsid w:val="003F41C2"/>
    <w:rsid w:val="003F4995"/>
    <w:rsid w:val="0040479E"/>
    <w:rsid w:val="00404BDF"/>
    <w:rsid w:val="00405EE5"/>
    <w:rsid w:val="00405F15"/>
    <w:rsid w:val="00406275"/>
    <w:rsid w:val="004168CE"/>
    <w:rsid w:val="0041695F"/>
    <w:rsid w:val="00416A83"/>
    <w:rsid w:val="004206F6"/>
    <w:rsid w:val="00420F9A"/>
    <w:rsid w:val="00421387"/>
    <w:rsid w:val="00422049"/>
    <w:rsid w:val="00422461"/>
    <w:rsid w:val="00422474"/>
    <w:rsid w:val="004240A7"/>
    <w:rsid w:val="004248AC"/>
    <w:rsid w:val="00427B2E"/>
    <w:rsid w:val="004310AE"/>
    <w:rsid w:val="004335AF"/>
    <w:rsid w:val="00433B0C"/>
    <w:rsid w:val="00433BC7"/>
    <w:rsid w:val="004373F8"/>
    <w:rsid w:val="00437E02"/>
    <w:rsid w:val="004415E9"/>
    <w:rsid w:val="00441D31"/>
    <w:rsid w:val="0044494D"/>
    <w:rsid w:val="00451185"/>
    <w:rsid w:val="0045389C"/>
    <w:rsid w:val="00453D3D"/>
    <w:rsid w:val="00454583"/>
    <w:rsid w:val="00455193"/>
    <w:rsid w:val="0045759A"/>
    <w:rsid w:val="00457CBC"/>
    <w:rsid w:val="004608A6"/>
    <w:rsid w:val="004618CE"/>
    <w:rsid w:val="0046222A"/>
    <w:rsid w:val="00465FBF"/>
    <w:rsid w:val="00466715"/>
    <w:rsid w:val="0046677C"/>
    <w:rsid w:val="00470B97"/>
    <w:rsid w:val="00472D98"/>
    <w:rsid w:val="00476076"/>
    <w:rsid w:val="004765EA"/>
    <w:rsid w:val="004774EF"/>
    <w:rsid w:val="00477746"/>
    <w:rsid w:val="004809B0"/>
    <w:rsid w:val="00483A41"/>
    <w:rsid w:val="00485DE2"/>
    <w:rsid w:val="00485E73"/>
    <w:rsid w:val="0049005F"/>
    <w:rsid w:val="004901C0"/>
    <w:rsid w:val="004906E1"/>
    <w:rsid w:val="00493728"/>
    <w:rsid w:val="0049418F"/>
    <w:rsid w:val="00494BE4"/>
    <w:rsid w:val="004A03C8"/>
    <w:rsid w:val="004A1B58"/>
    <w:rsid w:val="004A2E80"/>
    <w:rsid w:val="004A369C"/>
    <w:rsid w:val="004A5D31"/>
    <w:rsid w:val="004A7827"/>
    <w:rsid w:val="004B21A6"/>
    <w:rsid w:val="004B37BD"/>
    <w:rsid w:val="004B3988"/>
    <w:rsid w:val="004B57BF"/>
    <w:rsid w:val="004B71BB"/>
    <w:rsid w:val="004C0CF1"/>
    <w:rsid w:val="004C2BA8"/>
    <w:rsid w:val="004C3E22"/>
    <w:rsid w:val="004C4D98"/>
    <w:rsid w:val="004D0310"/>
    <w:rsid w:val="004D0B07"/>
    <w:rsid w:val="004D0BF9"/>
    <w:rsid w:val="004D1121"/>
    <w:rsid w:val="004D49CB"/>
    <w:rsid w:val="004D701E"/>
    <w:rsid w:val="004D753E"/>
    <w:rsid w:val="004E1106"/>
    <w:rsid w:val="004E1250"/>
    <w:rsid w:val="004E15C8"/>
    <w:rsid w:val="004E2FF7"/>
    <w:rsid w:val="004E36C0"/>
    <w:rsid w:val="004E5232"/>
    <w:rsid w:val="004E6884"/>
    <w:rsid w:val="004F0DBA"/>
    <w:rsid w:val="004F1E80"/>
    <w:rsid w:val="004F23D7"/>
    <w:rsid w:val="004F25D8"/>
    <w:rsid w:val="004F356C"/>
    <w:rsid w:val="004F3A0C"/>
    <w:rsid w:val="004F4E08"/>
    <w:rsid w:val="004F72B1"/>
    <w:rsid w:val="00501A37"/>
    <w:rsid w:val="005058CD"/>
    <w:rsid w:val="00514D71"/>
    <w:rsid w:val="00515667"/>
    <w:rsid w:val="00521050"/>
    <w:rsid w:val="00521C1D"/>
    <w:rsid w:val="0052255A"/>
    <w:rsid w:val="00522711"/>
    <w:rsid w:val="00523A6B"/>
    <w:rsid w:val="00523CA5"/>
    <w:rsid w:val="005254E7"/>
    <w:rsid w:val="005267B9"/>
    <w:rsid w:val="00526BC1"/>
    <w:rsid w:val="00530E2F"/>
    <w:rsid w:val="005348AD"/>
    <w:rsid w:val="005363BD"/>
    <w:rsid w:val="00536723"/>
    <w:rsid w:val="00536873"/>
    <w:rsid w:val="005368B6"/>
    <w:rsid w:val="005401F3"/>
    <w:rsid w:val="00541BC0"/>
    <w:rsid w:val="00542400"/>
    <w:rsid w:val="00542C76"/>
    <w:rsid w:val="00542D07"/>
    <w:rsid w:val="0054495C"/>
    <w:rsid w:val="00545603"/>
    <w:rsid w:val="005465A9"/>
    <w:rsid w:val="00550D70"/>
    <w:rsid w:val="00552BED"/>
    <w:rsid w:val="005539D9"/>
    <w:rsid w:val="00554F2B"/>
    <w:rsid w:val="00556E22"/>
    <w:rsid w:val="00561315"/>
    <w:rsid w:val="00561803"/>
    <w:rsid w:val="00563D92"/>
    <w:rsid w:val="00564410"/>
    <w:rsid w:val="005644AA"/>
    <w:rsid w:val="0056457B"/>
    <w:rsid w:val="00565C5D"/>
    <w:rsid w:val="0056643D"/>
    <w:rsid w:val="005665C3"/>
    <w:rsid w:val="0056687C"/>
    <w:rsid w:val="00566BFA"/>
    <w:rsid w:val="00570433"/>
    <w:rsid w:val="0057099C"/>
    <w:rsid w:val="005713C6"/>
    <w:rsid w:val="005771DE"/>
    <w:rsid w:val="00577544"/>
    <w:rsid w:val="005827A8"/>
    <w:rsid w:val="005827F7"/>
    <w:rsid w:val="005832F8"/>
    <w:rsid w:val="00584538"/>
    <w:rsid w:val="00584ED0"/>
    <w:rsid w:val="00586F4D"/>
    <w:rsid w:val="00587164"/>
    <w:rsid w:val="0058793E"/>
    <w:rsid w:val="0059063A"/>
    <w:rsid w:val="005906B5"/>
    <w:rsid w:val="00591209"/>
    <w:rsid w:val="00592E91"/>
    <w:rsid w:val="005A0B44"/>
    <w:rsid w:val="005A1AED"/>
    <w:rsid w:val="005A2CA8"/>
    <w:rsid w:val="005A2FE0"/>
    <w:rsid w:val="005A4196"/>
    <w:rsid w:val="005A48C4"/>
    <w:rsid w:val="005A5600"/>
    <w:rsid w:val="005A6D1C"/>
    <w:rsid w:val="005A764B"/>
    <w:rsid w:val="005A7B0F"/>
    <w:rsid w:val="005B2B66"/>
    <w:rsid w:val="005B2F51"/>
    <w:rsid w:val="005B4CC7"/>
    <w:rsid w:val="005C12CC"/>
    <w:rsid w:val="005C2E80"/>
    <w:rsid w:val="005C6089"/>
    <w:rsid w:val="005C6FC3"/>
    <w:rsid w:val="005D72B8"/>
    <w:rsid w:val="005E05C4"/>
    <w:rsid w:val="005E0759"/>
    <w:rsid w:val="005E126B"/>
    <w:rsid w:val="005E1AFC"/>
    <w:rsid w:val="005E69F2"/>
    <w:rsid w:val="005E6F34"/>
    <w:rsid w:val="005E6FF2"/>
    <w:rsid w:val="005F1C39"/>
    <w:rsid w:val="005F517C"/>
    <w:rsid w:val="005F71F6"/>
    <w:rsid w:val="00600B2C"/>
    <w:rsid w:val="00600E8E"/>
    <w:rsid w:val="006060E0"/>
    <w:rsid w:val="00607581"/>
    <w:rsid w:val="0061312F"/>
    <w:rsid w:val="00613E02"/>
    <w:rsid w:val="006214FD"/>
    <w:rsid w:val="00622D6F"/>
    <w:rsid w:val="006250F9"/>
    <w:rsid w:val="006257A4"/>
    <w:rsid w:val="0062689A"/>
    <w:rsid w:val="00632521"/>
    <w:rsid w:val="00632787"/>
    <w:rsid w:val="00633234"/>
    <w:rsid w:val="006347F8"/>
    <w:rsid w:val="00641CB2"/>
    <w:rsid w:val="00645AC5"/>
    <w:rsid w:val="0064659B"/>
    <w:rsid w:val="00646C3D"/>
    <w:rsid w:val="00646FB0"/>
    <w:rsid w:val="006470D6"/>
    <w:rsid w:val="00652143"/>
    <w:rsid w:val="00653C39"/>
    <w:rsid w:val="0065641F"/>
    <w:rsid w:val="00656607"/>
    <w:rsid w:val="00656A40"/>
    <w:rsid w:val="00656A76"/>
    <w:rsid w:val="006611A6"/>
    <w:rsid w:val="006626AA"/>
    <w:rsid w:val="006656EC"/>
    <w:rsid w:val="006657CC"/>
    <w:rsid w:val="0066769B"/>
    <w:rsid w:val="0067032C"/>
    <w:rsid w:val="0067049B"/>
    <w:rsid w:val="00671CF1"/>
    <w:rsid w:val="006746D7"/>
    <w:rsid w:val="0067651E"/>
    <w:rsid w:val="00677486"/>
    <w:rsid w:val="006810D3"/>
    <w:rsid w:val="0068113E"/>
    <w:rsid w:val="00681B9D"/>
    <w:rsid w:val="00682769"/>
    <w:rsid w:val="006828CB"/>
    <w:rsid w:val="00683E29"/>
    <w:rsid w:val="00684849"/>
    <w:rsid w:val="006849A0"/>
    <w:rsid w:val="006850B2"/>
    <w:rsid w:val="00686A94"/>
    <w:rsid w:val="00687E46"/>
    <w:rsid w:val="006943D8"/>
    <w:rsid w:val="00695090"/>
    <w:rsid w:val="00697D61"/>
    <w:rsid w:val="006A1619"/>
    <w:rsid w:val="006A5136"/>
    <w:rsid w:val="006A76A3"/>
    <w:rsid w:val="006B1058"/>
    <w:rsid w:val="006B2C95"/>
    <w:rsid w:val="006B4994"/>
    <w:rsid w:val="006B52D8"/>
    <w:rsid w:val="006B63B6"/>
    <w:rsid w:val="006C2022"/>
    <w:rsid w:val="006C25B0"/>
    <w:rsid w:val="006C3F36"/>
    <w:rsid w:val="006C46C0"/>
    <w:rsid w:val="006C4734"/>
    <w:rsid w:val="006C4C75"/>
    <w:rsid w:val="006D0BDA"/>
    <w:rsid w:val="006D2600"/>
    <w:rsid w:val="006D3B12"/>
    <w:rsid w:val="006D4B0F"/>
    <w:rsid w:val="006E0893"/>
    <w:rsid w:val="006E0A01"/>
    <w:rsid w:val="006E4858"/>
    <w:rsid w:val="006E55D5"/>
    <w:rsid w:val="006E774D"/>
    <w:rsid w:val="006F2E7C"/>
    <w:rsid w:val="006F33C8"/>
    <w:rsid w:val="006F6061"/>
    <w:rsid w:val="006F7A47"/>
    <w:rsid w:val="00700715"/>
    <w:rsid w:val="00701517"/>
    <w:rsid w:val="00704502"/>
    <w:rsid w:val="00705E66"/>
    <w:rsid w:val="0070624D"/>
    <w:rsid w:val="007070FC"/>
    <w:rsid w:val="00707517"/>
    <w:rsid w:val="00707AEA"/>
    <w:rsid w:val="00707EF7"/>
    <w:rsid w:val="007116B4"/>
    <w:rsid w:val="007116DD"/>
    <w:rsid w:val="00711B61"/>
    <w:rsid w:val="00713DEB"/>
    <w:rsid w:val="00713FB0"/>
    <w:rsid w:val="0071712F"/>
    <w:rsid w:val="00717146"/>
    <w:rsid w:val="00720328"/>
    <w:rsid w:val="00721A94"/>
    <w:rsid w:val="007234DD"/>
    <w:rsid w:val="00724688"/>
    <w:rsid w:val="007251BA"/>
    <w:rsid w:val="007279CA"/>
    <w:rsid w:val="00727B53"/>
    <w:rsid w:val="00730497"/>
    <w:rsid w:val="00732A0D"/>
    <w:rsid w:val="00734E16"/>
    <w:rsid w:val="00734EF8"/>
    <w:rsid w:val="007378D0"/>
    <w:rsid w:val="00742D8C"/>
    <w:rsid w:val="00744189"/>
    <w:rsid w:val="00746AC8"/>
    <w:rsid w:val="007530D1"/>
    <w:rsid w:val="0075671B"/>
    <w:rsid w:val="00757769"/>
    <w:rsid w:val="00757EC8"/>
    <w:rsid w:val="00761A8C"/>
    <w:rsid w:val="00762AB8"/>
    <w:rsid w:val="00763C3A"/>
    <w:rsid w:val="007656A2"/>
    <w:rsid w:val="00766DBB"/>
    <w:rsid w:val="00767A09"/>
    <w:rsid w:val="0077080F"/>
    <w:rsid w:val="00773997"/>
    <w:rsid w:val="00775DD2"/>
    <w:rsid w:val="00780F20"/>
    <w:rsid w:val="00781E77"/>
    <w:rsid w:val="00783493"/>
    <w:rsid w:val="00783AA2"/>
    <w:rsid w:val="00785B13"/>
    <w:rsid w:val="00785DA1"/>
    <w:rsid w:val="00786D0B"/>
    <w:rsid w:val="007929DE"/>
    <w:rsid w:val="007930C3"/>
    <w:rsid w:val="007945E9"/>
    <w:rsid w:val="007A03CE"/>
    <w:rsid w:val="007A139B"/>
    <w:rsid w:val="007A2DF0"/>
    <w:rsid w:val="007A41BF"/>
    <w:rsid w:val="007A44CB"/>
    <w:rsid w:val="007A44DB"/>
    <w:rsid w:val="007A4D60"/>
    <w:rsid w:val="007B4DFA"/>
    <w:rsid w:val="007B69C4"/>
    <w:rsid w:val="007C090F"/>
    <w:rsid w:val="007C099A"/>
    <w:rsid w:val="007C14CB"/>
    <w:rsid w:val="007C1F6A"/>
    <w:rsid w:val="007C2F03"/>
    <w:rsid w:val="007C4047"/>
    <w:rsid w:val="007C4E43"/>
    <w:rsid w:val="007C6DE3"/>
    <w:rsid w:val="007D209D"/>
    <w:rsid w:val="007D5BBC"/>
    <w:rsid w:val="007E4FFC"/>
    <w:rsid w:val="007E74D3"/>
    <w:rsid w:val="007E779F"/>
    <w:rsid w:val="007F250D"/>
    <w:rsid w:val="007F4DDC"/>
    <w:rsid w:val="007F509B"/>
    <w:rsid w:val="0080506E"/>
    <w:rsid w:val="00805CB5"/>
    <w:rsid w:val="0080733C"/>
    <w:rsid w:val="00812C72"/>
    <w:rsid w:val="008131F7"/>
    <w:rsid w:val="008169BC"/>
    <w:rsid w:val="00817DAF"/>
    <w:rsid w:val="0082014D"/>
    <w:rsid w:val="00820227"/>
    <w:rsid w:val="00820E0B"/>
    <w:rsid w:val="008232EE"/>
    <w:rsid w:val="00825767"/>
    <w:rsid w:val="00825BB0"/>
    <w:rsid w:val="00826B9B"/>
    <w:rsid w:val="008279AA"/>
    <w:rsid w:val="00833302"/>
    <w:rsid w:val="00834480"/>
    <w:rsid w:val="00835873"/>
    <w:rsid w:val="0083587A"/>
    <w:rsid w:val="00840B23"/>
    <w:rsid w:val="00843555"/>
    <w:rsid w:val="00843E7B"/>
    <w:rsid w:val="008442A0"/>
    <w:rsid w:val="00844E68"/>
    <w:rsid w:val="00850E63"/>
    <w:rsid w:val="00852507"/>
    <w:rsid w:val="0085408E"/>
    <w:rsid w:val="0085480C"/>
    <w:rsid w:val="00854958"/>
    <w:rsid w:val="008559D1"/>
    <w:rsid w:val="0086082A"/>
    <w:rsid w:val="00860ABC"/>
    <w:rsid w:val="00862658"/>
    <w:rsid w:val="008643A7"/>
    <w:rsid w:val="00864837"/>
    <w:rsid w:val="00866406"/>
    <w:rsid w:val="00866846"/>
    <w:rsid w:val="00866BBE"/>
    <w:rsid w:val="00867099"/>
    <w:rsid w:val="00867C12"/>
    <w:rsid w:val="008734D4"/>
    <w:rsid w:val="008748DC"/>
    <w:rsid w:val="00876102"/>
    <w:rsid w:val="00880B5A"/>
    <w:rsid w:val="00880EDA"/>
    <w:rsid w:val="00881566"/>
    <w:rsid w:val="00882980"/>
    <w:rsid w:val="00883C9D"/>
    <w:rsid w:val="00885960"/>
    <w:rsid w:val="00886916"/>
    <w:rsid w:val="008874FF"/>
    <w:rsid w:val="008926DD"/>
    <w:rsid w:val="008930F2"/>
    <w:rsid w:val="00895FFB"/>
    <w:rsid w:val="00896C02"/>
    <w:rsid w:val="008A48E2"/>
    <w:rsid w:val="008A6B60"/>
    <w:rsid w:val="008B02D8"/>
    <w:rsid w:val="008B1EE7"/>
    <w:rsid w:val="008B3CEA"/>
    <w:rsid w:val="008B49A5"/>
    <w:rsid w:val="008C0AC6"/>
    <w:rsid w:val="008C0DEA"/>
    <w:rsid w:val="008C122C"/>
    <w:rsid w:val="008C5F5F"/>
    <w:rsid w:val="008D05F3"/>
    <w:rsid w:val="008D09B1"/>
    <w:rsid w:val="008D18B0"/>
    <w:rsid w:val="008D2423"/>
    <w:rsid w:val="008D2E51"/>
    <w:rsid w:val="008D57D8"/>
    <w:rsid w:val="008D6E7B"/>
    <w:rsid w:val="008E0C30"/>
    <w:rsid w:val="008E1221"/>
    <w:rsid w:val="008E3ABD"/>
    <w:rsid w:val="008E58F2"/>
    <w:rsid w:val="008E7E7E"/>
    <w:rsid w:val="008F2279"/>
    <w:rsid w:val="00900A71"/>
    <w:rsid w:val="00900F14"/>
    <w:rsid w:val="00902BCF"/>
    <w:rsid w:val="009039F3"/>
    <w:rsid w:val="0091495C"/>
    <w:rsid w:val="00914B3D"/>
    <w:rsid w:val="00914DC5"/>
    <w:rsid w:val="0091653F"/>
    <w:rsid w:val="009218E9"/>
    <w:rsid w:val="009219CF"/>
    <w:rsid w:val="009243FF"/>
    <w:rsid w:val="00925715"/>
    <w:rsid w:val="00925985"/>
    <w:rsid w:val="009259C5"/>
    <w:rsid w:val="00932349"/>
    <w:rsid w:val="00933718"/>
    <w:rsid w:val="00933BA2"/>
    <w:rsid w:val="00935F77"/>
    <w:rsid w:val="00936DF7"/>
    <w:rsid w:val="00940FAF"/>
    <w:rsid w:val="009410CE"/>
    <w:rsid w:val="0094136F"/>
    <w:rsid w:val="009479F9"/>
    <w:rsid w:val="00952587"/>
    <w:rsid w:val="0095278E"/>
    <w:rsid w:val="00952C36"/>
    <w:rsid w:val="00954214"/>
    <w:rsid w:val="00955210"/>
    <w:rsid w:val="00955BA5"/>
    <w:rsid w:val="00955BCA"/>
    <w:rsid w:val="009565D0"/>
    <w:rsid w:val="00957852"/>
    <w:rsid w:val="00962DF9"/>
    <w:rsid w:val="00963675"/>
    <w:rsid w:val="00963D9A"/>
    <w:rsid w:val="0097054D"/>
    <w:rsid w:val="00971464"/>
    <w:rsid w:val="00971C3A"/>
    <w:rsid w:val="009757E1"/>
    <w:rsid w:val="00975B13"/>
    <w:rsid w:val="009771D6"/>
    <w:rsid w:val="00980109"/>
    <w:rsid w:val="00982B73"/>
    <w:rsid w:val="00983070"/>
    <w:rsid w:val="00983EAC"/>
    <w:rsid w:val="00985752"/>
    <w:rsid w:val="00987DBF"/>
    <w:rsid w:val="00990D56"/>
    <w:rsid w:val="00991F26"/>
    <w:rsid w:val="00992CB6"/>
    <w:rsid w:val="009936D6"/>
    <w:rsid w:val="00994CFF"/>
    <w:rsid w:val="00994F38"/>
    <w:rsid w:val="00995CEC"/>
    <w:rsid w:val="00995EC2"/>
    <w:rsid w:val="009A0B91"/>
    <w:rsid w:val="009A1BD0"/>
    <w:rsid w:val="009A269F"/>
    <w:rsid w:val="009A414A"/>
    <w:rsid w:val="009A4FD7"/>
    <w:rsid w:val="009A58F6"/>
    <w:rsid w:val="009A7A30"/>
    <w:rsid w:val="009B0C9E"/>
    <w:rsid w:val="009B2735"/>
    <w:rsid w:val="009B62BC"/>
    <w:rsid w:val="009C1C8C"/>
    <w:rsid w:val="009C2135"/>
    <w:rsid w:val="009D014F"/>
    <w:rsid w:val="009D1943"/>
    <w:rsid w:val="009D1C19"/>
    <w:rsid w:val="009D3445"/>
    <w:rsid w:val="009D3D7B"/>
    <w:rsid w:val="009D5BFD"/>
    <w:rsid w:val="009D5DC5"/>
    <w:rsid w:val="009D7088"/>
    <w:rsid w:val="009D70C0"/>
    <w:rsid w:val="009E0402"/>
    <w:rsid w:val="009E07D8"/>
    <w:rsid w:val="009E4F31"/>
    <w:rsid w:val="009E63E0"/>
    <w:rsid w:val="009E6BD0"/>
    <w:rsid w:val="009E718D"/>
    <w:rsid w:val="009F0264"/>
    <w:rsid w:val="009F4F59"/>
    <w:rsid w:val="009F7FE5"/>
    <w:rsid w:val="00A013E7"/>
    <w:rsid w:val="00A01C66"/>
    <w:rsid w:val="00A060E9"/>
    <w:rsid w:val="00A07553"/>
    <w:rsid w:val="00A103E5"/>
    <w:rsid w:val="00A14B18"/>
    <w:rsid w:val="00A174B1"/>
    <w:rsid w:val="00A22555"/>
    <w:rsid w:val="00A228B9"/>
    <w:rsid w:val="00A2681C"/>
    <w:rsid w:val="00A27F6D"/>
    <w:rsid w:val="00A3203B"/>
    <w:rsid w:val="00A34D8E"/>
    <w:rsid w:val="00A353C2"/>
    <w:rsid w:val="00A44324"/>
    <w:rsid w:val="00A45B0F"/>
    <w:rsid w:val="00A46E2D"/>
    <w:rsid w:val="00A51017"/>
    <w:rsid w:val="00A639E1"/>
    <w:rsid w:val="00A63A89"/>
    <w:rsid w:val="00A67A5D"/>
    <w:rsid w:val="00A708F8"/>
    <w:rsid w:val="00A72A8E"/>
    <w:rsid w:val="00A752EA"/>
    <w:rsid w:val="00A77822"/>
    <w:rsid w:val="00A77E70"/>
    <w:rsid w:val="00A801BF"/>
    <w:rsid w:val="00A82366"/>
    <w:rsid w:val="00A86659"/>
    <w:rsid w:val="00A873A9"/>
    <w:rsid w:val="00A9028F"/>
    <w:rsid w:val="00A927D8"/>
    <w:rsid w:val="00A9678C"/>
    <w:rsid w:val="00A96F8A"/>
    <w:rsid w:val="00AA1F7E"/>
    <w:rsid w:val="00AA3C63"/>
    <w:rsid w:val="00AA4EAF"/>
    <w:rsid w:val="00AA5861"/>
    <w:rsid w:val="00AB0539"/>
    <w:rsid w:val="00AB1B23"/>
    <w:rsid w:val="00AB36C7"/>
    <w:rsid w:val="00AC04EC"/>
    <w:rsid w:val="00AC0609"/>
    <w:rsid w:val="00AC22CA"/>
    <w:rsid w:val="00AC4ECE"/>
    <w:rsid w:val="00AD2734"/>
    <w:rsid w:val="00AD428A"/>
    <w:rsid w:val="00AD6202"/>
    <w:rsid w:val="00AD7F7C"/>
    <w:rsid w:val="00AE04C7"/>
    <w:rsid w:val="00AE378B"/>
    <w:rsid w:val="00AE381D"/>
    <w:rsid w:val="00AE5441"/>
    <w:rsid w:val="00AE73C5"/>
    <w:rsid w:val="00AF06BA"/>
    <w:rsid w:val="00AF12C8"/>
    <w:rsid w:val="00AF21F7"/>
    <w:rsid w:val="00AF2DD9"/>
    <w:rsid w:val="00AF2FE4"/>
    <w:rsid w:val="00AF46E0"/>
    <w:rsid w:val="00AF46EB"/>
    <w:rsid w:val="00AF47C3"/>
    <w:rsid w:val="00AF6F6D"/>
    <w:rsid w:val="00AF7813"/>
    <w:rsid w:val="00B00296"/>
    <w:rsid w:val="00B03395"/>
    <w:rsid w:val="00B04232"/>
    <w:rsid w:val="00B04EC4"/>
    <w:rsid w:val="00B062AE"/>
    <w:rsid w:val="00B163B4"/>
    <w:rsid w:val="00B16A04"/>
    <w:rsid w:val="00B16C2C"/>
    <w:rsid w:val="00B217F0"/>
    <w:rsid w:val="00B22109"/>
    <w:rsid w:val="00B22822"/>
    <w:rsid w:val="00B23BE4"/>
    <w:rsid w:val="00B25769"/>
    <w:rsid w:val="00B25EAC"/>
    <w:rsid w:val="00B4044A"/>
    <w:rsid w:val="00B44364"/>
    <w:rsid w:val="00B45C26"/>
    <w:rsid w:val="00B50020"/>
    <w:rsid w:val="00B506E4"/>
    <w:rsid w:val="00B51FD4"/>
    <w:rsid w:val="00B538B7"/>
    <w:rsid w:val="00B53A58"/>
    <w:rsid w:val="00B54F50"/>
    <w:rsid w:val="00B55E3C"/>
    <w:rsid w:val="00B55EF4"/>
    <w:rsid w:val="00B56808"/>
    <w:rsid w:val="00B5730E"/>
    <w:rsid w:val="00B60F88"/>
    <w:rsid w:val="00B61C93"/>
    <w:rsid w:val="00B65933"/>
    <w:rsid w:val="00B6773B"/>
    <w:rsid w:val="00B709D1"/>
    <w:rsid w:val="00B70F21"/>
    <w:rsid w:val="00B72319"/>
    <w:rsid w:val="00B72C9E"/>
    <w:rsid w:val="00B7331B"/>
    <w:rsid w:val="00B7375F"/>
    <w:rsid w:val="00B73AEA"/>
    <w:rsid w:val="00B767A6"/>
    <w:rsid w:val="00B804FD"/>
    <w:rsid w:val="00B816C0"/>
    <w:rsid w:val="00B8651D"/>
    <w:rsid w:val="00B9171F"/>
    <w:rsid w:val="00B95678"/>
    <w:rsid w:val="00BA247E"/>
    <w:rsid w:val="00BA2878"/>
    <w:rsid w:val="00BA5604"/>
    <w:rsid w:val="00BB2711"/>
    <w:rsid w:val="00BB7A44"/>
    <w:rsid w:val="00BC0473"/>
    <w:rsid w:val="00BC139F"/>
    <w:rsid w:val="00BC4EA9"/>
    <w:rsid w:val="00BC60ED"/>
    <w:rsid w:val="00BC638D"/>
    <w:rsid w:val="00BD2334"/>
    <w:rsid w:val="00BD5125"/>
    <w:rsid w:val="00BD5F44"/>
    <w:rsid w:val="00BD6519"/>
    <w:rsid w:val="00BD734F"/>
    <w:rsid w:val="00BD7984"/>
    <w:rsid w:val="00BE0960"/>
    <w:rsid w:val="00BE0BE9"/>
    <w:rsid w:val="00BE40FB"/>
    <w:rsid w:val="00BE5BC0"/>
    <w:rsid w:val="00BF214B"/>
    <w:rsid w:val="00BF2358"/>
    <w:rsid w:val="00BF25F1"/>
    <w:rsid w:val="00BF61DB"/>
    <w:rsid w:val="00BF62BD"/>
    <w:rsid w:val="00BF6394"/>
    <w:rsid w:val="00BF7B43"/>
    <w:rsid w:val="00C01CD8"/>
    <w:rsid w:val="00C037EE"/>
    <w:rsid w:val="00C05B65"/>
    <w:rsid w:val="00C07E2F"/>
    <w:rsid w:val="00C11D0E"/>
    <w:rsid w:val="00C1243A"/>
    <w:rsid w:val="00C137BE"/>
    <w:rsid w:val="00C147CF"/>
    <w:rsid w:val="00C16B94"/>
    <w:rsid w:val="00C17375"/>
    <w:rsid w:val="00C2199A"/>
    <w:rsid w:val="00C25E8C"/>
    <w:rsid w:val="00C27218"/>
    <w:rsid w:val="00C27632"/>
    <w:rsid w:val="00C27719"/>
    <w:rsid w:val="00C27C9D"/>
    <w:rsid w:val="00C309EE"/>
    <w:rsid w:val="00C30AA2"/>
    <w:rsid w:val="00C32532"/>
    <w:rsid w:val="00C3490F"/>
    <w:rsid w:val="00C352B5"/>
    <w:rsid w:val="00C353CC"/>
    <w:rsid w:val="00C35B04"/>
    <w:rsid w:val="00C36291"/>
    <w:rsid w:val="00C370F0"/>
    <w:rsid w:val="00C37DE0"/>
    <w:rsid w:val="00C4103C"/>
    <w:rsid w:val="00C410AD"/>
    <w:rsid w:val="00C414D2"/>
    <w:rsid w:val="00C440E1"/>
    <w:rsid w:val="00C4447B"/>
    <w:rsid w:val="00C51B41"/>
    <w:rsid w:val="00C60629"/>
    <w:rsid w:val="00C64E8F"/>
    <w:rsid w:val="00C6560E"/>
    <w:rsid w:val="00C65A74"/>
    <w:rsid w:val="00C70871"/>
    <w:rsid w:val="00C710B9"/>
    <w:rsid w:val="00C71EB1"/>
    <w:rsid w:val="00C71F90"/>
    <w:rsid w:val="00C75331"/>
    <w:rsid w:val="00C758D1"/>
    <w:rsid w:val="00C759C9"/>
    <w:rsid w:val="00C776F1"/>
    <w:rsid w:val="00C81620"/>
    <w:rsid w:val="00C85192"/>
    <w:rsid w:val="00C857D8"/>
    <w:rsid w:val="00C90817"/>
    <w:rsid w:val="00C91686"/>
    <w:rsid w:val="00C91F7F"/>
    <w:rsid w:val="00CA09B8"/>
    <w:rsid w:val="00CA1A75"/>
    <w:rsid w:val="00CA1B49"/>
    <w:rsid w:val="00CA209F"/>
    <w:rsid w:val="00CA59F6"/>
    <w:rsid w:val="00CA6103"/>
    <w:rsid w:val="00CB399D"/>
    <w:rsid w:val="00CB6A25"/>
    <w:rsid w:val="00CC17B5"/>
    <w:rsid w:val="00CC2A28"/>
    <w:rsid w:val="00CC335F"/>
    <w:rsid w:val="00CC37AC"/>
    <w:rsid w:val="00CC3CA2"/>
    <w:rsid w:val="00CC59CF"/>
    <w:rsid w:val="00CC62CF"/>
    <w:rsid w:val="00CC6E0E"/>
    <w:rsid w:val="00CC7A8F"/>
    <w:rsid w:val="00CD0DE6"/>
    <w:rsid w:val="00CD1A6A"/>
    <w:rsid w:val="00CD1EA4"/>
    <w:rsid w:val="00CD2182"/>
    <w:rsid w:val="00CD2841"/>
    <w:rsid w:val="00CD7853"/>
    <w:rsid w:val="00CD7A67"/>
    <w:rsid w:val="00CE1521"/>
    <w:rsid w:val="00CE152B"/>
    <w:rsid w:val="00CE1A8A"/>
    <w:rsid w:val="00CE59DD"/>
    <w:rsid w:val="00CE5CC0"/>
    <w:rsid w:val="00CE7272"/>
    <w:rsid w:val="00CF1A13"/>
    <w:rsid w:val="00CF1EF4"/>
    <w:rsid w:val="00CF2D70"/>
    <w:rsid w:val="00CF3B25"/>
    <w:rsid w:val="00CF4A62"/>
    <w:rsid w:val="00CF4B8D"/>
    <w:rsid w:val="00CF5F45"/>
    <w:rsid w:val="00CF79ED"/>
    <w:rsid w:val="00D0076A"/>
    <w:rsid w:val="00D014BE"/>
    <w:rsid w:val="00D016B0"/>
    <w:rsid w:val="00D02CB0"/>
    <w:rsid w:val="00D04061"/>
    <w:rsid w:val="00D04135"/>
    <w:rsid w:val="00D041AE"/>
    <w:rsid w:val="00D07000"/>
    <w:rsid w:val="00D079C6"/>
    <w:rsid w:val="00D11A56"/>
    <w:rsid w:val="00D14211"/>
    <w:rsid w:val="00D16EF4"/>
    <w:rsid w:val="00D2248C"/>
    <w:rsid w:val="00D23A03"/>
    <w:rsid w:val="00D23C27"/>
    <w:rsid w:val="00D27D79"/>
    <w:rsid w:val="00D3167E"/>
    <w:rsid w:val="00D3202F"/>
    <w:rsid w:val="00D36DB9"/>
    <w:rsid w:val="00D37DAB"/>
    <w:rsid w:val="00D402C3"/>
    <w:rsid w:val="00D4263B"/>
    <w:rsid w:val="00D44475"/>
    <w:rsid w:val="00D45A48"/>
    <w:rsid w:val="00D464EF"/>
    <w:rsid w:val="00D46677"/>
    <w:rsid w:val="00D5120C"/>
    <w:rsid w:val="00D54527"/>
    <w:rsid w:val="00D54C39"/>
    <w:rsid w:val="00D55730"/>
    <w:rsid w:val="00D60DA6"/>
    <w:rsid w:val="00D628B6"/>
    <w:rsid w:val="00D62A3B"/>
    <w:rsid w:val="00D63459"/>
    <w:rsid w:val="00D63527"/>
    <w:rsid w:val="00D6390B"/>
    <w:rsid w:val="00D63E4F"/>
    <w:rsid w:val="00D64C35"/>
    <w:rsid w:val="00D65360"/>
    <w:rsid w:val="00D70CD4"/>
    <w:rsid w:val="00D71460"/>
    <w:rsid w:val="00D74967"/>
    <w:rsid w:val="00D74CD9"/>
    <w:rsid w:val="00D81BB7"/>
    <w:rsid w:val="00D81C26"/>
    <w:rsid w:val="00D877B0"/>
    <w:rsid w:val="00D90C31"/>
    <w:rsid w:val="00D9155B"/>
    <w:rsid w:val="00D91F61"/>
    <w:rsid w:val="00D93F5B"/>
    <w:rsid w:val="00D96228"/>
    <w:rsid w:val="00DA0839"/>
    <w:rsid w:val="00DA4F04"/>
    <w:rsid w:val="00DA51D6"/>
    <w:rsid w:val="00DA74AA"/>
    <w:rsid w:val="00DA7F24"/>
    <w:rsid w:val="00DB1751"/>
    <w:rsid w:val="00DB35EC"/>
    <w:rsid w:val="00DB39C9"/>
    <w:rsid w:val="00DB3B41"/>
    <w:rsid w:val="00DB3FF4"/>
    <w:rsid w:val="00DB40FB"/>
    <w:rsid w:val="00DB535D"/>
    <w:rsid w:val="00DB5374"/>
    <w:rsid w:val="00DC0055"/>
    <w:rsid w:val="00DC039E"/>
    <w:rsid w:val="00DC1067"/>
    <w:rsid w:val="00DC1669"/>
    <w:rsid w:val="00DC3185"/>
    <w:rsid w:val="00DC7D2F"/>
    <w:rsid w:val="00DD292D"/>
    <w:rsid w:val="00DD4964"/>
    <w:rsid w:val="00DD503F"/>
    <w:rsid w:val="00DE1C6D"/>
    <w:rsid w:val="00DE3CF8"/>
    <w:rsid w:val="00DE4BAB"/>
    <w:rsid w:val="00DE4BD1"/>
    <w:rsid w:val="00DE4C92"/>
    <w:rsid w:val="00DE66A4"/>
    <w:rsid w:val="00DE78E6"/>
    <w:rsid w:val="00DE78F6"/>
    <w:rsid w:val="00DF3AF4"/>
    <w:rsid w:val="00DF7C9B"/>
    <w:rsid w:val="00E00EFD"/>
    <w:rsid w:val="00E01953"/>
    <w:rsid w:val="00E02924"/>
    <w:rsid w:val="00E036BD"/>
    <w:rsid w:val="00E04D98"/>
    <w:rsid w:val="00E0530D"/>
    <w:rsid w:val="00E065B8"/>
    <w:rsid w:val="00E109AF"/>
    <w:rsid w:val="00E11203"/>
    <w:rsid w:val="00E15A6E"/>
    <w:rsid w:val="00E2028D"/>
    <w:rsid w:val="00E20AC5"/>
    <w:rsid w:val="00E21BAF"/>
    <w:rsid w:val="00E236C0"/>
    <w:rsid w:val="00E237D9"/>
    <w:rsid w:val="00E239E4"/>
    <w:rsid w:val="00E25236"/>
    <w:rsid w:val="00E30CC7"/>
    <w:rsid w:val="00E316B2"/>
    <w:rsid w:val="00E34D2E"/>
    <w:rsid w:val="00E36DE1"/>
    <w:rsid w:val="00E37302"/>
    <w:rsid w:val="00E408FD"/>
    <w:rsid w:val="00E41063"/>
    <w:rsid w:val="00E418A3"/>
    <w:rsid w:val="00E432C8"/>
    <w:rsid w:val="00E475E0"/>
    <w:rsid w:val="00E50AA8"/>
    <w:rsid w:val="00E54341"/>
    <w:rsid w:val="00E55391"/>
    <w:rsid w:val="00E5569D"/>
    <w:rsid w:val="00E55904"/>
    <w:rsid w:val="00E55963"/>
    <w:rsid w:val="00E565D9"/>
    <w:rsid w:val="00E57AE5"/>
    <w:rsid w:val="00E60DA0"/>
    <w:rsid w:val="00E626CF"/>
    <w:rsid w:val="00E63048"/>
    <w:rsid w:val="00E63AEB"/>
    <w:rsid w:val="00E64492"/>
    <w:rsid w:val="00E6706D"/>
    <w:rsid w:val="00E677EB"/>
    <w:rsid w:val="00E713E4"/>
    <w:rsid w:val="00E713E5"/>
    <w:rsid w:val="00E721B0"/>
    <w:rsid w:val="00E73CA5"/>
    <w:rsid w:val="00E8035C"/>
    <w:rsid w:val="00E81E94"/>
    <w:rsid w:val="00E840E6"/>
    <w:rsid w:val="00E84103"/>
    <w:rsid w:val="00E859F3"/>
    <w:rsid w:val="00E87B39"/>
    <w:rsid w:val="00E9394C"/>
    <w:rsid w:val="00E96C23"/>
    <w:rsid w:val="00E96FDF"/>
    <w:rsid w:val="00EA0662"/>
    <w:rsid w:val="00EA0C5B"/>
    <w:rsid w:val="00EA1464"/>
    <w:rsid w:val="00EA293A"/>
    <w:rsid w:val="00EB3700"/>
    <w:rsid w:val="00EB3E1E"/>
    <w:rsid w:val="00EB42D3"/>
    <w:rsid w:val="00EB53A3"/>
    <w:rsid w:val="00EB6D36"/>
    <w:rsid w:val="00EC1B12"/>
    <w:rsid w:val="00EC4DF3"/>
    <w:rsid w:val="00EC5107"/>
    <w:rsid w:val="00EC5BDE"/>
    <w:rsid w:val="00EC5CC7"/>
    <w:rsid w:val="00ED1DA5"/>
    <w:rsid w:val="00ED331A"/>
    <w:rsid w:val="00ED527D"/>
    <w:rsid w:val="00ED5728"/>
    <w:rsid w:val="00ED6393"/>
    <w:rsid w:val="00ED760C"/>
    <w:rsid w:val="00EE02D8"/>
    <w:rsid w:val="00EE110F"/>
    <w:rsid w:val="00EE2585"/>
    <w:rsid w:val="00EE2EC0"/>
    <w:rsid w:val="00EE3AEB"/>
    <w:rsid w:val="00EE3C6E"/>
    <w:rsid w:val="00EE3F0B"/>
    <w:rsid w:val="00EE60F5"/>
    <w:rsid w:val="00EE68DC"/>
    <w:rsid w:val="00EE71A1"/>
    <w:rsid w:val="00EF06DB"/>
    <w:rsid w:val="00EF2553"/>
    <w:rsid w:val="00EF4BF0"/>
    <w:rsid w:val="00EF4F20"/>
    <w:rsid w:val="00EF4FC9"/>
    <w:rsid w:val="00EF6B4B"/>
    <w:rsid w:val="00EF6EE7"/>
    <w:rsid w:val="00EF79A7"/>
    <w:rsid w:val="00EF79A9"/>
    <w:rsid w:val="00EF7D5D"/>
    <w:rsid w:val="00F00D59"/>
    <w:rsid w:val="00F013FD"/>
    <w:rsid w:val="00F03028"/>
    <w:rsid w:val="00F048C4"/>
    <w:rsid w:val="00F0607A"/>
    <w:rsid w:val="00F07041"/>
    <w:rsid w:val="00F07360"/>
    <w:rsid w:val="00F13913"/>
    <w:rsid w:val="00F142B1"/>
    <w:rsid w:val="00F14AF1"/>
    <w:rsid w:val="00F14D56"/>
    <w:rsid w:val="00F14D96"/>
    <w:rsid w:val="00F15256"/>
    <w:rsid w:val="00F15D13"/>
    <w:rsid w:val="00F176DA"/>
    <w:rsid w:val="00F2139B"/>
    <w:rsid w:val="00F2216E"/>
    <w:rsid w:val="00F225A1"/>
    <w:rsid w:val="00F2353A"/>
    <w:rsid w:val="00F2478E"/>
    <w:rsid w:val="00F24873"/>
    <w:rsid w:val="00F25807"/>
    <w:rsid w:val="00F266B6"/>
    <w:rsid w:val="00F3007D"/>
    <w:rsid w:val="00F32F4D"/>
    <w:rsid w:val="00F336C6"/>
    <w:rsid w:val="00F33D3E"/>
    <w:rsid w:val="00F33EE7"/>
    <w:rsid w:val="00F34D8C"/>
    <w:rsid w:val="00F34E77"/>
    <w:rsid w:val="00F36D84"/>
    <w:rsid w:val="00F36FA9"/>
    <w:rsid w:val="00F402BC"/>
    <w:rsid w:val="00F4074C"/>
    <w:rsid w:val="00F44D24"/>
    <w:rsid w:val="00F47D39"/>
    <w:rsid w:val="00F532C2"/>
    <w:rsid w:val="00F57405"/>
    <w:rsid w:val="00F57DD2"/>
    <w:rsid w:val="00F61024"/>
    <w:rsid w:val="00F6165E"/>
    <w:rsid w:val="00F62593"/>
    <w:rsid w:val="00F62A5E"/>
    <w:rsid w:val="00F6465F"/>
    <w:rsid w:val="00F66245"/>
    <w:rsid w:val="00F67819"/>
    <w:rsid w:val="00F711E1"/>
    <w:rsid w:val="00F72D04"/>
    <w:rsid w:val="00F751B4"/>
    <w:rsid w:val="00F75B74"/>
    <w:rsid w:val="00F75EBD"/>
    <w:rsid w:val="00F8262E"/>
    <w:rsid w:val="00F84B89"/>
    <w:rsid w:val="00F855E2"/>
    <w:rsid w:val="00F85B21"/>
    <w:rsid w:val="00F86506"/>
    <w:rsid w:val="00F903C0"/>
    <w:rsid w:val="00F90F68"/>
    <w:rsid w:val="00F93CD5"/>
    <w:rsid w:val="00F9517D"/>
    <w:rsid w:val="00F96024"/>
    <w:rsid w:val="00F970C1"/>
    <w:rsid w:val="00F9729F"/>
    <w:rsid w:val="00FA217E"/>
    <w:rsid w:val="00FA6E29"/>
    <w:rsid w:val="00FB0800"/>
    <w:rsid w:val="00FB22EF"/>
    <w:rsid w:val="00FB50A5"/>
    <w:rsid w:val="00FB571A"/>
    <w:rsid w:val="00FC016D"/>
    <w:rsid w:val="00FC3B00"/>
    <w:rsid w:val="00FC4DAB"/>
    <w:rsid w:val="00FC725E"/>
    <w:rsid w:val="00FD054E"/>
    <w:rsid w:val="00FD0A33"/>
    <w:rsid w:val="00FD1E0E"/>
    <w:rsid w:val="00FD24D1"/>
    <w:rsid w:val="00FD28B9"/>
    <w:rsid w:val="00FE2D7B"/>
    <w:rsid w:val="00FE3082"/>
    <w:rsid w:val="00FE36B9"/>
    <w:rsid w:val="00FE522A"/>
    <w:rsid w:val="00FE56A2"/>
    <w:rsid w:val="00FE57AD"/>
    <w:rsid w:val="00FF1452"/>
    <w:rsid w:val="00FF14B6"/>
    <w:rsid w:val="00FF1F6D"/>
    <w:rsid w:val="00FF4CA9"/>
    <w:rsid w:val="00FF5D09"/>
    <w:rsid w:val="00FF71B5"/>
    <w:rsid w:val="06923289"/>
    <w:rsid w:val="0B702D7E"/>
    <w:rsid w:val="15BC3062"/>
    <w:rsid w:val="1DFA16B9"/>
    <w:rsid w:val="2290075A"/>
    <w:rsid w:val="232230CD"/>
    <w:rsid w:val="3200110E"/>
    <w:rsid w:val="396226AE"/>
    <w:rsid w:val="3E5D7693"/>
    <w:rsid w:val="422A7562"/>
    <w:rsid w:val="4BF65952"/>
    <w:rsid w:val="5DD63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9"/>
    <w:pPr>
      <w:spacing w:beforeAutospacing="1" w:afterAutospacing="1"/>
      <w:jc w:val="left"/>
      <w:outlineLvl w:val="2"/>
    </w:pPr>
    <w:rPr>
      <w:rFonts w:hint="eastAsia" w:ascii="宋体" w:hAnsi="宋体"/>
      <w:b/>
      <w:bCs/>
      <w:kern w:val="0"/>
      <w:sz w:val="27"/>
      <w:szCs w:val="27"/>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unhideWhenUsed/>
    <w:qFormat/>
    <w:uiPriority w:val="99"/>
    <w:pPr>
      <w:jc w:val="left"/>
    </w:pPr>
  </w:style>
  <w:style w:type="paragraph" w:styleId="4">
    <w:name w:val="Balloon Text"/>
    <w:basedOn w:val="1"/>
    <w:link w:val="18"/>
    <w:semiHidden/>
    <w:unhideWhenUsed/>
    <w:qFormat/>
    <w:uiPriority w:val="99"/>
    <w:rPr>
      <w:sz w:val="18"/>
      <w:szCs w:val="18"/>
    </w:rPr>
  </w:style>
  <w:style w:type="paragraph" w:styleId="5">
    <w:name w:val="footer"/>
    <w:basedOn w:val="1"/>
    <w:link w:val="20"/>
    <w:unhideWhenUsed/>
    <w:qFormat/>
    <w:uiPriority w:val="99"/>
    <w:pPr>
      <w:tabs>
        <w:tab w:val="center" w:pos="4153"/>
        <w:tab w:val="right" w:pos="8306"/>
      </w:tabs>
      <w:snapToGrid w:val="0"/>
      <w:jc w:val="left"/>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23"/>
    <w:semiHidden/>
    <w:unhideWhenUsed/>
    <w:qFormat/>
    <w:uiPriority w:val="99"/>
    <w:rPr>
      <w:rFonts w:ascii="Courier New" w:hAnsi="Courier New" w:cs="Courier New"/>
      <w:sz w:val="20"/>
      <w:szCs w:val="20"/>
    </w:rPr>
  </w:style>
  <w:style w:type="paragraph" w:styleId="8">
    <w:name w:val="annotation subject"/>
    <w:basedOn w:val="3"/>
    <w:next w:val="3"/>
    <w:link w:val="16"/>
    <w:semiHidden/>
    <w:unhideWhenUsed/>
    <w:qFormat/>
    <w:uiPriority w:val="99"/>
    <w:rPr>
      <w:b/>
      <w:bCs/>
    </w:rPr>
  </w:style>
  <w:style w:type="character" w:styleId="11">
    <w:name w:val="FollowedHyperlink"/>
    <w:basedOn w:val="10"/>
    <w:semiHidden/>
    <w:unhideWhenUsed/>
    <w:qFormat/>
    <w:uiPriority w:val="99"/>
    <w:rPr>
      <w:color w:val="954F72" w:themeColor="followedHyperlink"/>
      <w:u w:val="single"/>
      <w14:textFill>
        <w14:solidFill>
          <w14:schemeClr w14:val="folHlink"/>
        </w14:solidFill>
      </w14:textFill>
    </w:rPr>
  </w:style>
  <w:style w:type="character" w:styleId="12">
    <w:name w:val="Hyperlink"/>
    <w:basedOn w:val="10"/>
    <w:semiHidden/>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paragraph" w:styleId="14">
    <w:name w:val="List Paragraph"/>
    <w:basedOn w:val="1"/>
    <w:qFormat/>
    <w:uiPriority w:val="34"/>
    <w:pPr>
      <w:ind w:firstLine="420" w:firstLineChars="200"/>
    </w:pPr>
  </w:style>
  <w:style w:type="character" w:customStyle="1" w:styleId="15">
    <w:name w:val="批注文字 字符"/>
    <w:basedOn w:val="10"/>
    <w:link w:val="3"/>
    <w:qFormat/>
    <w:uiPriority w:val="99"/>
    <w:rPr>
      <w:rFonts w:ascii="Times New Roman" w:hAnsi="Times New Roman" w:eastAsia="宋体" w:cs="Times New Roman"/>
      <w:szCs w:val="24"/>
    </w:rPr>
  </w:style>
  <w:style w:type="character" w:customStyle="1" w:styleId="16">
    <w:name w:val="批注主题 字符"/>
    <w:basedOn w:val="15"/>
    <w:link w:val="8"/>
    <w:semiHidden/>
    <w:qFormat/>
    <w:uiPriority w:val="99"/>
    <w:rPr>
      <w:rFonts w:ascii="Times New Roman" w:hAnsi="Times New Roman" w:eastAsia="宋体" w:cs="Times New Roman"/>
      <w:b/>
      <w:bCs/>
      <w:szCs w:val="24"/>
    </w:rPr>
  </w:style>
  <w:style w:type="paragraph" w:customStyle="1" w:styleId="17">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8">
    <w:name w:val="批注框文本 字符"/>
    <w:basedOn w:val="10"/>
    <w:link w:val="4"/>
    <w:semiHidden/>
    <w:qFormat/>
    <w:uiPriority w:val="99"/>
    <w:rPr>
      <w:rFonts w:ascii="Times New Roman" w:hAnsi="Times New Roman" w:eastAsia="宋体" w:cs="Times New Roman"/>
      <w:sz w:val="18"/>
      <w:szCs w:val="18"/>
    </w:rPr>
  </w:style>
  <w:style w:type="character" w:customStyle="1" w:styleId="19">
    <w:name w:val="页眉 字符"/>
    <w:basedOn w:val="10"/>
    <w:link w:val="6"/>
    <w:qFormat/>
    <w:uiPriority w:val="99"/>
    <w:rPr>
      <w:rFonts w:ascii="Times New Roman" w:hAnsi="Times New Roman" w:eastAsia="宋体" w:cs="Times New Roman"/>
      <w:sz w:val="18"/>
      <w:szCs w:val="18"/>
    </w:rPr>
  </w:style>
  <w:style w:type="character" w:customStyle="1" w:styleId="20">
    <w:name w:val="页脚 字符"/>
    <w:basedOn w:val="10"/>
    <w:link w:val="5"/>
    <w:qFormat/>
    <w:uiPriority w:val="99"/>
    <w:rPr>
      <w:rFonts w:ascii="Times New Roman" w:hAnsi="Times New Roman" w:eastAsia="宋体" w:cs="Times New Roman"/>
      <w:sz w:val="18"/>
      <w:szCs w:val="18"/>
    </w:rPr>
  </w:style>
  <w:style w:type="paragraph" w:customStyle="1" w:styleId="21">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2">
    <w:name w:val="修订3"/>
    <w:hidden/>
    <w:unhideWhenUsed/>
    <w:qFormat/>
    <w:uiPriority w:val="99"/>
    <w:rPr>
      <w:rFonts w:ascii="Times New Roman" w:hAnsi="Times New Roman" w:eastAsia="宋体" w:cs="Times New Roman"/>
      <w:kern w:val="2"/>
      <w:sz w:val="21"/>
      <w:szCs w:val="24"/>
      <w:lang w:val="en-US" w:eastAsia="zh-CN" w:bidi="ar-SA"/>
    </w:rPr>
  </w:style>
  <w:style w:type="character" w:customStyle="1" w:styleId="23">
    <w:name w:val="HTML 预设格式 字符"/>
    <w:basedOn w:val="10"/>
    <w:link w:val="7"/>
    <w:semiHidden/>
    <w:qFormat/>
    <w:uiPriority w:val="99"/>
    <w:rPr>
      <w:rFonts w:ascii="Courier New" w:hAnsi="Courier New" w:eastAsia="宋体" w:cs="Courier New"/>
      <w:kern w:val="2"/>
    </w:rPr>
  </w:style>
  <w:style w:type="paragraph" w:customStyle="1" w:styleId="24">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15042-0BDC-486E-9E87-25A920923F80}">
  <ds:schemaRefs/>
</ds:datastoreItem>
</file>

<file path=docProps/app.xml><?xml version="1.0" encoding="utf-8"?>
<Properties xmlns="http://schemas.openxmlformats.org/officeDocument/2006/extended-properties" xmlns:vt="http://schemas.openxmlformats.org/officeDocument/2006/docPropsVTypes">
  <Template>Normal</Template>
  <Company>cmtc</Company>
  <Pages>6</Pages>
  <Words>3183</Words>
  <Characters>3451</Characters>
  <Lines>26</Lines>
  <Paragraphs>7</Paragraphs>
  <TotalTime>16</TotalTime>
  <ScaleCrop>false</ScaleCrop>
  <LinksUpToDate>false</LinksUpToDate>
  <CharactersWithSpaces>3579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2026-04-30T04:00:00Z</dcterms:created>
  <dc:creator>龚玉娇</dc:creator>
  <cp:lastModifiedBy>廖敏</cp:lastModifiedBy>
  <cp:lastPrinted>2026-09-16T03:13:00Z</cp:lastPrinted>
  <dcterms:modified xsi:type="dcterms:W3CDTF">2026-09-23T08:38:16Z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2BFB23D0F9234267890F6F72A561690C_13</vt:lpwstr>
  </property>
  <property fmtid="{D5CDD505-2E9C-101B-9397-08002B2CF9AE}" pid="4" name="KSOTemplateDocerSaveRecord">
    <vt:lpwstr>eyJoZGlkIjoiYWQ4MzMzMjYxMzY2MTBkZTQzNDcyNzRlYzViNzMzNzQiLCJ1c2VySWQiOiIxNzY1NjM0NDQ5In0=</vt:lpwstr>
  </property>
</Properties>
</file>