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FA6696F">
      <w:pPr>
        <w:spacing w:before="156" w:beforeLines="50" w:after="156" w:afterLines="50" w:line="400" w:lineRule="exact"/>
        <w:rPr>
          <w:rFonts w:hint="eastAsia" w:asciiTheme="minorEastAsia" w:hAnsiTheme="minorEastAsia" w:eastAsiaTheme="minorEastAsia"/>
          <w:bCs/>
          <w:iCs/>
          <w:sz w:val="24"/>
        </w:rPr>
      </w:pPr>
      <w:r>
        <w:rPr>
          <w:rFonts w:hint="eastAsia" w:asciiTheme="minorEastAsia" w:hAnsiTheme="minorEastAsia" w:eastAsiaTheme="minorEastAsia"/>
          <w:bCs/>
          <w:iCs/>
          <w:sz w:val="24"/>
        </w:rPr>
        <w:t>证券代码：</w:t>
      </w:r>
      <w:r>
        <w:rPr>
          <w:rFonts w:cs="宋体" w:asciiTheme="minorEastAsia" w:hAnsiTheme="minorEastAsia" w:eastAsiaTheme="minorEastAsia"/>
          <w:sz w:val="24"/>
        </w:rPr>
        <w:t>603700</w:t>
      </w:r>
      <w:r>
        <w:rPr>
          <w:rFonts w:hint="eastAsia" w:asciiTheme="minorEastAsia" w:hAnsiTheme="minorEastAsia" w:eastAsiaTheme="minorEastAsia"/>
          <w:bCs/>
          <w:iCs/>
          <w:sz w:val="24"/>
        </w:rPr>
        <w:t xml:space="preserve">                                   证券简称：</w:t>
      </w:r>
      <w:r>
        <w:rPr>
          <w:rFonts w:hint="eastAsia" w:cs="宋体" w:asciiTheme="minorEastAsia" w:hAnsiTheme="minorEastAsia" w:eastAsiaTheme="minorEastAsia"/>
          <w:sz w:val="24"/>
        </w:rPr>
        <w:t>宁水集团</w:t>
      </w:r>
    </w:p>
    <w:p w14:paraId="5E27B1B9">
      <w:pPr>
        <w:spacing w:before="156" w:beforeLines="50" w:after="156" w:afterLines="50" w:line="400" w:lineRule="exact"/>
        <w:jc w:val="center"/>
        <w:rPr>
          <w:rFonts w:hint="eastAsia" w:cs="宋体" w:asciiTheme="minorEastAsia" w:hAnsiTheme="minorEastAsia" w:eastAsiaTheme="minorEastAsia"/>
          <w:b/>
          <w:sz w:val="32"/>
        </w:rPr>
      </w:pPr>
      <w:r>
        <w:rPr>
          <w:rFonts w:cs="宋体" w:asciiTheme="minorEastAsia" w:hAnsiTheme="minorEastAsia" w:eastAsiaTheme="minorEastAsia"/>
          <w:b/>
          <w:sz w:val="32"/>
        </w:rPr>
        <w:t>宁波水表</w:t>
      </w:r>
      <w:r>
        <w:rPr>
          <w:rFonts w:hint="eastAsia" w:cs="宋体" w:asciiTheme="minorEastAsia" w:hAnsiTheme="minorEastAsia" w:eastAsiaTheme="minorEastAsia"/>
          <w:b/>
          <w:sz w:val="32"/>
        </w:rPr>
        <w:t>（集团）股份有限公司</w:t>
      </w:r>
    </w:p>
    <w:p w14:paraId="33D9DD5A">
      <w:pPr>
        <w:spacing w:before="156" w:beforeLines="50" w:after="156" w:afterLines="50" w:line="400" w:lineRule="exact"/>
        <w:jc w:val="center"/>
        <w:rPr>
          <w:rFonts w:hint="eastAsia" w:asciiTheme="minorEastAsia" w:hAnsiTheme="minorEastAsia" w:eastAsiaTheme="minorEastAsia"/>
          <w:b/>
          <w:bCs/>
          <w:iCs/>
          <w:sz w:val="30"/>
          <w:szCs w:val="30"/>
        </w:rPr>
      </w:pPr>
      <w:r>
        <w:rPr>
          <w:rFonts w:hint="eastAsia" w:asciiTheme="minorEastAsia" w:hAnsiTheme="minorEastAsia" w:eastAsiaTheme="minorEastAsia"/>
          <w:b/>
          <w:bCs/>
          <w:iCs/>
          <w:sz w:val="30"/>
          <w:szCs w:val="30"/>
        </w:rPr>
        <w:t>投资者关系活动记录表</w:t>
      </w:r>
    </w:p>
    <w:p w14:paraId="480D82B0">
      <w:pPr>
        <w:spacing w:line="400" w:lineRule="exact"/>
        <w:rPr>
          <w:rFonts w:hint="eastAsia" w:asciiTheme="minorEastAsia" w:hAnsiTheme="minorEastAsia" w:eastAsiaTheme="minorEastAsia"/>
          <w:bCs/>
          <w:iCs/>
          <w:sz w:val="24"/>
          <w:lang w:val="en-US" w:eastAsia="zh-CN"/>
        </w:rPr>
      </w:pPr>
      <w:r>
        <w:rPr>
          <w:rFonts w:hint="eastAsia" w:asciiTheme="minorEastAsia" w:hAnsiTheme="minorEastAsia" w:eastAsiaTheme="minorEastAsia"/>
          <w:bCs/>
          <w:iCs/>
          <w:sz w:val="24"/>
        </w:rPr>
        <w:t xml:space="preserve">                                                  编号：202</w:t>
      </w:r>
      <w:r>
        <w:rPr>
          <w:rFonts w:hint="eastAsia" w:asciiTheme="minorEastAsia" w:hAnsiTheme="minorEastAsia" w:eastAsiaTheme="minorEastAsia"/>
          <w:bCs/>
          <w:iCs/>
          <w:sz w:val="24"/>
          <w:lang w:val="en-US" w:eastAsia="zh-CN"/>
        </w:rPr>
        <w:t>6</w:t>
      </w:r>
      <w:r>
        <w:rPr>
          <w:rFonts w:hint="eastAsia" w:asciiTheme="minorEastAsia" w:hAnsiTheme="minorEastAsia" w:eastAsiaTheme="minorEastAsia"/>
          <w:bCs/>
          <w:iCs/>
          <w:sz w:val="24"/>
        </w:rPr>
        <w:t>-00</w:t>
      </w:r>
      <w:r>
        <w:rPr>
          <w:rFonts w:hint="eastAsia" w:asciiTheme="minorEastAsia" w:hAnsiTheme="minorEastAsia" w:eastAsiaTheme="minorEastAsia"/>
          <w:bCs/>
          <w:iCs/>
          <w:sz w:val="24"/>
          <w:lang w:val="en-US" w:eastAsia="zh-CN"/>
        </w:rPr>
        <w:t>2</w:t>
      </w:r>
    </w:p>
    <w:tbl>
      <w:tblPr>
        <w:tblStyle w:val="9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28"/>
        <w:gridCol w:w="6588"/>
      </w:tblGrid>
      <w:tr w14:paraId="4A367B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5B6E3B">
            <w:pPr>
              <w:spacing w:line="480" w:lineRule="atLeast"/>
              <w:jc w:val="center"/>
              <w:rPr>
                <w:rFonts w:hint="eastAsia" w:asciiTheme="minorEastAsia" w:hAnsiTheme="minorEastAsia" w:eastAsiaTheme="minorEastAsia"/>
                <w:b/>
                <w:bCs/>
                <w:iCs/>
                <w:sz w:val="24"/>
              </w:rPr>
            </w:pPr>
            <w:r>
              <w:rPr>
                <w:rFonts w:hint="eastAsia" w:asciiTheme="minorEastAsia" w:hAnsiTheme="minorEastAsia" w:eastAsiaTheme="minorEastAsia"/>
                <w:b/>
                <w:bCs/>
                <w:iCs/>
                <w:sz w:val="24"/>
              </w:rPr>
              <w:t>投资者关系活动类别</w:t>
            </w:r>
          </w:p>
        </w:tc>
        <w:tc>
          <w:tcPr>
            <w:tcW w:w="65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3A0B489">
            <w:pPr>
              <w:spacing w:line="480" w:lineRule="atLeast"/>
              <w:rPr>
                <w:rFonts w:hint="eastAsia" w:asciiTheme="minorEastAsia" w:hAnsiTheme="minorEastAsia" w:eastAsiaTheme="minorEastAsia"/>
                <w:bCs/>
                <w:iCs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sz w:val="24"/>
                <w:lang w:eastAsia="zh-CN"/>
              </w:rPr>
              <w:t>□</w:t>
            </w:r>
            <w:r>
              <w:rPr>
                <w:rFonts w:hint="eastAsia" w:asciiTheme="minorEastAsia" w:hAnsiTheme="minorEastAsia" w:eastAsiaTheme="minorEastAsia"/>
                <w:sz w:val="24"/>
              </w:rPr>
              <w:t xml:space="preserve">特定对象调研        </w:t>
            </w:r>
            <w:r>
              <w:rPr>
                <w:rFonts w:cs="宋体" w:asciiTheme="minorEastAsia" w:hAnsiTheme="minorEastAsia" w:eastAsiaTheme="minorEastAsia"/>
                <w:sz w:val="24"/>
              </w:rPr>
              <w:t>□</w:t>
            </w:r>
            <w:r>
              <w:rPr>
                <w:rFonts w:hint="eastAsia" w:asciiTheme="minorEastAsia" w:hAnsiTheme="minorEastAsia" w:eastAsiaTheme="minorEastAsia"/>
                <w:sz w:val="24"/>
              </w:rPr>
              <w:t>分析师会议</w:t>
            </w:r>
          </w:p>
          <w:p w14:paraId="573AC336">
            <w:pPr>
              <w:spacing w:line="480" w:lineRule="atLeast"/>
              <w:rPr>
                <w:rFonts w:hint="eastAsia" w:asciiTheme="minorEastAsia" w:hAnsiTheme="minorEastAsia" w:eastAsiaTheme="minorEastAsia"/>
                <w:bCs/>
                <w:iCs/>
                <w:sz w:val="24"/>
              </w:rPr>
            </w:pPr>
            <w:r>
              <w:rPr>
                <w:rFonts w:cs="宋体" w:asciiTheme="minorEastAsia" w:hAnsiTheme="minorEastAsia" w:eastAsiaTheme="minorEastAsia"/>
                <w:sz w:val="24"/>
                <w:lang w:val="en-US"/>
              </w:rPr>
              <w:t>□</w:t>
            </w:r>
            <w:r>
              <w:rPr>
                <w:rFonts w:hint="eastAsia" w:asciiTheme="minorEastAsia" w:hAnsiTheme="minorEastAsia" w:eastAsiaTheme="minorEastAsia"/>
                <w:sz w:val="24"/>
              </w:rPr>
              <w:t xml:space="preserve">媒体采访            </w:t>
            </w:r>
            <w:r>
              <w:rPr>
                <w:rFonts w:cs="宋体" w:asciiTheme="minorEastAsia" w:hAnsiTheme="minorEastAsia" w:eastAsiaTheme="minorEastAsia"/>
                <w:sz w:val="24"/>
              </w:rPr>
              <w:sym w:font="Wingdings 2" w:char="0052"/>
            </w:r>
            <w:r>
              <w:rPr>
                <w:rFonts w:hint="eastAsia" w:asciiTheme="minorEastAsia" w:hAnsiTheme="minorEastAsia" w:eastAsiaTheme="minorEastAsia"/>
                <w:sz w:val="24"/>
              </w:rPr>
              <w:t>业绩说明会</w:t>
            </w:r>
          </w:p>
          <w:p w14:paraId="045FC77C">
            <w:pPr>
              <w:spacing w:line="480" w:lineRule="atLeast"/>
              <w:rPr>
                <w:rFonts w:hint="eastAsia" w:asciiTheme="minorEastAsia" w:hAnsiTheme="minorEastAsia" w:eastAsiaTheme="minorEastAsia"/>
                <w:bCs/>
                <w:iCs/>
                <w:sz w:val="24"/>
              </w:rPr>
            </w:pPr>
            <w:r>
              <w:rPr>
                <w:rFonts w:cs="宋体" w:asciiTheme="minorEastAsia" w:hAnsiTheme="minorEastAsia" w:eastAsiaTheme="minorEastAsia"/>
                <w:sz w:val="24"/>
              </w:rPr>
              <w:t>□</w:t>
            </w:r>
            <w:r>
              <w:rPr>
                <w:rFonts w:hint="eastAsia" w:asciiTheme="minorEastAsia" w:hAnsiTheme="minorEastAsia" w:eastAsiaTheme="minorEastAsia"/>
                <w:sz w:val="24"/>
              </w:rPr>
              <w:t xml:space="preserve">新闻发布会          </w:t>
            </w:r>
            <w:r>
              <w:rPr>
                <w:rFonts w:cs="宋体" w:asciiTheme="minorEastAsia" w:hAnsiTheme="minorEastAsia" w:eastAsiaTheme="minorEastAsia"/>
                <w:sz w:val="24"/>
              </w:rPr>
              <w:t>□</w:t>
            </w:r>
            <w:r>
              <w:rPr>
                <w:rFonts w:hint="eastAsia" w:asciiTheme="minorEastAsia" w:hAnsiTheme="minorEastAsia" w:eastAsiaTheme="minorEastAsia"/>
                <w:sz w:val="24"/>
              </w:rPr>
              <w:t>路演活动</w:t>
            </w:r>
          </w:p>
          <w:p w14:paraId="6974A3DB">
            <w:pPr>
              <w:tabs>
                <w:tab w:val="left" w:pos="3045"/>
                <w:tab w:val="center" w:pos="3199"/>
              </w:tabs>
              <w:spacing w:line="480" w:lineRule="atLeast"/>
              <w:rPr>
                <w:rFonts w:hint="eastAsia" w:asciiTheme="minorEastAsia" w:hAnsiTheme="minorEastAsia" w:eastAsiaTheme="minorEastAsia"/>
                <w:bCs/>
                <w:iCs/>
                <w:sz w:val="24"/>
              </w:rPr>
            </w:pPr>
            <w:r>
              <w:rPr>
                <w:rFonts w:cs="宋体" w:asciiTheme="minorEastAsia" w:hAnsiTheme="minorEastAsia" w:eastAsiaTheme="minorEastAsia"/>
                <w:sz w:val="24"/>
              </w:rPr>
              <w:t>□</w:t>
            </w:r>
            <w:r>
              <w:rPr>
                <w:rFonts w:hint="eastAsia" w:asciiTheme="minorEastAsia" w:hAnsiTheme="minorEastAsia" w:eastAsiaTheme="minorEastAsia"/>
                <w:sz w:val="24"/>
              </w:rPr>
              <w:t xml:space="preserve">现场参观            </w:t>
            </w:r>
            <w:r>
              <w:rPr>
                <w:rFonts w:cs="宋体" w:asciiTheme="minorEastAsia" w:hAnsiTheme="minorEastAsia" w:eastAsiaTheme="minorEastAsia"/>
                <w:sz w:val="24"/>
              </w:rPr>
              <w:t>□</w:t>
            </w:r>
            <w:r>
              <w:rPr>
                <w:rFonts w:hint="eastAsia" w:asciiTheme="minorEastAsia" w:hAnsiTheme="minorEastAsia" w:eastAsiaTheme="minorEastAsia"/>
                <w:sz w:val="24"/>
              </w:rPr>
              <w:t>电话通讯</w:t>
            </w:r>
          </w:p>
          <w:p w14:paraId="3ABEF129">
            <w:pPr>
              <w:tabs>
                <w:tab w:val="center" w:pos="3199"/>
              </w:tabs>
              <w:spacing w:line="480" w:lineRule="atLeast"/>
              <w:rPr>
                <w:rFonts w:hint="eastAsia" w:asciiTheme="minorEastAsia" w:hAnsiTheme="minorEastAsia" w:eastAsiaTheme="minorEastAsia"/>
                <w:bCs/>
                <w:iCs/>
                <w:sz w:val="24"/>
              </w:rPr>
            </w:pPr>
            <w:r>
              <w:rPr>
                <w:rFonts w:cs="宋体" w:asciiTheme="minorEastAsia" w:hAnsiTheme="minorEastAsia" w:eastAsiaTheme="minorEastAsia"/>
                <w:sz w:val="24"/>
              </w:rPr>
              <w:t>□</w:t>
            </w:r>
            <w:r>
              <w:rPr>
                <w:rFonts w:hint="eastAsia" w:asciiTheme="minorEastAsia" w:hAnsiTheme="minorEastAsia" w:eastAsiaTheme="minorEastAsia"/>
                <w:sz w:val="24"/>
              </w:rPr>
              <w:t xml:space="preserve">其他 </w:t>
            </w:r>
            <w:r>
              <w:rPr>
                <w:rFonts w:cs="宋体" w:asciiTheme="minorEastAsia" w:hAnsiTheme="minorEastAsia" w:eastAsiaTheme="minorEastAsia"/>
                <w:sz w:val="24"/>
              </w:rPr>
              <w:t>（请文字说明其他活动内容）</w:t>
            </w:r>
          </w:p>
        </w:tc>
      </w:tr>
      <w:tr w14:paraId="0CC7E9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23196C">
            <w:pPr>
              <w:spacing w:line="480" w:lineRule="atLeast"/>
              <w:jc w:val="center"/>
              <w:rPr>
                <w:rFonts w:hint="eastAsia" w:asciiTheme="minorEastAsia" w:hAnsiTheme="minorEastAsia" w:eastAsiaTheme="minorEastAsia"/>
                <w:b/>
                <w:bCs/>
                <w:iCs/>
                <w:sz w:val="24"/>
              </w:rPr>
            </w:pPr>
            <w:r>
              <w:rPr>
                <w:rFonts w:hint="eastAsia" w:asciiTheme="minorEastAsia" w:hAnsiTheme="minorEastAsia" w:eastAsiaTheme="minorEastAsia"/>
                <w:b/>
                <w:bCs/>
                <w:iCs/>
                <w:sz w:val="24"/>
              </w:rPr>
              <w:t>时间</w:t>
            </w:r>
          </w:p>
        </w:tc>
        <w:tc>
          <w:tcPr>
            <w:tcW w:w="65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930F8B">
            <w:pPr>
              <w:spacing w:line="480" w:lineRule="atLeast"/>
              <w:rPr>
                <w:rFonts w:hint="eastAsia" w:asciiTheme="minorEastAsia" w:hAnsiTheme="minorEastAsia" w:eastAsiaTheme="minorEastAsia"/>
                <w:bCs/>
                <w:iCs/>
                <w:sz w:val="24"/>
              </w:rPr>
            </w:pPr>
            <w:r>
              <w:rPr>
                <w:rFonts w:cs="宋体" w:asciiTheme="minorEastAsia" w:hAnsiTheme="minorEastAsia" w:eastAsiaTheme="minorEastAsia"/>
                <w:sz w:val="24"/>
              </w:rPr>
              <w:t>20</w:t>
            </w:r>
            <w:r>
              <w:rPr>
                <w:rFonts w:hint="eastAsia" w:cs="宋体" w:asciiTheme="minorEastAsia" w:hAnsiTheme="minorEastAsia" w:eastAsiaTheme="minorEastAsia"/>
                <w:sz w:val="24"/>
              </w:rPr>
              <w:t>2</w:t>
            </w:r>
            <w:r>
              <w:rPr>
                <w:rFonts w:hint="eastAsia" w:cs="宋体" w:asciiTheme="minorEastAsia" w:hAnsiTheme="minorEastAsia" w:eastAsiaTheme="minorEastAsia"/>
                <w:sz w:val="24"/>
                <w:lang w:val="en-US" w:eastAsia="zh-CN"/>
              </w:rPr>
              <w:t>6</w:t>
            </w:r>
            <w:r>
              <w:rPr>
                <w:rFonts w:cs="宋体" w:asciiTheme="minorEastAsia" w:hAnsiTheme="minorEastAsia" w:eastAsiaTheme="minorEastAsia"/>
                <w:sz w:val="24"/>
              </w:rPr>
              <w:t>年</w:t>
            </w:r>
            <w:r>
              <w:rPr>
                <w:rFonts w:hint="eastAsia" w:cs="宋体" w:asciiTheme="minorEastAsia" w:hAnsiTheme="minorEastAsia" w:eastAsiaTheme="minorEastAsia"/>
                <w:sz w:val="24"/>
                <w:lang w:val="en-US" w:eastAsia="zh-CN"/>
              </w:rPr>
              <w:t>9</w:t>
            </w:r>
            <w:r>
              <w:rPr>
                <w:rFonts w:cs="宋体" w:asciiTheme="minorEastAsia" w:hAnsiTheme="minorEastAsia" w:eastAsiaTheme="minorEastAsia"/>
                <w:sz w:val="24"/>
              </w:rPr>
              <w:t>月</w:t>
            </w:r>
            <w:r>
              <w:rPr>
                <w:rFonts w:hint="eastAsia" w:cs="宋体" w:asciiTheme="minorEastAsia" w:hAnsiTheme="minorEastAsia" w:eastAsiaTheme="minorEastAsia"/>
                <w:sz w:val="24"/>
                <w:lang w:val="en-US" w:eastAsia="zh-CN"/>
              </w:rPr>
              <w:t>24</w:t>
            </w:r>
            <w:r>
              <w:rPr>
                <w:rFonts w:cs="宋体" w:asciiTheme="minorEastAsia" w:hAnsiTheme="minorEastAsia" w:eastAsiaTheme="minorEastAsia"/>
                <w:sz w:val="24"/>
              </w:rPr>
              <w:t>日</w:t>
            </w:r>
            <w:r>
              <w:rPr>
                <w:rFonts w:hint="eastAsia" w:cs="宋体" w:asciiTheme="minorEastAsia" w:hAnsiTheme="minorEastAsia" w:eastAsiaTheme="minorEastAsia"/>
                <w:sz w:val="24"/>
              </w:rPr>
              <w:t xml:space="preserve">  1</w:t>
            </w:r>
            <w:r>
              <w:rPr>
                <w:rFonts w:hint="eastAsia" w:cs="宋体" w:asciiTheme="minorEastAsia" w:hAnsiTheme="minorEastAsia" w:eastAsiaTheme="minorEastAsia"/>
                <w:sz w:val="24"/>
                <w:lang w:val="en-US" w:eastAsia="zh-CN"/>
              </w:rPr>
              <w:t>3</w:t>
            </w:r>
            <w:r>
              <w:rPr>
                <w:rFonts w:hint="eastAsia" w:cs="宋体" w:asciiTheme="minorEastAsia" w:hAnsiTheme="minorEastAsia" w:eastAsiaTheme="minorEastAsia"/>
                <w:sz w:val="24"/>
              </w:rPr>
              <w:t>:</w:t>
            </w:r>
            <w:r>
              <w:rPr>
                <w:rFonts w:hint="eastAsia" w:cs="宋体" w:asciiTheme="minorEastAsia" w:hAnsiTheme="minorEastAsia" w:eastAsiaTheme="minorEastAsia"/>
                <w:sz w:val="24"/>
                <w:lang w:val="en-US" w:eastAsia="zh-CN"/>
              </w:rPr>
              <w:t>0</w:t>
            </w:r>
            <w:r>
              <w:rPr>
                <w:rFonts w:hint="eastAsia" w:cs="宋体" w:asciiTheme="minorEastAsia" w:hAnsiTheme="minorEastAsia" w:eastAsiaTheme="minorEastAsia"/>
                <w:sz w:val="24"/>
              </w:rPr>
              <w:t>0至</w:t>
            </w:r>
            <w:r>
              <w:rPr>
                <w:rFonts w:cs="宋体" w:asciiTheme="minorEastAsia" w:hAnsiTheme="minorEastAsia" w:eastAsiaTheme="minorEastAsia"/>
                <w:sz w:val="24"/>
              </w:rPr>
              <w:t>1</w:t>
            </w:r>
            <w:r>
              <w:rPr>
                <w:rFonts w:hint="eastAsia" w:cs="宋体" w:asciiTheme="minorEastAsia" w:hAnsiTheme="minorEastAsia" w:eastAsiaTheme="minorEastAsia"/>
                <w:sz w:val="24"/>
                <w:lang w:val="en-US" w:eastAsia="zh-CN"/>
              </w:rPr>
              <w:t>4</w:t>
            </w:r>
            <w:r>
              <w:rPr>
                <w:rFonts w:cs="宋体" w:asciiTheme="minorEastAsia" w:hAnsiTheme="minorEastAsia" w:eastAsiaTheme="minorEastAsia"/>
                <w:sz w:val="24"/>
              </w:rPr>
              <w:t>:</w:t>
            </w:r>
            <w:r>
              <w:rPr>
                <w:rFonts w:hint="eastAsia" w:cs="宋体" w:asciiTheme="minorEastAsia" w:hAnsiTheme="minorEastAsia" w:eastAsiaTheme="minorEastAsia"/>
                <w:sz w:val="24"/>
                <w:lang w:val="en-US" w:eastAsia="zh-CN"/>
              </w:rPr>
              <w:t>0</w:t>
            </w:r>
            <w:r>
              <w:rPr>
                <w:rFonts w:cs="宋体" w:asciiTheme="minorEastAsia" w:hAnsiTheme="minorEastAsia" w:eastAsiaTheme="minorEastAsia"/>
                <w:sz w:val="24"/>
              </w:rPr>
              <w:t>0</w:t>
            </w:r>
          </w:p>
        </w:tc>
      </w:tr>
      <w:tr w14:paraId="5F864B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5BF200">
            <w:pPr>
              <w:spacing w:line="480" w:lineRule="atLeast"/>
              <w:jc w:val="center"/>
              <w:rPr>
                <w:rFonts w:hint="eastAsia" w:asciiTheme="minorEastAsia" w:hAnsiTheme="minorEastAsia" w:eastAsiaTheme="minorEastAsia"/>
                <w:b/>
                <w:bCs/>
                <w:iCs/>
                <w:sz w:val="24"/>
              </w:rPr>
            </w:pPr>
            <w:r>
              <w:rPr>
                <w:rFonts w:hint="eastAsia" w:asciiTheme="minorEastAsia" w:hAnsiTheme="minorEastAsia" w:eastAsiaTheme="minorEastAsia"/>
                <w:b/>
                <w:bCs/>
                <w:iCs/>
                <w:sz w:val="24"/>
              </w:rPr>
              <w:t>地点</w:t>
            </w:r>
          </w:p>
        </w:tc>
        <w:tc>
          <w:tcPr>
            <w:tcW w:w="65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5FE2A3">
            <w:pPr>
              <w:spacing w:line="480" w:lineRule="atLeast"/>
              <w:rPr>
                <w:rFonts w:hint="default" w:asciiTheme="minorEastAsia" w:hAnsiTheme="minorEastAsia" w:eastAsiaTheme="minorEastAsia"/>
                <w:bCs/>
                <w:iCs/>
                <w:sz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bCs/>
                <w:iCs/>
                <w:sz w:val="24"/>
                <w:lang w:val="en-US" w:eastAsia="zh-CN"/>
              </w:rPr>
              <w:t>网络互动</w:t>
            </w:r>
          </w:p>
        </w:tc>
      </w:tr>
      <w:tr w14:paraId="4C6740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15CC7D">
            <w:pPr>
              <w:spacing w:line="480" w:lineRule="atLeast"/>
              <w:jc w:val="center"/>
              <w:rPr>
                <w:rFonts w:hint="eastAsia" w:asciiTheme="minorEastAsia" w:hAnsiTheme="minorEastAsia" w:eastAsiaTheme="minorEastAsia"/>
                <w:b/>
                <w:bCs/>
                <w:iCs/>
                <w:sz w:val="24"/>
              </w:rPr>
            </w:pPr>
            <w:r>
              <w:rPr>
                <w:rFonts w:hint="eastAsia" w:asciiTheme="minorEastAsia" w:hAnsiTheme="minorEastAsia" w:eastAsiaTheme="minorEastAsia"/>
                <w:b/>
                <w:bCs/>
                <w:iCs/>
                <w:sz w:val="24"/>
              </w:rPr>
              <w:t>上市公司接待人员姓名</w:t>
            </w:r>
          </w:p>
        </w:tc>
        <w:tc>
          <w:tcPr>
            <w:tcW w:w="65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ECE486">
            <w:pPr>
              <w:spacing w:line="480" w:lineRule="atLeast"/>
              <w:rPr>
                <w:rFonts w:hint="default" w:cs="Times New Roman" w:asciiTheme="minorEastAsia" w:hAnsiTheme="minorEastAsia" w:eastAsiaTheme="minorEastAsia"/>
                <w:bCs/>
                <w:iCs/>
                <w:sz w:val="24"/>
                <w:lang w:val="en-US" w:eastAsia="zh-CN"/>
              </w:rPr>
            </w:pPr>
            <w:r>
              <w:rPr>
                <w:rFonts w:hint="eastAsia" w:cs="Times New Roman" w:asciiTheme="minorEastAsia" w:hAnsiTheme="minorEastAsia" w:eastAsiaTheme="minorEastAsia"/>
                <w:bCs/>
                <w:iCs/>
                <w:sz w:val="24"/>
              </w:rPr>
              <w:t xml:space="preserve">董事长 张琳女士  </w:t>
            </w:r>
            <w:r>
              <w:rPr>
                <w:rFonts w:hint="eastAsia" w:cs="Times New Roman" w:asciiTheme="minorEastAsia" w:hAnsiTheme="minorEastAsia" w:eastAsiaTheme="minorEastAsia"/>
                <w:bCs/>
                <w:iCs/>
                <w:sz w:val="24"/>
                <w:lang w:val="en-US" w:eastAsia="zh-CN"/>
              </w:rPr>
              <w:t>总经理</w:t>
            </w:r>
            <w:r>
              <w:rPr>
                <w:rFonts w:hint="eastAsia" w:cs="Times New Roman" w:asciiTheme="minorEastAsia" w:hAnsiTheme="minorEastAsia" w:eastAsiaTheme="minorEastAsia"/>
                <w:bCs/>
                <w:iCs/>
                <w:sz w:val="24"/>
              </w:rPr>
              <w:t xml:space="preserve"> </w:t>
            </w:r>
            <w:r>
              <w:rPr>
                <w:rFonts w:hint="eastAsia" w:cs="Times New Roman" w:asciiTheme="minorEastAsia" w:hAnsiTheme="minorEastAsia" w:eastAsiaTheme="minorEastAsia"/>
                <w:bCs/>
                <w:iCs/>
                <w:sz w:val="24"/>
                <w:lang w:val="en-US" w:eastAsia="zh-CN"/>
              </w:rPr>
              <w:t>陈翔先生</w:t>
            </w:r>
            <w:r>
              <w:rPr>
                <w:rFonts w:hint="eastAsia" w:cs="Times New Roman" w:asciiTheme="minorEastAsia" w:hAnsiTheme="minorEastAsia" w:eastAsiaTheme="minorEastAsia"/>
                <w:bCs/>
                <w:iCs/>
                <w:sz w:val="24"/>
              </w:rPr>
              <w:t xml:space="preserve">  独立董事 </w:t>
            </w:r>
            <w:r>
              <w:rPr>
                <w:rFonts w:hint="eastAsia" w:cs="Times New Roman" w:asciiTheme="minorEastAsia" w:hAnsiTheme="minorEastAsia" w:eastAsiaTheme="minorEastAsia"/>
                <w:bCs/>
                <w:iCs/>
                <w:sz w:val="24"/>
                <w:lang w:val="en-US" w:eastAsia="zh-CN"/>
              </w:rPr>
              <w:t>包建亚女士</w:t>
            </w:r>
          </w:p>
          <w:p w14:paraId="590C7845">
            <w:pPr>
              <w:spacing w:line="480" w:lineRule="atLeast"/>
              <w:rPr>
                <w:rFonts w:hint="default" w:asciiTheme="minorEastAsia" w:hAnsiTheme="minorEastAsia" w:eastAsiaTheme="minorEastAsia"/>
                <w:bCs/>
                <w:iCs/>
                <w:sz w:val="24"/>
                <w:lang w:val="en-US" w:eastAsia="zh-CN"/>
              </w:rPr>
            </w:pPr>
            <w:r>
              <w:rPr>
                <w:rFonts w:hint="eastAsia" w:cs="Times New Roman" w:asciiTheme="minorEastAsia" w:hAnsiTheme="minorEastAsia" w:eastAsiaTheme="minorEastAsia"/>
                <w:bCs/>
                <w:iCs/>
                <w:sz w:val="24"/>
              </w:rPr>
              <w:t xml:space="preserve">董事会秘书、副总经理 马溯嵘先生  </w:t>
            </w:r>
            <w:r>
              <w:rPr>
                <w:rFonts w:hint="eastAsia" w:cs="Times New Roman" w:asciiTheme="minorEastAsia" w:hAnsiTheme="minorEastAsia" w:eastAsiaTheme="minorEastAsia"/>
                <w:bCs/>
                <w:iCs/>
                <w:sz w:val="24"/>
                <w:lang w:val="en-US" w:eastAsia="zh-CN"/>
              </w:rPr>
              <w:t xml:space="preserve"> </w:t>
            </w:r>
            <w:r>
              <w:rPr>
                <w:rFonts w:hint="eastAsia" w:cs="Times New Roman" w:asciiTheme="minorEastAsia" w:hAnsiTheme="minorEastAsia" w:eastAsiaTheme="minorEastAsia"/>
                <w:bCs/>
                <w:iCs/>
                <w:sz w:val="24"/>
              </w:rPr>
              <w:t>财务总监 王哲斌先生</w:t>
            </w:r>
          </w:p>
        </w:tc>
      </w:tr>
      <w:tr w14:paraId="58E81C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9" w:hRule="atLeast"/>
        </w:trPr>
        <w:tc>
          <w:tcPr>
            <w:tcW w:w="17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1BDD8A">
            <w:pPr>
              <w:spacing w:line="360" w:lineRule="auto"/>
              <w:jc w:val="center"/>
              <w:rPr>
                <w:rFonts w:hint="eastAsia" w:asciiTheme="minorEastAsia" w:hAnsiTheme="minorEastAsia" w:eastAsiaTheme="minorEastAsia"/>
                <w:b/>
                <w:bCs/>
                <w:iCs/>
                <w:sz w:val="24"/>
              </w:rPr>
            </w:pPr>
            <w:r>
              <w:rPr>
                <w:rFonts w:hint="eastAsia" w:asciiTheme="minorEastAsia" w:hAnsiTheme="minorEastAsia" w:eastAsiaTheme="minorEastAsia"/>
                <w:b/>
                <w:bCs/>
                <w:iCs/>
                <w:sz w:val="24"/>
              </w:rPr>
              <w:t>投资者关系活动主要内容介绍</w:t>
            </w:r>
          </w:p>
        </w:tc>
        <w:tc>
          <w:tcPr>
            <w:tcW w:w="65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897241D">
            <w:pPr>
              <w:spacing w:line="360" w:lineRule="auto"/>
              <w:ind w:firstLine="480" w:firstLineChars="200"/>
              <w:rPr>
                <w:rFonts w:hint="eastAsia" w:ascii="宋体" w:hAnsi="宋体" w:cs="宋体"/>
                <w:b/>
                <w:bCs w:val="0"/>
                <w:sz w:val="24"/>
                <w:lang w:val="en-US" w:eastAsia="zh-CN"/>
              </w:rPr>
            </w:pPr>
            <w:r>
              <w:rPr>
                <w:rFonts w:ascii="宋体" w:hAnsi="宋体" w:eastAsia="宋体" w:cs="宋体"/>
                <w:sz w:val="24"/>
              </w:rPr>
              <w:t>202</w:t>
            </w: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>6</w:t>
            </w:r>
            <w:r>
              <w:rPr>
                <w:rFonts w:ascii="宋体" w:hAnsi="宋体" w:eastAsia="宋体" w:cs="宋体"/>
                <w:sz w:val="24"/>
              </w:rPr>
              <w:t>年</w:t>
            </w: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>9</w:t>
            </w:r>
            <w:r>
              <w:rPr>
                <w:rFonts w:ascii="宋体" w:hAnsi="宋体" w:eastAsia="宋体" w:cs="宋体"/>
                <w:sz w:val="24"/>
              </w:rPr>
              <w:t>月</w:t>
            </w: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>24</w:t>
            </w:r>
            <w:r>
              <w:rPr>
                <w:rFonts w:ascii="宋体" w:hAnsi="宋体" w:eastAsia="宋体" w:cs="宋体"/>
                <w:sz w:val="24"/>
              </w:rPr>
              <w:t>日（星期</w:t>
            </w: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>四</w:t>
            </w:r>
            <w:r>
              <w:rPr>
                <w:rFonts w:ascii="宋体" w:hAnsi="宋体" w:eastAsia="宋体" w:cs="宋体"/>
                <w:sz w:val="24"/>
              </w:rPr>
              <w:t>）1</w:t>
            </w: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>3</w:t>
            </w:r>
            <w:r>
              <w:rPr>
                <w:rFonts w:ascii="宋体" w:hAnsi="宋体" w:eastAsia="宋体" w:cs="宋体"/>
                <w:sz w:val="24"/>
              </w:rPr>
              <w:t>:00-1</w:t>
            </w: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>4</w:t>
            </w:r>
            <w:r>
              <w:rPr>
                <w:rFonts w:ascii="宋体" w:hAnsi="宋体" w:eastAsia="宋体" w:cs="宋体"/>
                <w:sz w:val="24"/>
              </w:rPr>
              <w:t>:</w:t>
            </w:r>
            <w:r>
              <w:rPr>
                <w:rFonts w:hint="eastAsia" w:ascii="宋体" w:hAnsi="宋体" w:eastAsia="宋体" w:cs="宋体"/>
                <w:sz w:val="24"/>
              </w:rPr>
              <w:t>0</w:t>
            </w:r>
            <w:r>
              <w:rPr>
                <w:rFonts w:ascii="宋体" w:hAnsi="宋体" w:eastAsia="宋体" w:cs="宋体"/>
                <w:sz w:val="24"/>
              </w:rPr>
              <w:t>0，公司通过文字互动方式在上海证券交易所“上证e互动”平台的“上证e访谈”栏目召开</w:t>
            </w:r>
            <w:r>
              <w:rPr>
                <w:rFonts w:hint="eastAsia" w:ascii="宋体" w:hAnsi="宋体" w:eastAsia="宋体" w:cs="宋体"/>
                <w:sz w:val="24"/>
              </w:rPr>
              <w:t>202</w:t>
            </w: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>6年半年度</w:t>
            </w:r>
            <w:r>
              <w:rPr>
                <w:rFonts w:hint="eastAsia" w:ascii="宋体" w:hAnsi="宋体" w:eastAsia="宋体" w:cs="宋体"/>
                <w:sz w:val="24"/>
              </w:rPr>
              <w:t>业绩说</w:t>
            </w:r>
            <w:bookmarkStart w:id="0" w:name="_GoBack"/>
            <w:bookmarkEnd w:id="0"/>
            <w:r>
              <w:rPr>
                <w:rFonts w:hint="eastAsia" w:ascii="宋体" w:hAnsi="宋体" w:eastAsia="宋体" w:cs="宋体"/>
                <w:sz w:val="24"/>
              </w:rPr>
              <w:t>明会</w:t>
            </w:r>
            <w:r>
              <w:rPr>
                <w:rFonts w:ascii="宋体" w:hAnsi="宋体" w:eastAsia="宋体" w:cs="宋体"/>
                <w:sz w:val="24"/>
              </w:rPr>
              <w:t>，与投资者进行沟通和交流。主要内容如下：</w:t>
            </w:r>
          </w:p>
          <w:p w14:paraId="096D9E1C">
            <w:pPr>
              <w:spacing w:line="360" w:lineRule="auto"/>
              <w:ind w:firstLine="482" w:firstLineChars="200"/>
              <w:rPr>
                <w:rFonts w:hint="default" w:ascii="宋体" w:hAnsi="宋体" w:eastAsia="宋体" w:cs="宋体"/>
                <w:b w:val="0"/>
                <w:bCs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 w:val="0"/>
                <w:sz w:val="24"/>
                <w:lang w:val="en-US" w:eastAsia="zh-CN"/>
              </w:rPr>
              <w:t>问题</w:t>
            </w:r>
            <w:r>
              <w:rPr>
                <w:rFonts w:hint="eastAsia" w:ascii="宋体" w:hAnsi="宋体" w:cs="宋体"/>
                <w:b/>
                <w:bCs w:val="0"/>
                <w:sz w:val="24"/>
              </w:rPr>
              <w:t>1</w:t>
            </w:r>
            <w:r>
              <w:rPr>
                <w:rFonts w:hint="eastAsia" w:ascii="宋体" w:hAnsi="宋体" w:cs="宋体"/>
                <w:b/>
                <w:bCs w:val="0"/>
                <w:sz w:val="24"/>
                <w:lang w:eastAsia="zh-CN"/>
              </w:rPr>
              <w:t>：</w:t>
            </w:r>
            <w:r>
              <w:rPr>
                <w:rFonts w:hint="eastAsia" w:ascii="宋体" w:hAnsi="宋体" w:cs="宋体"/>
                <w:b w:val="0"/>
                <w:bCs/>
                <w:sz w:val="24"/>
                <w:lang w:val="en-US" w:eastAsia="zh-CN"/>
              </w:rPr>
              <w:t>总经理您好！国家现在正大力推进“六张网”建设，其中包含水网建设相关内容，这会对公司业务带来哪些影响？</w:t>
            </w:r>
          </w:p>
          <w:p w14:paraId="5D32071D">
            <w:pPr>
              <w:spacing w:line="360" w:lineRule="auto"/>
              <w:ind w:firstLine="482" w:firstLineChars="200"/>
              <w:rPr>
                <w:rFonts w:hint="default" w:ascii="宋体" w:hAnsi="宋体" w:cs="宋体"/>
                <w:b w:val="0"/>
                <w:bCs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 w:val="0"/>
                <w:sz w:val="24"/>
                <w:lang w:val="en-US" w:eastAsia="zh-CN"/>
              </w:rPr>
              <w:t>回复1：</w:t>
            </w:r>
            <w:r>
              <w:rPr>
                <w:rFonts w:hint="eastAsia" w:ascii="宋体" w:hAnsi="宋体" w:cs="宋体"/>
                <w:b w:val="0"/>
                <w:bCs/>
                <w:sz w:val="24"/>
                <w:lang w:val="en-US" w:eastAsia="zh-CN"/>
              </w:rPr>
              <w:t>尊敬的投资者您好！国家对供水事业的政策支持持续加码，水网和城市地下管网同时纳入国家“六张网”顶层部署，水务基础设施建设的政策支撑进一步强化。一方面，随着现代化水网建设的不断推进，旧表周期更换、城镇供水管网更新、农村“一户一表”等市场空间有望进一步打开，释放新的表计采购需求；另一方面，漏损治理和供水智能化管理等需求持续扩容，预计将带动智能化硬件设备、管网监测和智慧水务平台等相关应用不断拓展，水务基础设施数智化将从单一系统建设向水网整体感知和调度延伸，为智慧水务相关业务提供重要支撑。公司作为水计量领域的领军企业，多年来深度聚焦客户痛点与价值创造，以智慧计量与营运为切入点，将业务由供水计量向全场景水务服务延伸，持续构建完善“智能感知+数据驱动+工程服务”三位一体的智慧水务服务体系。未来，公司将充分发挥自身技术与业务优势，密切跟踪相关政策动态，积极把握市场机遇，稳步推进市场开拓。感谢您的关注！</w:t>
            </w:r>
          </w:p>
          <w:p w14:paraId="67C853A6">
            <w:pPr>
              <w:spacing w:line="360" w:lineRule="auto"/>
              <w:ind w:firstLine="482" w:firstLineChars="200"/>
              <w:rPr>
                <w:rFonts w:hint="default" w:ascii="宋体" w:hAnsi="宋体" w:cs="宋体"/>
                <w:b w:val="0"/>
                <w:bCs w:val="0"/>
                <w:sz w:val="24"/>
                <w:lang w:val="en-US"/>
              </w:rPr>
            </w:pPr>
            <w:r>
              <w:rPr>
                <w:rFonts w:hint="eastAsia" w:ascii="宋体" w:hAnsi="宋体" w:cs="宋体"/>
                <w:b/>
                <w:bCs/>
                <w:sz w:val="24"/>
                <w:lang w:val="en-US" w:eastAsia="zh-CN"/>
              </w:rPr>
              <w:t>问题2：</w:t>
            </w:r>
            <w:r>
              <w:rPr>
                <w:rFonts w:hint="eastAsia" w:ascii="宋体" w:hAnsi="宋体" w:cs="宋体"/>
                <w:b w:val="0"/>
                <w:bCs w:val="0"/>
                <w:sz w:val="24"/>
                <w:lang w:val="en-US" w:eastAsia="zh-CN"/>
              </w:rPr>
              <w:t>请问公司在海外渠道建设、本地化服务能力方面有哪些中长期规划？</w:t>
            </w:r>
          </w:p>
          <w:p w14:paraId="077FAD27">
            <w:pPr>
              <w:spacing w:line="360" w:lineRule="auto"/>
              <w:ind w:firstLine="482" w:firstLineChars="200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sz w:val="24"/>
                <w:lang w:val="en-US" w:eastAsia="zh-CN"/>
              </w:rPr>
              <w:t>回复2：</w:t>
            </w:r>
            <w:r>
              <w:rPr>
                <w:rFonts w:hint="eastAsia" w:ascii="宋体" w:hAnsi="宋体" w:cs="宋体"/>
                <w:sz w:val="24"/>
              </w:rPr>
              <w:t>尊敬的投资者您好！公司作为较早深耕海外市场的先行者，在国际贸易、全球化供应链保障、海外项目交付落地等方面积累了深厚的行业经验与先发优势，海外业务已成为公司重要业绩增量来源。2026年，公司持续加大海外市场资源投入，完善海外渠道布局与客户服务体系，全球化经营能力持续增强。其中，渠道拓展与本地化服务方面，公司持续完善海外经营体系，常态化开展重点客户走访，主动赴亚洲、非洲等核心市场对接头部水务企业，并积极参与国际专业展会，持续拓宽海外合作渠道；针对高潜力新兴市场，公司组建专项落地团队深入非洲东南部国家开展实地调研、技术赋能与本地化驻场服务，精准匹配区域市场特征与客户需求，深化政企合作、夯实本地化经营根基，稳步扩大市场份额。上半年海外业务实现营收19,011.45万元，同比增长超10%，全球化经营能力持续增强，为公司营收增长培育起新的增长动能。未来，公司也将持续推进全球化战略布局，依托丰富的产品线、成熟的技术积淀与制造优势，积极把握海外新兴市场基础设施建设、发达国家智能化换表改造带来的市场新机遇，努力开拓海外市场。感谢您的关注！</w:t>
            </w:r>
          </w:p>
          <w:p w14:paraId="18B07DF3">
            <w:pPr>
              <w:spacing w:line="360" w:lineRule="auto"/>
              <w:ind w:firstLine="482" w:firstLineChars="200"/>
              <w:rPr>
                <w:rFonts w:hint="default" w:ascii="宋体" w:hAnsi="宋体" w:cs="宋体"/>
                <w:b/>
                <w:bCs/>
                <w:sz w:val="24"/>
                <w:lang w:val="en-US"/>
              </w:rPr>
            </w:pPr>
            <w:r>
              <w:rPr>
                <w:rFonts w:hint="eastAsia" w:ascii="宋体" w:hAnsi="宋体" w:cs="宋体"/>
                <w:b/>
                <w:bCs/>
                <w:sz w:val="24"/>
              </w:rPr>
              <w:t>问题</w:t>
            </w:r>
            <w:r>
              <w:rPr>
                <w:rFonts w:hint="eastAsia" w:ascii="宋体" w:hAnsi="宋体" w:cs="宋体"/>
                <w:b/>
                <w:bCs/>
                <w:sz w:val="24"/>
                <w:lang w:val="en-US" w:eastAsia="zh-CN"/>
              </w:rPr>
              <w:t>3：</w:t>
            </w:r>
            <w:r>
              <w:rPr>
                <w:rFonts w:hint="eastAsia" w:ascii="宋体" w:hAnsi="宋体" w:cs="宋体"/>
                <w:b w:val="0"/>
                <w:bCs w:val="0"/>
                <w:sz w:val="24"/>
                <w:lang w:val="en-US" w:eastAsia="zh-CN"/>
              </w:rPr>
              <w:t>在目前业务扩张与现金流管理并重的阶段，管理层如何平衡资本开支、研发投入与股东回报之间的关系？未来分红政策是否有进一步的规划可以分享？</w:t>
            </w:r>
          </w:p>
          <w:p w14:paraId="6A2959FE">
            <w:pPr>
              <w:spacing w:line="360" w:lineRule="auto"/>
              <w:ind w:firstLine="482" w:firstLineChars="200"/>
              <w:rPr>
                <w:rFonts w:hint="default" w:ascii="宋体" w:hAnsi="宋体" w:cs="宋体"/>
                <w:b w:val="0"/>
                <w:bCs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sz w:val="24"/>
                <w:lang w:val="en-US" w:eastAsia="zh-CN"/>
              </w:rPr>
              <w:t>回复3：</w:t>
            </w:r>
            <w:r>
              <w:rPr>
                <w:rFonts w:hint="eastAsia" w:ascii="宋体" w:hAnsi="宋体" w:cs="宋体"/>
                <w:b w:val="0"/>
                <w:bCs w:val="0"/>
                <w:sz w:val="24"/>
                <w:lang w:val="en-US" w:eastAsia="zh-CN"/>
              </w:rPr>
              <w:t>尊敬的投资者您好！公司始终高度重视科技创新，通过持续性的资源投入构筑技术核心竞争力，聚焦水务计量核心技术、智慧水务解决方案等核心业务领域，为市场拓展提供坚实的产品与技术支撑。与此同时，公司在发展过程中亦高度重视投资者权益保护，上市以来始终坚持回馈股东，努力保障利润分配政策的连续性和稳定性。公司当前的资源分配政策既深度契合行业数字化转型升级趋势，又兼顾短期业绩增长与长期竞争力培育的动态平衡。未来，公司将在兼顾长远利益、全体股东的整体利益和公司发展的可持续性的基础上，实施稳定可持续的分红政策，致力于实现投资者与公司的长期共赢。感谢您的关注！</w:t>
            </w:r>
          </w:p>
          <w:p w14:paraId="3AE176DD">
            <w:pPr>
              <w:spacing w:line="360" w:lineRule="auto"/>
              <w:ind w:firstLine="482" w:firstLineChars="200"/>
              <w:rPr>
                <w:rFonts w:hint="default" w:ascii="宋体" w:hAnsi="宋体" w:eastAsia="宋体" w:cs="宋体"/>
                <w:b/>
                <w:bCs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sz w:val="24"/>
              </w:rPr>
              <w:t>问题</w:t>
            </w:r>
            <w:r>
              <w:rPr>
                <w:rFonts w:hint="eastAsia" w:ascii="宋体" w:hAnsi="宋体" w:cs="宋体"/>
                <w:b/>
                <w:bCs/>
                <w:sz w:val="24"/>
                <w:lang w:val="en-US" w:eastAsia="zh-CN"/>
              </w:rPr>
              <w:t>4</w:t>
            </w:r>
            <w:r>
              <w:rPr>
                <w:rFonts w:hint="eastAsia" w:ascii="宋体" w:hAnsi="宋体" w:cs="宋体"/>
                <w:b/>
                <w:bCs/>
                <w:sz w:val="24"/>
              </w:rPr>
              <w:t>：</w:t>
            </w:r>
            <w:r>
              <w:rPr>
                <w:rFonts w:hint="eastAsia" w:ascii="宋体" w:hAnsi="宋体" w:cs="宋体"/>
                <w:b w:val="0"/>
                <w:bCs w:val="0"/>
                <w:sz w:val="24"/>
              </w:rPr>
              <w:t>请问公司在应收账款管理、回款周期优化方面有哪些具体措施？下半年现金流状况是否有望改善？</w:t>
            </w:r>
          </w:p>
          <w:p w14:paraId="02EA4F36">
            <w:pPr>
              <w:spacing w:line="360" w:lineRule="auto"/>
              <w:ind w:firstLine="482" w:firstLineChars="200"/>
              <w:rPr>
                <w:rFonts w:hint="default" w:ascii="宋体" w:hAnsi="宋体" w:eastAsia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sz w:val="24"/>
                <w:lang w:val="en-US" w:eastAsia="zh-CN"/>
              </w:rPr>
              <w:t>回复4：</w:t>
            </w:r>
            <w:r>
              <w:rPr>
                <w:rFonts w:hint="eastAsia" w:ascii="宋体" w:hAnsi="宋体" w:cs="宋体"/>
                <w:sz w:val="24"/>
                <w:lang w:val="en-US" w:eastAsia="zh-CN"/>
              </w:rPr>
              <w:t>尊敬的投资者您好！公司严格实施应收账款管控，已建立起常态化管控机制，不断强化风险意识。公司通过加强客户信用评估、优化合同条款、强化重点项目全过程回款管理，并加大应收账款清收力度，动态评估应收账款风险，分类施策，针对性采取发送催款函、上门催收、通过司法程序催收等措施，全力维护公司合法权益。相关举措有望改善账期状况，提升账款管理质量，降低财务风险。今后公司也将继续强化应收账款管控，推动财务、法务和销售部门的密切协作。公司货款回笼具有一定的季节性，公司下游客户回款多集中于第四季度，故通常第四季度现金流会大幅改善。感谢您的关注！</w:t>
            </w:r>
          </w:p>
        </w:tc>
      </w:tr>
      <w:tr w14:paraId="4DD39F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4" w:hRule="atLeast"/>
        </w:trPr>
        <w:tc>
          <w:tcPr>
            <w:tcW w:w="17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A07F39">
            <w:pPr>
              <w:spacing w:line="480" w:lineRule="atLeast"/>
              <w:jc w:val="center"/>
              <w:rPr>
                <w:rFonts w:hint="eastAsia" w:asciiTheme="minorEastAsia" w:hAnsiTheme="minorEastAsia" w:eastAsiaTheme="minorEastAsia"/>
                <w:b/>
                <w:bCs/>
                <w:iCs/>
                <w:sz w:val="24"/>
              </w:rPr>
            </w:pPr>
            <w:r>
              <w:rPr>
                <w:rFonts w:hint="eastAsia" w:asciiTheme="minorEastAsia" w:hAnsiTheme="minorEastAsia" w:eastAsiaTheme="minorEastAsia"/>
                <w:b/>
                <w:bCs/>
                <w:iCs/>
                <w:sz w:val="24"/>
              </w:rPr>
              <w:t>附件清单</w:t>
            </w:r>
          </w:p>
        </w:tc>
        <w:tc>
          <w:tcPr>
            <w:tcW w:w="65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73D82E7">
            <w:pPr>
              <w:spacing w:line="480" w:lineRule="atLeast"/>
              <w:rPr>
                <w:rFonts w:hint="eastAsia" w:asciiTheme="minorEastAsia" w:hAnsiTheme="minorEastAsia" w:eastAsiaTheme="minorEastAsia"/>
                <w:bCs/>
                <w:iCs/>
                <w:sz w:val="24"/>
              </w:rPr>
            </w:pPr>
            <w:r>
              <w:rPr>
                <w:rFonts w:hint="eastAsia" w:asciiTheme="minorEastAsia" w:hAnsiTheme="minorEastAsia" w:eastAsiaTheme="minorEastAsia"/>
                <w:bCs/>
                <w:iCs/>
                <w:sz w:val="24"/>
              </w:rPr>
              <w:t>无</w:t>
            </w:r>
          </w:p>
        </w:tc>
      </w:tr>
      <w:tr w14:paraId="37A523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9CB093">
            <w:pPr>
              <w:spacing w:line="480" w:lineRule="atLeast"/>
              <w:jc w:val="center"/>
              <w:rPr>
                <w:rFonts w:hint="eastAsia" w:asciiTheme="minorEastAsia" w:hAnsiTheme="minorEastAsia" w:eastAsiaTheme="minorEastAsia"/>
                <w:b/>
                <w:bCs/>
                <w:iCs/>
                <w:sz w:val="24"/>
              </w:rPr>
            </w:pPr>
            <w:r>
              <w:rPr>
                <w:rFonts w:hint="eastAsia" w:asciiTheme="minorEastAsia" w:hAnsiTheme="minorEastAsia" w:eastAsiaTheme="minorEastAsia"/>
                <w:b/>
                <w:bCs/>
                <w:iCs/>
                <w:sz w:val="24"/>
              </w:rPr>
              <w:t>日期</w:t>
            </w:r>
          </w:p>
        </w:tc>
        <w:tc>
          <w:tcPr>
            <w:tcW w:w="65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82ED4C3">
            <w:pPr>
              <w:spacing w:line="480" w:lineRule="atLeast"/>
              <w:rPr>
                <w:rFonts w:hint="eastAsia" w:asciiTheme="minorEastAsia" w:hAnsiTheme="minorEastAsia" w:eastAsiaTheme="minorEastAsia"/>
                <w:bCs/>
                <w:iCs/>
                <w:sz w:val="24"/>
              </w:rPr>
            </w:pPr>
            <w:r>
              <w:rPr>
                <w:rFonts w:hint="eastAsia" w:asciiTheme="minorEastAsia" w:hAnsiTheme="minorEastAsia" w:eastAsiaTheme="minorEastAsia"/>
                <w:bCs/>
                <w:iCs/>
                <w:sz w:val="24"/>
              </w:rPr>
              <w:t>202</w:t>
            </w:r>
            <w:r>
              <w:rPr>
                <w:rFonts w:hint="eastAsia" w:asciiTheme="minorEastAsia" w:hAnsiTheme="minorEastAsia" w:eastAsiaTheme="minorEastAsia"/>
                <w:bCs/>
                <w:iCs/>
                <w:sz w:val="24"/>
                <w:lang w:val="en-US" w:eastAsia="zh-CN"/>
              </w:rPr>
              <w:t>6</w:t>
            </w:r>
            <w:r>
              <w:rPr>
                <w:rFonts w:hint="eastAsia" w:asciiTheme="minorEastAsia" w:hAnsiTheme="minorEastAsia" w:eastAsiaTheme="minorEastAsia"/>
                <w:bCs/>
                <w:iCs/>
                <w:sz w:val="24"/>
              </w:rPr>
              <w:t>年</w:t>
            </w:r>
            <w:r>
              <w:rPr>
                <w:rFonts w:hint="eastAsia" w:asciiTheme="minorEastAsia" w:hAnsiTheme="minorEastAsia" w:eastAsiaTheme="minorEastAsia"/>
                <w:bCs/>
                <w:iCs/>
                <w:sz w:val="24"/>
                <w:lang w:val="en-US" w:eastAsia="zh-CN"/>
              </w:rPr>
              <w:t>9</w:t>
            </w:r>
            <w:r>
              <w:rPr>
                <w:rFonts w:hint="eastAsia" w:asciiTheme="minorEastAsia" w:hAnsiTheme="minorEastAsia" w:eastAsiaTheme="minorEastAsia"/>
                <w:bCs/>
                <w:iCs/>
                <w:sz w:val="24"/>
              </w:rPr>
              <w:t>月</w:t>
            </w:r>
            <w:r>
              <w:rPr>
                <w:rFonts w:hint="eastAsia" w:asciiTheme="minorEastAsia" w:hAnsiTheme="minorEastAsia" w:eastAsiaTheme="minorEastAsia"/>
                <w:bCs/>
                <w:iCs/>
                <w:sz w:val="24"/>
                <w:lang w:val="en-US" w:eastAsia="zh-CN"/>
              </w:rPr>
              <w:t>24</w:t>
            </w:r>
            <w:r>
              <w:rPr>
                <w:rFonts w:hint="eastAsia" w:asciiTheme="minorEastAsia" w:hAnsiTheme="minorEastAsia" w:eastAsiaTheme="minorEastAsia"/>
                <w:bCs/>
                <w:iCs/>
                <w:sz w:val="24"/>
              </w:rPr>
              <w:t>日</w:t>
            </w:r>
          </w:p>
        </w:tc>
      </w:tr>
    </w:tbl>
    <w:p w14:paraId="55410D7D">
      <w:pPr>
        <w:widowControl/>
        <w:jc w:val="left"/>
        <w:rPr>
          <w:rFonts w:hint="eastAsia" w:asciiTheme="minorEastAsia" w:hAnsiTheme="minorEastAsia" w:eastAsiaTheme="minorEastAsia"/>
        </w:rPr>
      </w:pPr>
    </w:p>
    <w:sectPr>
      <w:pgSz w:w="11906" w:h="16838"/>
      <w:pgMar w:top="1440" w:right="1800" w:bottom="1440" w:left="1800" w:header="0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 Light">
    <w:panose1 w:val="020F0302020204030204"/>
    <w:charset w:val="00"/>
    <w:family w:val="auto"/>
    <w:pitch w:val="default"/>
    <w:sig w:usb0="E4002EFF" w:usb1="C200247B" w:usb2="00000009" w:usb3="00000000" w:csb0="200001FF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NotDisplayPageBoundaries w:val="1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361F"/>
    <w:rsid w:val="00003360"/>
    <w:rsid w:val="00005DB8"/>
    <w:rsid w:val="00007ADF"/>
    <w:rsid w:val="00015F15"/>
    <w:rsid w:val="00033206"/>
    <w:rsid w:val="0005513E"/>
    <w:rsid w:val="000634CF"/>
    <w:rsid w:val="00090EEB"/>
    <w:rsid w:val="000C5C89"/>
    <w:rsid w:val="000E6A06"/>
    <w:rsid w:val="000F15FD"/>
    <w:rsid w:val="0010295A"/>
    <w:rsid w:val="001232E4"/>
    <w:rsid w:val="001262CB"/>
    <w:rsid w:val="00135331"/>
    <w:rsid w:val="00137F59"/>
    <w:rsid w:val="00160D97"/>
    <w:rsid w:val="001616E3"/>
    <w:rsid w:val="00162214"/>
    <w:rsid w:val="00163A12"/>
    <w:rsid w:val="001649AC"/>
    <w:rsid w:val="00175AD3"/>
    <w:rsid w:val="00192EE3"/>
    <w:rsid w:val="001A1D23"/>
    <w:rsid w:val="001A2D31"/>
    <w:rsid w:val="001D27BC"/>
    <w:rsid w:val="001D33DA"/>
    <w:rsid w:val="001E13F9"/>
    <w:rsid w:val="002100AF"/>
    <w:rsid w:val="00215F92"/>
    <w:rsid w:val="0023106F"/>
    <w:rsid w:val="00236157"/>
    <w:rsid w:val="00246F81"/>
    <w:rsid w:val="00247A8D"/>
    <w:rsid w:val="00251347"/>
    <w:rsid w:val="0025468A"/>
    <w:rsid w:val="002923C4"/>
    <w:rsid w:val="002A3855"/>
    <w:rsid w:val="002A4872"/>
    <w:rsid w:val="002A610E"/>
    <w:rsid w:val="002A61BD"/>
    <w:rsid w:val="002A7F3F"/>
    <w:rsid w:val="002B1073"/>
    <w:rsid w:val="002E7776"/>
    <w:rsid w:val="002F3C66"/>
    <w:rsid w:val="002F7DD5"/>
    <w:rsid w:val="003248B9"/>
    <w:rsid w:val="00331EBE"/>
    <w:rsid w:val="0034152A"/>
    <w:rsid w:val="003642D7"/>
    <w:rsid w:val="003669FB"/>
    <w:rsid w:val="0037019B"/>
    <w:rsid w:val="0038542B"/>
    <w:rsid w:val="003A4BE0"/>
    <w:rsid w:val="003C47C3"/>
    <w:rsid w:val="003D00C0"/>
    <w:rsid w:val="003D07FC"/>
    <w:rsid w:val="003E453A"/>
    <w:rsid w:val="003F6632"/>
    <w:rsid w:val="00401DC1"/>
    <w:rsid w:val="004161F2"/>
    <w:rsid w:val="00421F6D"/>
    <w:rsid w:val="004244FB"/>
    <w:rsid w:val="0043251C"/>
    <w:rsid w:val="00476765"/>
    <w:rsid w:val="004868B6"/>
    <w:rsid w:val="00492F3C"/>
    <w:rsid w:val="004A56B1"/>
    <w:rsid w:val="004A57D0"/>
    <w:rsid w:val="004B023B"/>
    <w:rsid w:val="004D6D74"/>
    <w:rsid w:val="004F7AE4"/>
    <w:rsid w:val="0050009D"/>
    <w:rsid w:val="0052191B"/>
    <w:rsid w:val="00522FCE"/>
    <w:rsid w:val="00524F54"/>
    <w:rsid w:val="00535B5C"/>
    <w:rsid w:val="0054230B"/>
    <w:rsid w:val="00563045"/>
    <w:rsid w:val="00563DDA"/>
    <w:rsid w:val="005743E9"/>
    <w:rsid w:val="00590F17"/>
    <w:rsid w:val="00592BDE"/>
    <w:rsid w:val="005A1C64"/>
    <w:rsid w:val="005A4BD3"/>
    <w:rsid w:val="005A67C2"/>
    <w:rsid w:val="005C2FC9"/>
    <w:rsid w:val="005C5C82"/>
    <w:rsid w:val="005D1260"/>
    <w:rsid w:val="005D2608"/>
    <w:rsid w:val="005E43E9"/>
    <w:rsid w:val="005F5CC8"/>
    <w:rsid w:val="00603C69"/>
    <w:rsid w:val="006264BA"/>
    <w:rsid w:val="00631CCB"/>
    <w:rsid w:val="00634B51"/>
    <w:rsid w:val="00641736"/>
    <w:rsid w:val="00653612"/>
    <w:rsid w:val="00694250"/>
    <w:rsid w:val="006A1DD0"/>
    <w:rsid w:val="006C071A"/>
    <w:rsid w:val="006D11A4"/>
    <w:rsid w:val="006D1FBE"/>
    <w:rsid w:val="006D4A91"/>
    <w:rsid w:val="00715CDD"/>
    <w:rsid w:val="00725DBE"/>
    <w:rsid w:val="00736D1D"/>
    <w:rsid w:val="00747F1D"/>
    <w:rsid w:val="00781B42"/>
    <w:rsid w:val="00786DFA"/>
    <w:rsid w:val="007A43ED"/>
    <w:rsid w:val="007A4412"/>
    <w:rsid w:val="007B04B7"/>
    <w:rsid w:val="007D65EF"/>
    <w:rsid w:val="007E0CB2"/>
    <w:rsid w:val="007E1A63"/>
    <w:rsid w:val="007F4EF5"/>
    <w:rsid w:val="007F55A1"/>
    <w:rsid w:val="007F77C6"/>
    <w:rsid w:val="008136A7"/>
    <w:rsid w:val="008203FA"/>
    <w:rsid w:val="00825A91"/>
    <w:rsid w:val="00854505"/>
    <w:rsid w:val="0085660A"/>
    <w:rsid w:val="00871DAC"/>
    <w:rsid w:val="00876D0F"/>
    <w:rsid w:val="0088200E"/>
    <w:rsid w:val="00884F13"/>
    <w:rsid w:val="00887568"/>
    <w:rsid w:val="00892FB6"/>
    <w:rsid w:val="008946B3"/>
    <w:rsid w:val="008958CD"/>
    <w:rsid w:val="008B019F"/>
    <w:rsid w:val="008E2156"/>
    <w:rsid w:val="008F4282"/>
    <w:rsid w:val="00900293"/>
    <w:rsid w:val="00902DFD"/>
    <w:rsid w:val="00907142"/>
    <w:rsid w:val="00910AA4"/>
    <w:rsid w:val="00924C70"/>
    <w:rsid w:val="00925B9D"/>
    <w:rsid w:val="00934BBB"/>
    <w:rsid w:val="00960B01"/>
    <w:rsid w:val="00991353"/>
    <w:rsid w:val="009A00DF"/>
    <w:rsid w:val="00A05B6A"/>
    <w:rsid w:val="00A06787"/>
    <w:rsid w:val="00A07B26"/>
    <w:rsid w:val="00A10677"/>
    <w:rsid w:val="00A1231C"/>
    <w:rsid w:val="00A14C22"/>
    <w:rsid w:val="00A217FE"/>
    <w:rsid w:val="00A2242A"/>
    <w:rsid w:val="00A42039"/>
    <w:rsid w:val="00A47F93"/>
    <w:rsid w:val="00A603FD"/>
    <w:rsid w:val="00A632C9"/>
    <w:rsid w:val="00A641C8"/>
    <w:rsid w:val="00A702C9"/>
    <w:rsid w:val="00A86246"/>
    <w:rsid w:val="00A91C54"/>
    <w:rsid w:val="00AA3F7B"/>
    <w:rsid w:val="00AA4B45"/>
    <w:rsid w:val="00AA4C6C"/>
    <w:rsid w:val="00AB0AE7"/>
    <w:rsid w:val="00AB2C40"/>
    <w:rsid w:val="00AD1190"/>
    <w:rsid w:val="00AD307C"/>
    <w:rsid w:val="00AD383C"/>
    <w:rsid w:val="00AE1109"/>
    <w:rsid w:val="00AE1F03"/>
    <w:rsid w:val="00B001B3"/>
    <w:rsid w:val="00B10194"/>
    <w:rsid w:val="00B20AD1"/>
    <w:rsid w:val="00B31108"/>
    <w:rsid w:val="00B40738"/>
    <w:rsid w:val="00B660E4"/>
    <w:rsid w:val="00B77D38"/>
    <w:rsid w:val="00B90138"/>
    <w:rsid w:val="00BA3911"/>
    <w:rsid w:val="00BA6395"/>
    <w:rsid w:val="00BC1F1D"/>
    <w:rsid w:val="00BC2410"/>
    <w:rsid w:val="00BC66DD"/>
    <w:rsid w:val="00BD6FAF"/>
    <w:rsid w:val="00BD70FD"/>
    <w:rsid w:val="00BD718B"/>
    <w:rsid w:val="00C16025"/>
    <w:rsid w:val="00C3197D"/>
    <w:rsid w:val="00C41A7F"/>
    <w:rsid w:val="00C52BF5"/>
    <w:rsid w:val="00C6563F"/>
    <w:rsid w:val="00C662B2"/>
    <w:rsid w:val="00C6633E"/>
    <w:rsid w:val="00C812A6"/>
    <w:rsid w:val="00C91D48"/>
    <w:rsid w:val="00CB28F1"/>
    <w:rsid w:val="00CD1293"/>
    <w:rsid w:val="00CD6AF3"/>
    <w:rsid w:val="00CD6BDC"/>
    <w:rsid w:val="00CF58FA"/>
    <w:rsid w:val="00D03D57"/>
    <w:rsid w:val="00D25186"/>
    <w:rsid w:val="00D2699A"/>
    <w:rsid w:val="00D3145E"/>
    <w:rsid w:val="00D4003C"/>
    <w:rsid w:val="00D551DD"/>
    <w:rsid w:val="00D75583"/>
    <w:rsid w:val="00D90C81"/>
    <w:rsid w:val="00DA5671"/>
    <w:rsid w:val="00DA6FA6"/>
    <w:rsid w:val="00DB289D"/>
    <w:rsid w:val="00DB361F"/>
    <w:rsid w:val="00DC45E1"/>
    <w:rsid w:val="00DD489F"/>
    <w:rsid w:val="00DE52AA"/>
    <w:rsid w:val="00DF6E15"/>
    <w:rsid w:val="00E13BEC"/>
    <w:rsid w:val="00E179F1"/>
    <w:rsid w:val="00E44FEA"/>
    <w:rsid w:val="00E6496A"/>
    <w:rsid w:val="00E74AFE"/>
    <w:rsid w:val="00E77BFF"/>
    <w:rsid w:val="00E82749"/>
    <w:rsid w:val="00E95C3C"/>
    <w:rsid w:val="00EA5B83"/>
    <w:rsid w:val="00ED5697"/>
    <w:rsid w:val="00EE2B72"/>
    <w:rsid w:val="00F00328"/>
    <w:rsid w:val="00F16209"/>
    <w:rsid w:val="00F163EE"/>
    <w:rsid w:val="00F33A21"/>
    <w:rsid w:val="00F536E8"/>
    <w:rsid w:val="00F56265"/>
    <w:rsid w:val="00F616A1"/>
    <w:rsid w:val="00F642F6"/>
    <w:rsid w:val="00F6792F"/>
    <w:rsid w:val="00F77B93"/>
    <w:rsid w:val="00F851C4"/>
    <w:rsid w:val="00F91924"/>
    <w:rsid w:val="00F94CD8"/>
    <w:rsid w:val="00F97AE7"/>
    <w:rsid w:val="00F97C64"/>
    <w:rsid w:val="00FA1D83"/>
    <w:rsid w:val="00FA540B"/>
    <w:rsid w:val="00FB48C9"/>
    <w:rsid w:val="00FC6CC3"/>
    <w:rsid w:val="00FF769A"/>
    <w:rsid w:val="091361A6"/>
    <w:rsid w:val="0FD13BCA"/>
    <w:rsid w:val="11CA15AD"/>
    <w:rsid w:val="132A1CFF"/>
    <w:rsid w:val="17333ACD"/>
    <w:rsid w:val="20A83122"/>
    <w:rsid w:val="28DE5E84"/>
    <w:rsid w:val="2C706B6A"/>
    <w:rsid w:val="2CB257E6"/>
    <w:rsid w:val="315129E3"/>
    <w:rsid w:val="38817D65"/>
    <w:rsid w:val="420D7DF8"/>
    <w:rsid w:val="4FE722E0"/>
    <w:rsid w:val="5BCA6962"/>
    <w:rsid w:val="5C184DC6"/>
    <w:rsid w:val="5CBD60F6"/>
    <w:rsid w:val="671043BA"/>
    <w:rsid w:val="6D964787"/>
    <w:rsid w:val="6E384164"/>
    <w:rsid w:val="703A5210"/>
    <w:rsid w:val="77054566"/>
    <w:rsid w:val="77DF6273"/>
    <w:rsid w:val="79716A4F"/>
    <w:rsid w:val="7BB722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qFormat="1"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semiHidden/>
    <w:unhideWhenUsed/>
    <w:qFormat/>
    <w:uiPriority w:val="9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link w:val="13"/>
    <w:semiHidden/>
    <w:unhideWhenUsed/>
    <w:qFormat/>
    <w:uiPriority w:val="99"/>
    <w:pPr>
      <w:jc w:val="left"/>
    </w:pPr>
  </w:style>
  <w:style w:type="paragraph" w:styleId="4">
    <w:name w:val="Balloon Text"/>
    <w:basedOn w:val="1"/>
    <w:link w:val="15"/>
    <w:semiHidden/>
    <w:unhideWhenUsed/>
    <w:qFormat/>
    <w:uiPriority w:val="99"/>
    <w:rPr>
      <w:sz w:val="18"/>
      <w:szCs w:val="18"/>
    </w:rPr>
  </w:style>
  <w:style w:type="paragraph" w:styleId="5">
    <w:name w:val="footer"/>
    <w:basedOn w:val="1"/>
    <w:link w:val="1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HTML Preformatted"/>
    <w:basedOn w:val="1"/>
    <w:semiHidden/>
    <w:unhideWhenUsed/>
    <w:qFormat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paragraph" w:styleId="8">
    <w:name w:val="annotation subject"/>
    <w:basedOn w:val="3"/>
    <w:next w:val="3"/>
    <w:link w:val="14"/>
    <w:semiHidden/>
    <w:unhideWhenUsed/>
    <w:qFormat/>
    <w:uiPriority w:val="99"/>
    <w:rPr>
      <w:b/>
      <w:bCs/>
    </w:rPr>
  </w:style>
  <w:style w:type="table" w:styleId="10">
    <w:name w:val="Table Grid"/>
    <w:basedOn w:val="9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2">
    <w:name w:val="annotation reference"/>
    <w:basedOn w:val="11"/>
    <w:semiHidden/>
    <w:unhideWhenUsed/>
    <w:qFormat/>
    <w:uiPriority w:val="99"/>
    <w:rPr>
      <w:sz w:val="21"/>
      <w:szCs w:val="21"/>
    </w:rPr>
  </w:style>
  <w:style w:type="character" w:customStyle="1" w:styleId="13">
    <w:name w:val="批注文字 字符"/>
    <w:basedOn w:val="11"/>
    <w:link w:val="3"/>
    <w:semiHidden/>
    <w:qFormat/>
    <w:uiPriority w:val="99"/>
    <w:rPr>
      <w:rFonts w:ascii="Times New Roman" w:hAnsi="Times New Roman" w:eastAsia="宋体" w:cs="Times New Roman"/>
      <w:szCs w:val="24"/>
    </w:rPr>
  </w:style>
  <w:style w:type="character" w:customStyle="1" w:styleId="14">
    <w:name w:val="批注主题 字符"/>
    <w:basedOn w:val="13"/>
    <w:link w:val="8"/>
    <w:semiHidden/>
    <w:qFormat/>
    <w:uiPriority w:val="99"/>
    <w:rPr>
      <w:rFonts w:ascii="Times New Roman" w:hAnsi="Times New Roman" w:eastAsia="宋体" w:cs="Times New Roman"/>
      <w:b/>
      <w:bCs/>
      <w:szCs w:val="24"/>
    </w:rPr>
  </w:style>
  <w:style w:type="character" w:customStyle="1" w:styleId="15">
    <w:name w:val="批注框文本 字符"/>
    <w:basedOn w:val="11"/>
    <w:link w:val="4"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6">
    <w:name w:val="页眉 字符"/>
    <w:basedOn w:val="11"/>
    <w:link w:val="6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7">
    <w:name w:val="页脚 字符"/>
    <w:basedOn w:val="11"/>
    <w:link w:val="5"/>
    <w:qFormat/>
    <w:uiPriority w:val="99"/>
    <w:rPr>
      <w:rFonts w:ascii="Times New Roman" w:hAnsi="Times New Roman" w:eastAsia="宋体" w:cs="Times New Roman"/>
      <w:sz w:val="18"/>
      <w:szCs w:val="18"/>
    </w:rPr>
  </w:style>
  <w:style w:type="paragraph" w:customStyle="1" w:styleId="18">
    <w:name w:val="Revision"/>
    <w:hidden/>
    <w:semiHidden/>
    <w:qFormat/>
    <w:uiPriority w:val="99"/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1835</Words>
  <Characters>1877</Characters>
  <Lines>9</Lines>
  <Paragraphs>2</Paragraphs>
  <TotalTime>1</TotalTime>
  <ScaleCrop>false</ScaleCrop>
  <LinksUpToDate>false</LinksUpToDate>
  <CharactersWithSpaces>2011</CharactersWithSpaces>
  <Application>WPS Office_12.1.0.28599_F1E327BC-269C-435d-A152-05C5408002CA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2024-09-10T03:27:00Z</dcterms:created>
  <dc:creator>skd004</dc:creator>
  <cp:lastModifiedBy>ykx</cp:lastModifiedBy>
  <dcterms:modified xsi:type="dcterms:W3CDTF">2026-09-24T06:15:08Z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2052-12.1.0.28599</vt:lpwstr>
  </property>
  <property fmtid="{D5CDD505-2E9C-101B-9397-08002B2CF9AE}" pid="3" name="ICV">
    <vt:lpwstr>63A08BF9E0EF43C88C00D29C27A1B5BF_13</vt:lpwstr>
  </property>
  <property fmtid="{D5CDD505-2E9C-101B-9397-08002B2CF9AE}" pid="4" name="KSOTemplateDocerSaveRecord">
    <vt:lpwstr>eyJoZGlkIjoiOWMwYWY2MjkwMjU4NzA1YzQ4ZDM0OTZlNTcxZGEwYTMiLCJ1c2VySWQiOiI0MDcxMzUzMDcifQ==</vt:lpwstr>
  </property>
</Properties>
</file>