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A2BD8C">
      <w:pPr>
        <w:adjustRightInd w:val="0"/>
        <w:snapToGrid w:val="0"/>
        <w:spacing w:line="360" w:lineRule="auto"/>
        <w:ind w:firstLine="240" w:firstLineChars="1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证券代码：603029                                证券简称：天鹅股份</w:t>
      </w:r>
    </w:p>
    <w:p w14:paraId="74E081F3">
      <w:pPr>
        <w:adjustRightInd w:val="0"/>
        <w:snapToGrid w:val="0"/>
        <w:spacing w:line="360" w:lineRule="auto"/>
        <w:jc w:val="center"/>
        <w:rPr>
          <w:rFonts w:ascii="Times New Roman" w:hAnsi="Times New Roman" w:eastAsia="黑体" w:cs="Times New Roman"/>
          <w:b/>
          <w:color w:val="FF0000"/>
          <w:sz w:val="32"/>
          <w:szCs w:val="32"/>
        </w:rPr>
      </w:pPr>
      <w:r>
        <w:rPr>
          <w:rFonts w:ascii="Times New Roman" w:hAnsi="Times New Roman" w:eastAsia="黑体" w:cs="Times New Roman"/>
          <w:b/>
          <w:color w:val="FF0000"/>
          <w:sz w:val="32"/>
          <w:szCs w:val="32"/>
        </w:rPr>
        <w:t>山东天鹅棉业机械股份有限公司</w:t>
      </w:r>
    </w:p>
    <w:p w14:paraId="058143AB">
      <w:pPr>
        <w:adjustRightInd w:val="0"/>
        <w:snapToGrid w:val="0"/>
        <w:spacing w:line="360" w:lineRule="auto"/>
        <w:jc w:val="center"/>
        <w:rPr>
          <w:rFonts w:hint="eastAsia" w:ascii="Times New Roman" w:hAnsi="Times New Roman" w:eastAsia="黑体" w:cs="Times New Roman"/>
          <w:b/>
          <w:color w:val="FF0000"/>
          <w:sz w:val="32"/>
          <w:szCs w:val="32"/>
        </w:rPr>
      </w:pPr>
      <w:r>
        <w:rPr>
          <w:rFonts w:hint="eastAsia" w:ascii="Times New Roman" w:hAnsi="Times New Roman" w:eastAsia="黑体" w:cs="Times New Roman"/>
          <w:b/>
          <w:color w:val="FF0000"/>
          <w:sz w:val="32"/>
          <w:szCs w:val="32"/>
        </w:rPr>
        <w:t>投资者关系活动记录表</w:t>
      </w:r>
    </w:p>
    <w:p w14:paraId="0ED08D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default" w:ascii="Times New Roman" w:hAnsi="Times New Roman" w:cs="Times New Roman" w:eastAsiaTheme="majorEastAsia"/>
          <w:b w:val="0"/>
          <w:bCs/>
          <w:color w:val="auto"/>
          <w:sz w:val="22"/>
          <w:szCs w:val="22"/>
          <w:lang w:val="en-US" w:eastAsia="zh-CN"/>
        </w:rPr>
      </w:pPr>
      <w:r>
        <w:rPr>
          <w:rFonts w:hint="eastAsia" w:ascii="Times New Roman" w:hAnsi="Times New Roman" w:cs="Times New Roman" w:eastAsiaTheme="majorEastAsia"/>
          <w:b w:val="0"/>
          <w:bCs/>
          <w:color w:val="auto"/>
          <w:sz w:val="22"/>
          <w:szCs w:val="22"/>
          <w:lang w:val="en-US" w:eastAsia="zh-CN"/>
        </w:rPr>
        <w:t xml:space="preserve">                                                </w:t>
      </w:r>
      <w:r>
        <w:rPr>
          <w:rFonts w:hint="default" w:ascii="Times New Roman" w:hAnsi="Times New Roman" w:cs="Times New Roman" w:eastAsiaTheme="majorEastAsia"/>
          <w:b w:val="0"/>
          <w:bCs/>
          <w:color w:val="auto"/>
          <w:sz w:val="22"/>
          <w:szCs w:val="22"/>
          <w:lang w:val="en-US" w:eastAsia="zh-CN"/>
        </w:rPr>
        <w:t>编号：2026-00</w:t>
      </w:r>
      <w:r>
        <w:rPr>
          <w:rFonts w:hint="eastAsia" w:ascii="Times New Roman" w:hAnsi="Times New Roman" w:cs="Times New Roman" w:eastAsiaTheme="majorEastAsia"/>
          <w:b w:val="0"/>
          <w:bCs/>
          <w:color w:val="auto"/>
          <w:sz w:val="22"/>
          <w:szCs w:val="22"/>
          <w:lang w:val="en-US" w:eastAsia="zh-CN"/>
        </w:rPr>
        <w:t>5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6600"/>
      </w:tblGrid>
      <w:tr w14:paraId="6B318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96" w:type="dxa"/>
            <w:vAlign w:val="center"/>
          </w:tcPr>
          <w:p w14:paraId="1E8976F9">
            <w:pPr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投资者关系活动类别</w:t>
            </w:r>
          </w:p>
        </w:tc>
        <w:tc>
          <w:tcPr>
            <w:tcW w:w="6600" w:type="dxa"/>
          </w:tcPr>
          <w:p w14:paraId="2C56E1AE">
            <w:pPr>
              <w:adjustRightInd w:val="0"/>
              <w:spacing w:line="360" w:lineRule="auto"/>
              <w:rPr>
                <w:rFonts w:hint="eastAsia" w:cs="Times New Roman" w:asciiTheme="minorEastAsia" w:hAnsiTheme="minorEastAsia"/>
                <w:sz w:val="24"/>
              </w:rPr>
            </w:pPr>
            <w:r>
              <w:rPr>
                <w:rFonts w:hint="eastAsia" w:cs="Times New Roman" w:asciiTheme="minorEastAsia" w:hAnsiTheme="minorEastAsia"/>
                <w:sz w:val="24"/>
                <w:lang w:eastAsia="zh-CN"/>
              </w:rPr>
              <w:t>☑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特定对象调研 </w:t>
            </w:r>
            <w:r>
              <w:rPr>
                <w:rFonts w:ascii="Times New Roman" w:hAnsi="Times New Roman" w:cs="Times New Roman"/>
                <w:sz w:val="24"/>
              </w:rPr>
              <w:t xml:space="preserve">         </w:t>
            </w:r>
            <w:r>
              <w:rPr>
                <w:rFonts w:hint="eastAsia" w:cs="Times New Roman" w:asciiTheme="minorEastAsia" w:hAnsiTheme="minorEastAsia"/>
                <w:sz w:val="24"/>
                <w:lang w:eastAsia="zh-CN"/>
              </w:rPr>
              <w:t>□</w:t>
            </w:r>
            <w:r>
              <w:rPr>
                <w:rFonts w:hint="eastAsia" w:cs="Times New Roman" w:asciiTheme="minorEastAsia" w:hAnsiTheme="minorEastAsia"/>
                <w:sz w:val="24"/>
              </w:rPr>
              <w:t>分析师会议</w:t>
            </w:r>
          </w:p>
          <w:p w14:paraId="0AFC816A">
            <w:pPr>
              <w:adjustRightInd w:val="0"/>
              <w:spacing w:line="360" w:lineRule="auto"/>
              <w:rPr>
                <w:rFonts w:hint="eastAsia" w:cs="Times New Roman" w:asciiTheme="minorEastAsia" w:hAnsiTheme="minorEastAsia"/>
                <w:sz w:val="24"/>
              </w:rPr>
            </w:pPr>
            <w:r>
              <w:rPr>
                <w:rFonts w:hint="eastAsia" w:cs="Times New Roman" w:asciiTheme="minorEastAsia" w:hAnsiTheme="minorEastAsia"/>
                <w:sz w:val="24"/>
              </w:rPr>
              <w:t xml:space="preserve">□媒体采访 </w:t>
            </w:r>
            <w:r>
              <w:rPr>
                <w:rFonts w:cs="Times New Roman" w:asciiTheme="minorEastAsia" w:hAnsiTheme="minorEastAsia"/>
                <w:sz w:val="24"/>
              </w:rPr>
              <w:t xml:space="preserve">             </w:t>
            </w:r>
            <w:r>
              <w:rPr>
                <w:rFonts w:hint="eastAsia" w:cs="Times New Roman" w:asciiTheme="minorEastAsia" w:hAnsiTheme="minorEastAsia"/>
                <w:sz w:val="24"/>
                <w:lang w:eastAsia="zh-CN"/>
              </w:rPr>
              <w:t>□</w:t>
            </w:r>
            <w:r>
              <w:rPr>
                <w:rFonts w:hint="eastAsia" w:cs="Times New Roman" w:asciiTheme="minorEastAsia" w:hAnsiTheme="minorEastAsia"/>
                <w:sz w:val="24"/>
              </w:rPr>
              <w:t>业绩说明会</w:t>
            </w:r>
          </w:p>
          <w:p w14:paraId="34921C66">
            <w:pPr>
              <w:adjustRightInd w:val="0"/>
              <w:spacing w:line="360" w:lineRule="auto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 xml:space="preserve">□新闻发布会 </w:t>
            </w:r>
            <w:r>
              <w:rPr>
                <w:rFonts w:ascii="宋体" w:hAnsi="宋体" w:eastAsia="宋体" w:cs="Times New Roman"/>
                <w:sz w:val="24"/>
              </w:rPr>
              <w:t xml:space="preserve">           </w:t>
            </w:r>
            <w:r>
              <w:rPr>
                <w:rFonts w:hint="eastAsia" w:ascii="宋体" w:hAnsi="宋体" w:eastAsia="宋体" w:cs="Times New Roman"/>
                <w:sz w:val="24"/>
              </w:rPr>
              <w:t>□路演活动</w:t>
            </w:r>
          </w:p>
          <w:p w14:paraId="694A6E03">
            <w:pPr>
              <w:adjustRightInd w:val="0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cs="Times New Roman" w:asciiTheme="minorEastAsia" w:hAnsiTheme="minorEastAsia"/>
                <w:sz w:val="24"/>
              </w:rPr>
              <w:t>□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现场参观 </w:t>
            </w:r>
            <w:r>
              <w:rPr>
                <w:rFonts w:ascii="Times New Roman" w:hAnsi="Times New Roman" w:cs="Times New Roman"/>
                <w:sz w:val="24"/>
              </w:rPr>
              <w:t xml:space="preserve">             </w:t>
            </w:r>
            <w:r>
              <w:rPr>
                <w:rFonts w:hint="eastAsia" w:cs="Times New Roman" w:asciiTheme="minorEastAsia" w:hAnsiTheme="minorEastAsia"/>
                <w:sz w:val="24"/>
              </w:rPr>
              <w:t>□其他</w:t>
            </w:r>
            <w:r>
              <w:rPr>
                <w:rFonts w:hint="eastAsia" w:cs="Times New Roman" w:asciiTheme="minorEastAsia" w:hAnsiTheme="minorEastAsia"/>
                <w:sz w:val="24"/>
                <w:u w:val="single"/>
              </w:rPr>
              <w:t xml:space="preserve"> </w:t>
            </w:r>
            <w:r>
              <w:rPr>
                <w:rFonts w:cs="Times New Roman" w:asciiTheme="minorEastAsia" w:hAnsiTheme="minorEastAsia"/>
                <w:sz w:val="24"/>
                <w:u w:val="single"/>
              </w:rPr>
              <w:t xml:space="preserve">      </w:t>
            </w:r>
          </w:p>
        </w:tc>
      </w:tr>
      <w:tr w14:paraId="01024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Align w:val="center"/>
          </w:tcPr>
          <w:p w14:paraId="1EDB556D">
            <w:pPr>
              <w:adjustRightInd w:val="0"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参与调研对象</w:t>
            </w:r>
          </w:p>
        </w:tc>
        <w:tc>
          <w:tcPr>
            <w:tcW w:w="6600" w:type="dxa"/>
            <w:vAlign w:val="center"/>
          </w:tcPr>
          <w:p w14:paraId="7ACD443B">
            <w:pPr>
              <w:widowControl/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highlight w:val="none"/>
                <w:lang w:val="en-US" w:eastAsia="zh-CN"/>
                <w14:ligatures w14:val="none"/>
              </w:rPr>
              <w:t>1、大成基金  陈麟瓒</w:t>
            </w:r>
          </w:p>
          <w:p w14:paraId="1CFA0CE2">
            <w:pPr>
              <w:widowControl/>
              <w:numPr>
                <w:ilvl w:val="0"/>
                <w:numId w:val="0"/>
              </w:numPr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highlight w:val="none"/>
                <w:lang w:val="en-US" w:eastAsia="zh-CN"/>
                <w14:ligatures w14:val="none"/>
              </w:rPr>
              <w:t>2、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highlight w:val="none"/>
                <w:lang w:val="en-US" w:eastAsia="zh-CN"/>
                <w14:ligatures w14:val="none"/>
              </w:rPr>
              <w:t>中信证券 周荣炎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highlight w:val="none"/>
                <w:lang w:val="en-US" w:eastAsia="zh-CN"/>
                <w14:ligatures w14:val="none"/>
              </w:rPr>
              <w:t>、滕宇</w:t>
            </w:r>
          </w:p>
        </w:tc>
      </w:tr>
      <w:tr w14:paraId="7B566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Align w:val="center"/>
          </w:tcPr>
          <w:p w14:paraId="47A3CC45">
            <w:pPr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时间</w:t>
            </w:r>
          </w:p>
        </w:tc>
        <w:tc>
          <w:tcPr>
            <w:tcW w:w="6600" w:type="dxa"/>
            <w:vAlign w:val="center"/>
          </w:tcPr>
          <w:p w14:paraId="7973BFE8">
            <w:pPr>
              <w:adjustRightInd w:val="0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02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sz w:val="24"/>
              </w:rPr>
              <w:t>年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/>
                <w:sz w:val="24"/>
              </w:rPr>
              <w:t>月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23</w:t>
            </w:r>
            <w:r>
              <w:rPr>
                <w:rFonts w:hint="eastAsia" w:ascii="Times New Roman" w:hAnsi="Times New Roman" w:cs="Times New Roman"/>
                <w:sz w:val="24"/>
              </w:rPr>
              <w:t>日（星期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三</w:t>
            </w:r>
            <w:r>
              <w:rPr>
                <w:rFonts w:hint="eastAsia" w:ascii="Times New Roman" w:hAnsi="Times New Roman" w:cs="Times New Roman"/>
                <w:sz w:val="24"/>
              </w:rPr>
              <w:t>）下午1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 w:val="24"/>
              </w:rPr>
              <w:t>: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0-1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4"/>
              </w:rPr>
              <w:t>: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14:paraId="1CC1D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Align w:val="center"/>
          </w:tcPr>
          <w:p w14:paraId="522AC367">
            <w:pPr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方式</w:t>
            </w:r>
          </w:p>
        </w:tc>
        <w:tc>
          <w:tcPr>
            <w:tcW w:w="6600" w:type="dxa"/>
            <w:vAlign w:val="center"/>
          </w:tcPr>
          <w:p w14:paraId="5E01B170">
            <w:pPr>
              <w:adjustRightInd w:val="0"/>
              <w:spacing w:line="360" w:lineRule="auto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现场+通讯会议</w:t>
            </w:r>
          </w:p>
        </w:tc>
      </w:tr>
      <w:tr w14:paraId="48A06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Align w:val="center"/>
          </w:tcPr>
          <w:p w14:paraId="35F20855">
            <w:pPr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地点</w:t>
            </w:r>
          </w:p>
        </w:tc>
        <w:tc>
          <w:tcPr>
            <w:tcW w:w="6600" w:type="dxa"/>
            <w:vAlign w:val="center"/>
          </w:tcPr>
          <w:p w14:paraId="16F67992">
            <w:pPr>
              <w:adjustRightInd w:val="0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山东天鹅棉业机械股份有限公司会议室</w:t>
            </w:r>
          </w:p>
        </w:tc>
      </w:tr>
      <w:tr w14:paraId="0DB5B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Align w:val="center"/>
          </w:tcPr>
          <w:p w14:paraId="2322B1CB">
            <w:pPr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上市公司参与人员</w:t>
            </w:r>
          </w:p>
        </w:tc>
        <w:tc>
          <w:tcPr>
            <w:tcW w:w="6600" w:type="dxa"/>
            <w:vAlign w:val="center"/>
          </w:tcPr>
          <w:p w14:paraId="2108A420">
            <w:pPr>
              <w:adjustRightInd w:val="0"/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董事会秘书：吴维众</w:t>
            </w:r>
          </w:p>
          <w:p w14:paraId="2202DF94">
            <w:pPr>
              <w:adjustRightInd w:val="0"/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证券事务代表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王伟静</w:t>
            </w:r>
          </w:p>
        </w:tc>
      </w:tr>
      <w:tr w14:paraId="3CF26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Align w:val="center"/>
          </w:tcPr>
          <w:p w14:paraId="763ACA1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投资者关系活动主要内容</w:t>
            </w:r>
          </w:p>
        </w:tc>
        <w:tc>
          <w:tcPr>
            <w:tcW w:w="6600" w:type="dxa"/>
          </w:tcPr>
          <w:p w14:paraId="115FA8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482" w:firstLineChars="200"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lang w:val="en-US" w:eastAsia="zh-CN"/>
                <w14:ligatures w14:val="none"/>
              </w:rPr>
              <w:t>观看公司宣传片</w:t>
            </w:r>
          </w:p>
          <w:p w14:paraId="336E0F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482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lang w:val="en-US" w:eastAsia="zh-CN"/>
                <w14:ligatures w14:val="none"/>
              </w:rPr>
              <w:t>公司基本情况介绍</w:t>
            </w:r>
          </w:p>
          <w:p w14:paraId="42B45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lang w:val="en-US" w:eastAsia="zh-CN"/>
                <w14:ligatures w14:val="none"/>
              </w:rPr>
              <w:t>天鹅股份成立于2002年，其前身始创于1946年，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  <w14:ligatures w14:val="none"/>
              </w:rPr>
              <w:t>2016年4月在上海证券交易所上市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lang w:val="en-US" w:eastAsia="zh-CN"/>
                <w14:ligatures w14:val="none"/>
              </w:rPr>
              <w:t>，是山东省供销合作社联合社控股的上市公司。经过多年发展，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  <w14:ligatures w14:val="none"/>
              </w:rPr>
              <w:t>公司已经成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  <w14:ligatures w14:val="none"/>
              </w:rPr>
              <w:t>为集科研开发、精工制造、营销服务、资本运作于一体，专业提供棉花产业全程机械化、智能化、信息化装备一站式供货及服务的行业龙头企业，也是我国棉花加工机械制造行业唯一的上市公司。</w:t>
            </w:r>
          </w:p>
          <w:p w14:paraId="054360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  <w14:ligatures w14:val="none"/>
              </w:rPr>
              <w:t>公司按照“做强棉机、突破采棉机、拓展农机”的战略规划，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lang w:val="en-US" w:eastAsia="zh-CN"/>
                <w14:ligatures w14:val="none"/>
              </w:rPr>
              <w:t>加快产业链延伸布局，产品矩阵逐步丰富，涉及棉花、粮食以及加工番茄等主要作物的收获及加工处理机械，拥有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lang w:val="en-US" w:eastAsia="zh-CN"/>
                <w14:ligatures w14:val="none"/>
              </w:rPr>
              <w:t>棉花加工成套设备、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lang w:val="en-US" w:eastAsia="zh-CN"/>
                <w14:ligatures w14:val="none"/>
              </w:rPr>
              <w:t>棉花收获机、谷物联合收获机以及番茄收获机、秸秆打捆机、粮食烘干塔等产品系列。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  <w14:ligatures w14:val="none"/>
              </w:rPr>
              <w:t>公司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lang w:val="en-US" w:eastAsia="zh-CN"/>
                <w14:ligatures w14:val="none"/>
              </w:rPr>
              <w:t>获得国家科技进步二等奖2项，承担国家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lang w:val="en-US" w:eastAsia="zh-CN"/>
                <w14:ligatures w14:val="none"/>
              </w:rPr>
              <w:t>“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lang w:val="en-US" w:eastAsia="zh-CN"/>
                <w14:ligatures w14:val="none"/>
              </w:rPr>
              <w:t>十三五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lang w:val="en-US" w:eastAsia="zh-CN"/>
                <w14:ligatures w14:val="none"/>
              </w:rPr>
              <w:t>”“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lang w:val="en-US" w:eastAsia="zh-CN"/>
                <w14:ligatures w14:val="none"/>
              </w:rPr>
              <w:t>十四五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lang w:val="en-US" w:eastAsia="zh-CN"/>
                <w14:ligatures w14:val="none"/>
              </w:rPr>
              <w:t>”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lang w:val="en-US" w:eastAsia="zh-CN"/>
                <w14:ligatures w14:val="none"/>
              </w:rPr>
              <w:t>重点研发计划项目，是国家级制造业单项冠军企业、国家专精特新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lang w:val="en-US" w:eastAsia="zh-CN"/>
                <w14:ligatures w14:val="none"/>
              </w:rPr>
              <w:t>重点“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lang w:val="en-US" w:eastAsia="zh-CN"/>
                <w14:ligatures w14:val="none"/>
              </w:rPr>
              <w:t>小巨人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lang w:val="en-US" w:eastAsia="zh-CN"/>
                <w14:ligatures w14:val="none"/>
              </w:rPr>
              <w:t>”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lang w:val="en-US" w:eastAsia="zh-CN"/>
                <w14:ligatures w14:val="none"/>
              </w:rPr>
              <w:t>企业。</w:t>
            </w:r>
          </w:p>
          <w:p w14:paraId="10B639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482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lang w:val="en-US" w:eastAsia="zh-CN"/>
                <w14:ligatures w14:val="none"/>
              </w:rPr>
              <w:t>沟通交流环节</w:t>
            </w:r>
          </w:p>
          <w:p w14:paraId="096574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482" w:firstLineChars="200"/>
              <w:jc w:val="both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lang w:val="en-US" w:eastAsia="zh-CN"/>
                <w14:ligatures w14:val="none"/>
              </w:rPr>
              <w:t>1、2025年以来收入增长较多，尤其是海外收入，2025年为2.71亿元，海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highlight w:val="none"/>
                <w:lang w:val="en-US" w:eastAsia="zh-CN"/>
                <w14:ligatures w14:val="none"/>
              </w:rPr>
              <w:t>外收入产品结构、核心市场及毛利率情况。</w:t>
            </w:r>
          </w:p>
          <w:p w14:paraId="5BCF7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482" w:firstLineChars="200"/>
              <w:jc w:val="both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highlight w:val="none"/>
                <w:lang w:val="en-US" w:eastAsia="zh-CN"/>
                <w14:ligatures w14:val="none"/>
              </w:rPr>
              <w:t>答：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highlight w:val="none"/>
                <w:lang w:val="en-US" w:eastAsia="zh-CN"/>
                <w14:ligatures w14:val="none"/>
              </w:rPr>
              <w:t>2025年，公司实现国际业务收入27,125.61万元，同比增长746.61%，主要得益于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lang w:val="en-US" w:eastAsia="zh-CN"/>
                <w14:ligatures w14:val="none"/>
              </w:rPr>
              <w:t>中亚地区采棉机市场需求快速增长。国际业务收入主要来源于出口的采棉机业务收入等。2025年国际业务毛利率为37.21%。</w:t>
            </w:r>
          </w:p>
          <w:p w14:paraId="00BEF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482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lang w:val="en-US" w:eastAsia="zh-CN"/>
                <w14:ligatures w14:val="none"/>
              </w:rPr>
              <w:t>2、对于乌兹别克斯坦2026年采棉机采购计划，公司占据的市场份额和主要竞争对手情况。</w:t>
            </w:r>
          </w:p>
          <w:p w14:paraId="1539F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482" w:firstLineChars="200"/>
              <w:jc w:val="both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lang w:val="en-US" w:eastAsia="zh-CN"/>
                <w14:ligatures w14:val="none"/>
              </w:rPr>
              <w:t>答：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lang w:val="en-US" w:eastAsia="zh-CN"/>
                <w14:ligatures w14:val="none"/>
              </w:rPr>
              <w:t>乌兹别克斯坦作为传统棉花种植大国，近年来出台一系列政策推广新疆机采棉的种植模式，大力推动棉花种植全程机械化，为我国采棉机企业提供了增量市场空间。公司依托产业链配套优势，积极抢抓市场份额。当地市场采棉机品牌有天鹅股份、新疆钵施然、江苏沃得、迪尔等。</w:t>
            </w:r>
          </w:p>
          <w:p w14:paraId="635E8D78">
            <w:pPr>
              <w:spacing w:line="360" w:lineRule="auto"/>
              <w:ind w:firstLine="482" w:firstLineChars="200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8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8"/>
                <w:lang w:val="en-US" w:eastAsia="zh-CN"/>
                <w14:ligatures w14:val="none"/>
              </w:rPr>
              <w:t>3、国内采棉机行业情况，国产机占比、新疆棉花机采率是多少？</w:t>
            </w:r>
          </w:p>
          <w:p w14:paraId="68B51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482" w:firstLineChars="200"/>
              <w:jc w:val="both"/>
              <w:textAlignment w:val="auto"/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lang w:val="en-US" w:eastAsia="zh-CN"/>
                <w14:ligatures w14:val="none"/>
              </w:rPr>
              <w:t>答：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lang w:val="en-US" w:eastAsia="zh-CN"/>
                <w14:ligatures w14:val="none"/>
              </w:rPr>
              <w:t>近年来，国产高端采棉机技术壁垒的突破和快速产业化量产，推动我国在用采棉机国产占比达七成，彻底打破国外品牌长期垄断的局面，目前国内采棉机市场已步入存量更新迭代的高质量发展阶段。在棉花主产区新疆，采棉机保有量和机采率均已处于较高水平，机采率在90%以上。</w:t>
            </w:r>
          </w:p>
          <w:p w14:paraId="79BA1795">
            <w:pPr>
              <w:spacing w:line="360" w:lineRule="auto"/>
              <w:ind w:firstLine="482" w:firstLineChars="200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8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8"/>
                <w:lang w:val="en-US" w:eastAsia="zh-CN"/>
                <w14:ligatures w14:val="none"/>
              </w:rPr>
              <w:t>4、2025年收获机械毛利率下降的主要原因？</w:t>
            </w:r>
          </w:p>
          <w:p w14:paraId="7D7ECF1E">
            <w:pPr>
              <w:spacing w:line="360" w:lineRule="auto"/>
              <w:ind w:firstLine="482" w:firstLineChars="200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8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lang w:val="en-US" w:eastAsia="zh-CN"/>
                <w14:ligatures w14:val="none"/>
              </w:rPr>
              <w:t>答：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lang w:val="en-US" w:eastAsia="zh-CN"/>
                <w14:ligatures w14:val="none"/>
              </w:rPr>
              <w:t>2025年主营业务毛利率较上年有所下降，主要系收获机械产品收入占比提升，但受行业竞争环境影响，该类产品毛利率有所下降；农事服务自2024年下半年开始，相关设备当年折旧期限较短，2025年度为全年计提折旧，使得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8"/>
                <w:lang w:val="en-US" w:eastAsia="zh-CN"/>
                <w14:ligatures w14:val="none"/>
              </w:rPr>
              <w:t>农事服务成本同比增加，该业务毛利率出现较大变动。</w:t>
            </w:r>
          </w:p>
          <w:p w14:paraId="5D6E255F">
            <w:pPr>
              <w:spacing w:line="360" w:lineRule="auto"/>
              <w:ind w:firstLine="482" w:firstLineChars="200"/>
              <w:rPr>
                <w:rFonts w:hint="eastAsia" w:ascii="Times New Roman" w:hAnsi="Times New Roman" w:eastAsia="宋体" w:cs="Times New Roman"/>
                <w:b/>
                <w:bCs/>
                <w:sz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lang w:val="en-US" w:eastAsia="zh-CN"/>
                <w14:ligatures w14:val="none"/>
              </w:rPr>
              <w:t>5、公司订单情况，2026年以来合同负债较2025年下降的原因，公司客户的预付款比例？</w:t>
            </w:r>
          </w:p>
          <w:p w14:paraId="5387C4EC">
            <w:pPr>
              <w:spacing w:line="360" w:lineRule="auto"/>
              <w:ind w:firstLine="482" w:firstLineChars="200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lang w:val="en-US" w:eastAsia="zh-CN"/>
                <w14:ligatures w14:val="none"/>
              </w:rPr>
              <w:t>答：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lang w:val="en-US" w:eastAsia="zh-CN"/>
                <w14:ligatures w14:val="none"/>
              </w:rPr>
              <w:t>面对国内行业存量竞争日趋白热化、外部环境不确定性持续上升等多重挑战，公司多维发力深耕国内市场，扎实推进外贸突破战略，2026年上半年经营业绩稳步增长。合同负债减少主要受设备验收、合同账期等因素影响。客户预付款比例根据客户资信、项目周期、结算方式等情况综合确定。</w:t>
            </w:r>
          </w:p>
          <w:p w14:paraId="74C54759">
            <w:pPr>
              <w:spacing w:line="360" w:lineRule="auto"/>
              <w:ind w:firstLine="482" w:firstLineChars="200"/>
              <w:rPr>
                <w:rFonts w:hint="default" w:ascii="Times New Roman" w:hAnsi="Times New Roman" w:eastAsia="宋体" w:cs="Times New Roman"/>
                <w:b/>
                <w:bCs/>
                <w:sz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lang w:val="en-US" w:eastAsia="zh-CN"/>
                <w14:ligatures w14:val="none"/>
              </w:rPr>
              <w:t>6、2025年末按揭担保余额有2.776亿元，其中2023年的有1.373亿元，如何管控按揭担保风险？</w:t>
            </w:r>
          </w:p>
          <w:p w14:paraId="2339977E">
            <w:pPr>
              <w:spacing w:line="360" w:lineRule="auto"/>
              <w:ind w:firstLine="482" w:firstLineChars="200"/>
              <w:rPr>
                <w:rFonts w:hint="eastAsia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lang w:val="en-US" w:eastAsia="zh-CN"/>
                <w14:ligatures w14:val="none"/>
              </w:rPr>
              <w:t>答：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lang w:val="en-US" w:eastAsia="zh-CN"/>
                <w14:ligatures w14:val="none"/>
              </w:rPr>
              <w:t>公司秉持“减增量、降存量”的原则，合理把控按揭担保业务规模，持续强化按揭担保风险管控，妥善处置担保风险。公司与合作银行加强对客户还款跟踪，强化贷后管理、加大催收力度。若发生逾期情形，适时利用GPS装置采取锁机处理并终止提供服务，同时配合金融机构采取相关法律手段。截至2026年6月30日，公司对存量采棉机按揭贷款担保业务已计提预计负债3,400.44万元。</w:t>
            </w:r>
          </w:p>
        </w:tc>
      </w:tr>
      <w:tr w14:paraId="20685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Align w:val="center"/>
          </w:tcPr>
          <w:p w14:paraId="52CBB6B5">
            <w:pPr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附件清单</w:t>
            </w:r>
          </w:p>
        </w:tc>
        <w:tc>
          <w:tcPr>
            <w:tcW w:w="6600" w:type="dxa"/>
          </w:tcPr>
          <w:p w14:paraId="07FAE608">
            <w:pPr>
              <w:adjustRightInd w:val="0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无</w:t>
            </w:r>
          </w:p>
        </w:tc>
      </w:tr>
      <w:tr w14:paraId="3B63C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Align w:val="center"/>
          </w:tcPr>
          <w:p w14:paraId="67DD8F4C">
            <w:pPr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日期</w:t>
            </w:r>
          </w:p>
        </w:tc>
        <w:tc>
          <w:tcPr>
            <w:tcW w:w="6600" w:type="dxa"/>
          </w:tcPr>
          <w:p w14:paraId="6DD60710">
            <w:pPr>
              <w:adjustRightInd w:val="0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02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sz w:val="24"/>
              </w:rPr>
              <w:t>年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/>
                <w:sz w:val="24"/>
              </w:rPr>
              <w:t>月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23</w:t>
            </w:r>
            <w:r>
              <w:rPr>
                <w:rFonts w:hint="eastAsia" w:ascii="Times New Roman" w:hAnsi="Times New Roman" w:cs="Times New Roman"/>
                <w:sz w:val="24"/>
              </w:rPr>
              <w:t>日</w:t>
            </w:r>
          </w:p>
        </w:tc>
      </w:tr>
    </w:tbl>
    <w:p w14:paraId="73B1E3D7">
      <w:pPr>
        <w:adjustRightInd w:val="0"/>
        <w:snapToGrid w:val="0"/>
        <w:spacing w:line="460" w:lineRule="exact"/>
        <w:ind w:firstLine="480"/>
        <w:rPr>
          <w:rFonts w:ascii="Times New Roman" w:hAnsi="Times New Roman" w:cs="Times New Roman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13FEA1"/>
    <w:multiLevelType w:val="singleLevel"/>
    <w:tmpl w:val="D513FEA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g1NDNiMjBhMzI1M2MzMzljOWUyMGQ5MDc2MzM3ODgifQ=="/>
  </w:docVars>
  <w:rsids>
    <w:rsidRoot w:val="00356E13"/>
    <w:rsid w:val="000058E8"/>
    <w:rsid w:val="00021D48"/>
    <w:rsid w:val="00026B7C"/>
    <w:rsid w:val="00027091"/>
    <w:rsid w:val="0002754A"/>
    <w:rsid w:val="000329F6"/>
    <w:rsid w:val="00035EB1"/>
    <w:rsid w:val="0004151B"/>
    <w:rsid w:val="00043957"/>
    <w:rsid w:val="00051C6C"/>
    <w:rsid w:val="00053711"/>
    <w:rsid w:val="00053A5C"/>
    <w:rsid w:val="00061F9C"/>
    <w:rsid w:val="00073DA3"/>
    <w:rsid w:val="00075790"/>
    <w:rsid w:val="00075BDC"/>
    <w:rsid w:val="000825D9"/>
    <w:rsid w:val="00084D37"/>
    <w:rsid w:val="00090583"/>
    <w:rsid w:val="000A39CC"/>
    <w:rsid w:val="000C1F14"/>
    <w:rsid w:val="000C3E97"/>
    <w:rsid w:val="000D2144"/>
    <w:rsid w:val="000D504F"/>
    <w:rsid w:val="000D59B6"/>
    <w:rsid w:val="000E09E5"/>
    <w:rsid w:val="000E11F5"/>
    <w:rsid w:val="000F47B8"/>
    <w:rsid w:val="00100796"/>
    <w:rsid w:val="0010263E"/>
    <w:rsid w:val="001112D4"/>
    <w:rsid w:val="00111808"/>
    <w:rsid w:val="00113788"/>
    <w:rsid w:val="001254AC"/>
    <w:rsid w:val="00127261"/>
    <w:rsid w:val="00131298"/>
    <w:rsid w:val="001374F8"/>
    <w:rsid w:val="001378FB"/>
    <w:rsid w:val="001404B9"/>
    <w:rsid w:val="00144E33"/>
    <w:rsid w:val="00145DAB"/>
    <w:rsid w:val="00154F79"/>
    <w:rsid w:val="00164749"/>
    <w:rsid w:val="00170F38"/>
    <w:rsid w:val="001752B3"/>
    <w:rsid w:val="00180A36"/>
    <w:rsid w:val="00197DD0"/>
    <w:rsid w:val="001A00FC"/>
    <w:rsid w:val="001A12D9"/>
    <w:rsid w:val="001A6976"/>
    <w:rsid w:val="001A736C"/>
    <w:rsid w:val="001B0526"/>
    <w:rsid w:val="001B06E3"/>
    <w:rsid w:val="001B61F9"/>
    <w:rsid w:val="001B7266"/>
    <w:rsid w:val="001C7CF4"/>
    <w:rsid w:val="001D3C0D"/>
    <w:rsid w:val="001D688A"/>
    <w:rsid w:val="001D71B6"/>
    <w:rsid w:val="001E56C2"/>
    <w:rsid w:val="001E6BE5"/>
    <w:rsid w:val="001F1723"/>
    <w:rsid w:val="001F5D77"/>
    <w:rsid w:val="00205498"/>
    <w:rsid w:val="00216001"/>
    <w:rsid w:val="002178CD"/>
    <w:rsid w:val="00217CF4"/>
    <w:rsid w:val="00224BAC"/>
    <w:rsid w:val="002274E0"/>
    <w:rsid w:val="00231B36"/>
    <w:rsid w:val="002376C3"/>
    <w:rsid w:val="002403CB"/>
    <w:rsid w:val="00246803"/>
    <w:rsid w:val="00253A18"/>
    <w:rsid w:val="002549AB"/>
    <w:rsid w:val="00255EAB"/>
    <w:rsid w:val="00265A95"/>
    <w:rsid w:val="00266038"/>
    <w:rsid w:val="00274A76"/>
    <w:rsid w:val="0027693D"/>
    <w:rsid w:val="00280595"/>
    <w:rsid w:val="00294772"/>
    <w:rsid w:val="002A23C0"/>
    <w:rsid w:val="002A3B60"/>
    <w:rsid w:val="002A4570"/>
    <w:rsid w:val="002A79DF"/>
    <w:rsid w:val="002B1457"/>
    <w:rsid w:val="002B474D"/>
    <w:rsid w:val="002B4A22"/>
    <w:rsid w:val="002B6534"/>
    <w:rsid w:val="002C5B47"/>
    <w:rsid w:val="002D4812"/>
    <w:rsid w:val="002F1BD6"/>
    <w:rsid w:val="00306C90"/>
    <w:rsid w:val="00310E4C"/>
    <w:rsid w:val="0032163C"/>
    <w:rsid w:val="00323F9A"/>
    <w:rsid w:val="00337A4F"/>
    <w:rsid w:val="00342CC5"/>
    <w:rsid w:val="00347C29"/>
    <w:rsid w:val="00356E13"/>
    <w:rsid w:val="003619DF"/>
    <w:rsid w:val="00362435"/>
    <w:rsid w:val="003673B3"/>
    <w:rsid w:val="003729AD"/>
    <w:rsid w:val="0037513F"/>
    <w:rsid w:val="00381726"/>
    <w:rsid w:val="00381B12"/>
    <w:rsid w:val="00382E99"/>
    <w:rsid w:val="00391C92"/>
    <w:rsid w:val="00397C26"/>
    <w:rsid w:val="003A0267"/>
    <w:rsid w:val="003B7BB3"/>
    <w:rsid w:val="003D02CB"/>
    <w:rsid w:val="003D112D"/>
    <w:rsid w:val="003D14C9"/>
    <w:rsid w:val="003D262D"/>
    <w:rsid w:val="003D2DB7"/>
    <w:rsid w:val="003D4AD6"/>
    <w:rsid w:val="003E0B3A"/>
    <w:rsid w:val="003E4BD4"/>
    <w:rsid w:val="003F1640"/>
    <w:rsid w:val="003F2715"/>
    <w:rsid w:val="003F3EFB"/>
    <w:rsid w:val="003F576A"/>
    <w:rsid w:val="00407367"/>
    <w:rsid w:val="00410FE1"/>
    <w:rsid w:val="00413643"/>
    <w:rsid w:val="00417193"/>
    <w:rsid w:val="0041788A"/>
    <w:rsid w:val="004268C1"/>
    <w:rsid w:val="00444147"/>
    <w:rsid w:val="004530E2"/>
    <w:rsid w:val="0046517C"/>
    <w:rsid w:val="00466ADA"/>
    <w:rsid w:val="0047124C"/>
    <w:rsid w:val="0047631B"/>
    <w:rsid w:val="0048166C"/>
    <w:rsid w:val="00484A40"/>
    <w:rsid w:val="00485964"/>
    <w:rsid w:val="00487297"/>
    <w:rsid w:val="004876EE"/>
    <w:rsid w:val="00495290"/>
    <w:rsid w:val="004B2C85"/>
    <w:rsid w:val="004B6513"/>
    <w:rsid w:val="004B6BA2"/>
    <w:rsid w:val="004C2800"/>
    <w:rsid w:val="004C6A21"/>
    <w:rsid w:val="004E213D"/>
    <w:rsid w:val="004F0513"/>
    <w:rsid w:val="004F171B"/>
    <w:rsid w:val="00502258"/>
    <w:rsid w:val="00503E64"/>
    <w:rsid w:val="005069B3"/>
    <w:rsid w:val="00513FFF"/>
    <w:rsid w:val="00516C77"/>
    <w:rsid w:val="00517569"/>
    <w:rsid w:val="005219A0"/>
    <w:rsid w:val="00522299"/>
    <w:rsid w:val="0052596F"/>
    <w:rsid w:val="005329E8"/>
    <w:rsid w:val="005577CB"/>
    <w:rsid w:val="005715CD"/>
    <w:rsid w:val="005730C9"/>
    <w:rsid w:val="005812B4"/>
    <w:rsid w:val="00590F2E"/>
    <w:rsid w:val="00593D9B"/>
    <w:rsid w:val="005A4E81"/>
    <w:rsid w:val="005B2E18"/>
    <w:rsid w:val="005C02C7"/>
    <w:rsid w:val="005C3ADA"/>
    <w:rsid w:val="005D081F"/>
    <w:rsid w:val="005D23F5"/>
    <w:rsid w:val="005D3955"/>
    <w:rsid w:val="005D494E"/>
    <w:rsid w:val="005E7753"/>
    <w:rsid w:val="005F499D"/>
    <w:rsid w:val="005F6B49"/>
    <w:rsid w:val="005F723D"/>
    <w:rsid w:val="00626BBA"/>
    <w:rsid w:val="00630268"/>
    <w:rsid w:val="00630626"/>
    <w:rsid w:val="00635E10"/>
    <w:rsid w:val="00651F88"/>
    <w:rsid w:val="00654DFD"/>
    <w:rsid w:val="00654EB2"/>
    <w:rsid w:val="00660C0E"/>
    <w:rsid w:val="0067489B"/>
    <w:rsid w:val="00675DDE"/>
    <w:rsid w:val="00683245"/>
    <w:rsid w:val="00683BD3"/>
    <w:rsid w:val="00684FEF"/>
    <w:rsid w:val="006967D2"/>
    <w:rsid w:val="006A00E2"/>
    <w:rsid w:val="006A7B5D"/>
    <w:rsid w:val="006C0F70"/>
    <w:rsid w:val="006C220E"/>
    <w:rsid w:val="006C254E"/>
    <w:rsid w:val="006D748D"/>
    <w:rsid w:val="006F3506"/>
    <w:rsid w:val="006F4F6A"/>
    <w:rsid w:val="00705572"/>
    <w:rsid w:val="007165EA"/>
    <w:rsid w:val="007241FD"/>
    <w:rsid w:val="007246A5"/>
    <w:rsid w:val="00744C02"/>
    <w:rsid w:val="007556AB"/>
    <w:rsid w:val="00756510"/>
    <w:rsid w:val="00761F75"/>
    <w:rsid w:val="00763EBA"/>
    <w:rsid w:val="00770D83"/>
    <w:rsid w:val="007719E6"/>
    <w:rsid w:val="00772338"/>
    <w:rsid w:val="007757E2"/>
    <w:rsid w:val="00777EF6"/>
    <w:rsid w:val="007813BB"/>
    <w:rsid w:val="00781A24"/>
    <w:rsid w:val="00781C1E"/>
    <w:rsid w:val="00790579"/>
    <w:rsid w:val="007A063D"/>
    <w:rsid w:val="007A52A2"/>
    <w:rsid w:val="007A7452"/>
    <w:rsid w:val="007B7D23"/>
    <w:rsid w:val="007D07A0"/>
    <w:rsid w:val="007D4A3A"/>
    <w:rsid w:val="007E0A29"/>
    <w:rsid w:val="007F259D"/>
    <w:rsid w:val="007F2908"/>
    <w:rsid w:val="00804149"/>
    <w:rsid w:val="00805D00"/>
    <w:rsid w:val="00805E91"/>
    <w:rsid w:val="00813EE7"/>
    <w:rsid w:val="00827471"/>
    <w:rsid w:val="00834559"/>
    <w:rsid w:val="00845B75"/>
    <w:rsid w:val="00853EC9"/>
    <w:rsid w:val="00864D5C"/>
    <w:rsid w:val="00867065"/>
    <w:rsid w:val="00886B92"/>
    <w:rsid w:val="00891261"/>
    <w:rsid w:val="008979F3"/>
    <w:rsid w:val="008B030B"/>
    <w:rsid w:val="008B46AA"/>
    <w:rsid w:val="008C4552"/>
    <w:rsid w:val="008D37E5"/>
    <w:rsid w:val="008D3AF1"/>
    <w:rsid w:val="008E2798"/>
    <w:rsid w:val="008E2C91"/>
    <w:rsid w:val="008E46F2"/>
    <w:rsid w:val="008F002D"/>
    <w:rsid w:val="008F242F"/>
    <w:rsid w:val="008F7BE3"/>
    <w:rsid w:val="008F7DAE"/>
    <w:rsid w:val="008F7F90"/>
    <w:rsid w:val="00907488"/>
    <w:rsid w:val="00911130"/>
    <w:rsid w:val="00925DD2"/>
    <w:rsid w:val="0093503F"/>
    <w:rsid w:val="00936BD1"/>
    <w:rsid w:val="00950F10"/>
    <w:rsid w:val="00957B24"/>
    <w:rsid w:val="00962305"/>
    <w:rsid w:val="00962673"/>
    <w:rsid w:val="00962AF1"/>
    <w:rsid w:val="009772A3"/>
    <w:rsid w:val="00981548"/>
    <w:rsid w:val="00994A16"/>
    <w:rsid w:val="009A1FAD"/>
    <w:rsid w:val="009A2012"/>
    <w:rsid w:val="009B3B8E"/>
    <w:rsid w:val="009B611A"/>
    <w:rsid w:val="009B7CD0"/>
    <w:rsid w:val="009D1C86"/>
    <w:rsid w:val="009D33C5"/>
    <w:rsid w:val="009D744C"/>
    <w:rsid w:val="009E3452"/>
    <w:rsid w:val="009E7E83"/>
    <w:rsid w:val="00A05839"/>
    <w:rsid w:val="00A07A8B"/>
    <w:rsid w:val="00A11636"/>
    <w:rsid w:val="00A24095"/>
    <w:rsid w:val="00A24D75"/>
    <w:rsid w:val="00A31CB2"/>
    <w:rsid w:val="00A31D6D"/>
    <w:rsid w:val="00A363BE"/>
    <w:rsid w:val="00A3759A"/>
    <w:rsid w:val="00A45157"/>
    <w:rsid w:val="00A5238D"/>
    <w:rsid w:val="00A55B95"/>
    <w:rsid w:val="00A6524A"/>
    <w:rsid w:val="00A70E55"/>
    <w:rsid w:val="00A713D6"/>
    <w:rsid w:val="00A84CFA"/>
    <w:rsid w:val="00A85566"/>
    <w:rsid w:val="00A85D4A"/>
    <w:rsid w:val="00A9023D"/>
    <w:rsid w:val="00A96A1B"/>
    <w:rsid w:val="00A974B7"/>
    <w:rsid w:val="00AA0712"/>
    <w:rsid w:val="00AA1B5A"/>
    <w:rsid w:val="00AA1D35"/>
    <w:rsid w:val="00AA4DE2"/>
    <w:rsid w:val="00AB06D2"/>
    <w:rsid w:val="00AB10DF"/>
    <w:rsid w:val="00AB1A18"/>
    <w:rsid w:val="00AB7491"/>
    <w:rsid w:val="00AC487F"/>
    <w:rsid w:val="00AC7E89"/>
    <w:rsid w:val="00AD796F"/>
    <w:rsid w:val="00AF1643"/>
    <w:rsid w:val="00AF2042"/>
    <w:rsid w:val="00AF2762"/>
    <w:rsid w:val="00AF2C51"/>
    <w:rsid w:val="00AF4290"/>
    <w:rsid w:val="00B07753"/>
    <w:rsid w:val="00B07D78"/>
    <w:rsid w:val="00B15BF7"/>
    <w:rsid w:val="00B3133D"/>
    <w:rsid w:val="00B418DB"/>
    <w:rsid w:val="00B45932"/>
    <w:rsid w:val="00B61A1A"/>
    <w:rsid w:val="00B65EBD"/>
    <w:rsid w:val="00B66157"/>
    <w:rsid w:val="00B67F5A"/>
    <w:rsid w:val="00B70E83"/>
    <w:rsid w:val="00B7686B"/>
    <w:rsid w:val="00B85F2F"/>
    <w:rsid w:val="00B97FE4"/>
    <w:rsid w:val="00BA29C1"/>
    <w:rsid w:val="00BA3C92"/>
    <w:rsid w:val="00BB28C7"/>
    <w:rsid w:val="00BB3E86"/>
    <w:rsid w:val="00BC055D"/>
    <w:rsid w:val="00BC07EB"/>
    <w:rsid w:val="00BD110A"/>
    <w:rsid w:val="00BD3004"/>
    <w:rsid w:val="00BD4967"/>
    <w:rsid w:val="00BE18F2"/>
    <w:rsid w:val="00C321DB"/>
    <w:rsid w:val="00C3511C"/>
    <w:rsid w:val="00C37AB2"/>
    <w:rsid w:val="00C4681B"/>
    <w:rsid w:val="00C6015B"/>
    <w:rsid w:val="00C61DE6"/>
    <w:rsid w:val="00C658C1"/>
    <w:rsid w:val="00C82FC2"/>
    <w:rsid w:val="00C83018"/>
    <w:rsid w:val="00C8797E"/>
    <w:rsid w:val="00CA03BE"/>
    <w:rsid w:val="00CC4438"/>
    <w:rsid w:val="00CC57DD"/>
    <w:rsid w:val="00CC6949"/>
    <w:rsid w:val="00CD7E2A"/>
    <w:rsid w:val="00CE3E84"/>
    <w:rsid w:val="00CF4498"/>
    <w:rsid w:val="00D0015D"/>
    <w:rsid w:val="00D02155"/>
    <w:rsid w:val="00D03BA3"/>
    <w:rsid w:val="00D07435"/>
    <w:rsid w:val="00D14FE7"/>
    <w:rsid w:val="00D15178"/>
    <w:rsid w:val="00D17B01"/>
    <w:rsid w:val="00D23EFF"/>
    <w:rsid w:val="00D42D97"/>
    <w:rsid w:val="00D43218"/>
    <w:rsid w:val="00D4564C"/>
    <w:rsid w:val="00D64AD7"/>
    <w:rsid w:val="00D7462C"/>
    <w:rsid w:val="00D74F44"/>
    <w:rsid w:val="00D808DC"/>
    <w:rsid w:val="00D81059"/>
    <w:rsid w:val="00D859D1"/>
    <w:rsid w:val="00D932B9"/>
    <w:rsid w:val="00D95964"/>
    <w:rsid w:val="00DB1D16"/>
    <w:rsid w:val="00DB5DAD"/>
    <w:rsid w:val="00DB6F35"/>
    <w:rsid w:val="00DB7F02"/>
    <w:rsid w:val="00DC5DD9"/>
    <w:rsid w:val="00DD2684"/>
    <w:rsid w:val="00DD28F9"/>
    <w:rsid w:val="00DD52C1"/>
    <w:rsid w:val="00DD6118"/>
    <w:rsid w:val="00DD7920"/>
    <w:rsid w:val="00DF23B7"/>
    <w:rsid w:val="00DF42C3"/>
    <w:rsid w:val="00E04303"/>
    <w:rsid w:val="00E07658"/>
    <w:rsid w:val="00E153DB"/>
    <w:rsid w:val="00E324AE"/>
    <w:rsid w:val="00E35590"/>
    <w:rsid w:val="00E42BAC"/>
    <w:rsid w:val="00E50483"/>
    <w:rsid w:val="00E5359B"/>
    <w:rsid w:val="00E61C24"/>
    <w:rsid w:val="00E632CD"/>
    <w:rsid w:val="00E66278"/>
    <w:rsid w:val="00E720B2"/>
    <w:rsid w:val="00E72B0C"/>
    <w:rsid w:val="00E76289"/>
    <w:rsid w:val="00E76915"/>
    <w:rsid w:val="00E80703"/>
    <w:rsid w:val="00E8791D"/>
    <w:rsid w:val="00EA00C5"/>
    <w:rsid w:val="00EA20AE"/>
    <w:rsid w:val="00EB539C"/>
    <w:rsid w:val="00EC263C"/>
    <w:rsid w:val="00EC6DAB"/>
    <w:rsid w:val="00EC7829"/>
    <w:rsid w:val="00ED386A"/>
    <w:rsid w:val="00ED44E6"/>
    <w:rsid w:val="00ED5081"/>
    <w:rsid w:val="00ED7B04"/>
    <w:rsid w:val="00EF4E59"/>
    <w:rsid w:val="00EF7DB4"/>
    <w:rsid w:val="00F0087C"/>
    <w:rsid w:val="00F27744"/>
    <w:rsid w:val="00F3357A"/>
    <w:rsid w:val="00F45B40"/>
    <w:rsid w:val="00F51DC4"/>
    <w:rsid w:val="00F5295C"/>
    <w:rsid w:val="00F5337C"/>
    <w:rsid w:val="00F55913"/>
    <w:rsid w:val="00F57CB0"/>
    <w:rsid w:val="00F750D8"/>
    <w:rsid w:val="00F7733E"/>
    <w:rsid w:val="00F809FA"/>
    <w:rsid w:val="00FA0AD6"/>
    <w:rsid w:val="00FA5C31"/>
    <w:rsid w:val="00FA6024"/>
    <w:rsid w:val="00FB0CE8"/>
    <w:rsid w:val="00FD610E"/>
    <w:rsid w:val="00FE35D0"/>
    <w:rsid w:val="00FE4559"/>
    <w:rsid w:val="00FE5310"/>
    <w:rsid w:val="00FF7472"/>
    <w:rsid w:val="030C3556"/>
    <w:rsid w:val="053C05AB"/>
    <w:rsid w:val="058F46DD"/>
    <w:rsid w:val="0612189E"/>
    <w:rsid w:val="071E0AA1"/>
    <w:rsid w:val="086724C7"/>
    <w:rsid w:val="09490DC9"/>
    <w:rsid w:val="0C956345"/>
    <w:rsid w:val="0D677B67"/>
    <w:rsid w:val="0D7146FA"/>
    <w:rsid w:val="0E007D5A"/>
    <w:rsid w:val="0ED334BE"/>
    <w:rsid w:val="0F5B4403"/>
    <w:rsid w:val="1E594203"/>
    <w:rsid w:val="222917E5"/>
    <w:rsid w:val="223404B3"/>
    <w:rsid w:val="25E21304"/>
    <w:rsid w:val="2AC944BF"/>
    <w:rsid w:val="358160C2"/>
    <w:rsid w:val="3A7E7074"/>
    <w:rsid w:val="3CBF0DF6"/>
    <w:rsid w:val="3CE62CF6"/>
    <w:rsid w:val="3D6D5891"/>
    <w:rsid w:val="413E57AF"/>
    <w:rsid w:val="41AF7A35"/>
    <w:rsid w:val="42125B3E"/>
    <w:rsid w:val="459659E2"/>
    <w:rsid w:val="49997478"/>
    <w:rsid w:val="499E503D"/>
    <w:rsid w:val="4A7E09CA"/>
    <w:rsid w:val="4A811448"/>
    <w:rsid w:val="4C035708"/>
    <w:rsid w:val="52C8137C"/>
    <w:rsid w:val="5B3C2E4F"/>
    <w:rsid w:val="5C5C2FCC"/>
    <w:rsid w:val="5F684629"/>
    <w:rsid w:val="61F61B85"/>
    <w:rsid w:val="626E7A15"/>
    <w:rsid w:val="640026DC"/>
    <w:rsid w:val="655820EC"/>
    <w:rsid w:val="6A072332"/>
    <w:rsid w:val="6CD75FEC"/>
    <w:rsid w:val="6F2319BD"/>
    <w:rsid w:val="74C31056"/>
    <w:rsid w:val="74DB0643"/>
    <w:rsid w:val="75276C2E"/>
    <w:rsid w:val="775546DD"/>
    <w:rsid w:val="7783118C"/>
    <w:rsid w:val="7CC56681"/>
    <w:rsid w:val="7DF42988"/>
    <w:rsid w:val="7F3D4B22"/>
    <w:rsid w:val="7FDD39B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7"/>
    <w:autoRedefine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3">
    <w:name w:val="annotation text"/>
    <w:basedOn w:val="1"/>
    <w:link w:val="20"/>
    <w:autoRedefine/>
    <w:semiHidden/>
    <w:unhideWhenUsed/>
    <w:qFormat/>
    <w:uiPriority w:val="0"/>
    <w:pPr>
      <w:jc w:val="left"/>
    </w:pPr>
  </w:style>
  <w:style w:type="paragraph" w:styleId="4">
    <w:name w:val="Date"/>
    <w:basedOn w:val="1"/>
    <w:next w:val="1"/>
    <w:link w:val="26"/>
    <w:autoRedefine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22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21"/>
    <w:autoRedefine/>
    <w:semiHidden/>
    <w:unhideWhenUsed/>
    <w:qFormat/>
    <w:uiPriority w:val="99"/>
    <w:rPr>
      <w:b/>
      <w:bCs/>
    </w:rPr>
  </w:style>
  <w:style w:type="table" w:styleId="10">
    <w:name w:val="Table Grid"/>
    <w:basedOn w:val="9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Emphasis"/>
    <w:basedOn w:val="11"/>
    <w:autoRedefine/>
    <w:qFormat/>
    <w:uiPriority w:val="20"/>
    <w:rPr>
      <w:i/>
      <w:iCs/>
    </w:rPr>
  </w:style>
  <w:style w:type="character" w:styleId="13">
    <w:name w:val="annotation reference"/>
    <w:basedOn w:val="11"/>
    <w:autoRedefine/>
    <w:semiHidden/>
    <w:unhideWhenUsed/>
    <w:qFormat/>
    <w:uiPriority w:val="0"/>
    <w:rPr>
      <w:sz w:val="21"/>
      <w:szCs w:val="21"/>
    </w:rPr>
  </w:style>
  <w:style w:type="paragraph" w:styleId="14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15">
    <w:name w:val="（一）"/>
    <w:autoRedefine/>
    <w:qFormat/>
    <w:uiPriority w:val="0"/>
    <w:pPr>
      <w:adjustRightInd w:val="0"/>
      <w:snapToGrid w:val="0"/>
      <w:spacing w:beforeLines="50" w:after="240" w:line="360" w:lineRule="auto"/>
      <w:ind w:firstLine="482"/>
      <w:outlineLvl w:val="2"/>
    </w:pPr>
    <w:rPr>
      <w:rFonts w:ascii="宋体" w:hAnsi="宋体" w:eastAsia="宋体" w:cs="Times New Roman"/>
      <w:b/>
      <w:bCs/>
      <w:kern w:val="2"/>
      <w:sz w:val="24"/>
      <w:szCs w:val="24"/>
      <w:lang w:val="en-US" w:eastAsia="zh-CN" w:bidi="ar-SA"/>
    </w:rPr>
  </w:style>
  <w:style w:type="paragraph" w:customStyle="1" w:styleId="16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sz w:val="24"/>
      <w:szCs w:val="24"/>
      <w:lang w:val="en-US" w:eastAsia="zh-CN" w:bidi="ar-SA"/>
    </w:rPr>
  </w:style>
  <w:style w:type="character" w:customStyle="1" w:styleId="17">
    <w:name w:val="文档结构图 字符"/>
    <w:basedOn w:val="11"/>
    <w:link w:val="2"/>
    <w:autoRedefine/>
    <w:semiHidden/>
    <w:qFormat/>
    <w:uiPriority w:val="99"/>
    <w:rPr>
      <w:rFonts w:ascii="宋体" w:eastAsia="宋体"/>
      <w:sz w:val="18"/>
      <w:szCs w:val="18"/>
    </w:rPr>
  </w:style>
  <w:style w:type="character" w:customStyle="1" w:styleId="18">
    <w:name w:val="页眉 字符"/>
    <w:basedOn w:val="11"/>
    <w:link w:val="7"/>
    <w:autoRedefine/>
    <w:qFormat/>
    <w:uiPriority w:val="99"/>
    <w:rPr>
      <w:sz w:val="18"/>
      <w:szCs w:val="18"/>
    </w:rPr>
  </w:style>
  <w:style w:type="character" w:customStyle="1" w:styleId="19">
    <w:name w:val="页脚 字符"/>
    <w:basedOn w:val="11"/>
    <w:link w:val="6"/>
    <w:autoRedefine/>
    <w:qFormat/>
    <w:uiPriority w:val="99"/>
    <w:rPr>
      <w:sz w:val="18"/>
      <w:szCs w:val="18"/>
    </w:rPr>
  </w:style>
  <w:style w:type="character" w:customStyle="1" w:styleId="20">
    <w:name w:val="批注文字 字符"/>
    <w:basedOn w:val="11"/>
    <w:link w:val="3"/>
    <w:autoRedefine/>
    <w:semiHidden/>
    <w:qFormat/>
    <w:uiPriority w:val="99"/>
  </w:style>
  <w:style w:type="character" w:customStyle="1" w:styleId="21">
    <w:name w:val="批注主题 字符"/>
    <w:basedOn w:val="20"/>
    <w:link w:val="8"/>
    <w:autoRedefine/>
    <w:semiHidden/>
    <w:qFormat/>
    <w:uiPriority w:val="99"/>
    <w:rPr>
      <w:b/>
      <w:bCs/>
    </w:rPr>
  </w:style>
  <w:style w:type="character" w:customStyle="1" w:styleId="22">
    <w:name w:val="批注框文本 字符"/>
    <w:basedOn w:val="11"/>
    <w:link w:val="5"/>
    <w:autoRedefine/>
    <w:semiHidden/>
    <w:qFormat/>
    <w:uiPriority w:val="99"/>
    <w:rPr>
      <w:sz w:val="18"/>
      <w:szCs w:val="18"/>
    </w:rPr>
  </w:style>
  <w:style w:type="paragraph" w:customStyle="1" w:styleId="23">
    <w:name w:val="修订1"/>
    <w:autoRedefine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4">
    <w:name w:val="da"/>
    <w:basedOn w:val="11"/>
    <w:autoRedefine/>
    <w:qFormat/>
    <w:uiPriority w:val="0"/>
  </w:style>
  <w:style w:type="paragraph" w:customStyle="1" w:styleId="25">
    <w:name w:val="_Style 22"/>
    <w:basedOn w:val="1"/>
    <w:next w:val="14"/>
    <w:autoRedefine/>
    <w:qFormat/>
    <w:uiPriority w:val="34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character" w:customStyle="1" w:styleId="26">
    <w:name w:val="日期 字符"/>
    <w:basedOn w:val="11"/>
    <w:link w:val="4"/>
    <w:autoRedefine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paragraph" w:customStyle="1" w:styleId="27">
    <w:name w:val="修订2"/>
    <w:autoRedefine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ontractReview xmlns="http://schemas.wps.cn/vas-ai-hub/contract-review">
  <reviewItems>
    <reviewItem>
      <errorID>e6ee612c-ad4b-4404-80a6-c1dca4d77a0c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7ACD443B</paraID>
      <start>0</start>
      <end>2</end>
      <status>unmodified</status>
      <modifiedWord/>
      <trackRevisions>false</trackRevisions>
    </reviewItem>
    <reviewItem>
      <errorID>945c6f39-3ba2-41e9-bf51-89870aa48d6a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1CFA0CE2</paraID>
      <start>0</start>
      <end>2</end>
      <status>unmodified</status>
      <modifiedWord/>
      <trackRevisions>false</trackRevisions>
    </reviewItem>
    <reviewItem>
      <errorID>3e616b65-e67c-4160-8c39-007aa4ed1f93</errorID>
      <errorWord>下午13:30</errorWord>
      <group>L1_Knowledge</group>
      <groupName>知识性问题</groupName>
      <ability>L2_Time</ability>
      <abilityName>日期时间</abilityName>
      <candidateList>
        <item>13:30</item>
      </candidateList>
      <explain>24小时制的时间，不需要强调“下午”。</explain>
      <paraID>7973BFE8</paraID>
      <start>15</start>
      <end>22</end>
      <status>unmodified</status>
      <modifiedWord/>
      <trackRevisions>false</trackRevisions>
    </reviewItem>
    <reviewItem>
      <errorID>2cdbc019-2919-4f70-b0d5-e63a1324209d</errorID>
      <errorWord>科技进步二等奖</errorWord>
      <group>L1_Political</group>
      <groupName>政治性问题</groupName>
      <ability>L2_Unpolitical</ability>
      <abilityName>政治敏感错误</abilityName>
      <candidateList>
        <item>科技进步奖二等奖</item>
      </candidateList>
      <explain/>
      <paraID> 543602D</paraID>
      <start>130</start>
      <end>137</end>
      <status>unmodified</status>
      <modifiedWord/>
      <trackRevisions>false</trackRevisions>
    </reviewItem>
    <reviewItem>
      <errorID>8700f9d7-b368-4e5d-8e7c-c936c8015c7d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96574D8</paraID>
      <start>0</start>
      <end>2</end>
      <status>unmodified</status>
      <modifiedWord/>
      <trackRevisions>false</trackRevisions>
    </reviewItem>
    <reviewItem>
      <errorID>eac42f39-0e31-4900-9ceb-9e23fe3fd06f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 BEFB12</paraID>
      <start>0</start>
      <end>2</end>
      <status>unmodified</status>
      <modifiedWord/>
      <trackRevisions>false</trackRevisions>
    </reviewItem>
    <reviewItem>
      <errorID>ec25f185-e847-4ab3-a951-658b69bc9668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635E8D78</paraID>
      <start>0</start>
      <end>2</end>
      <status>unmodified</status>
      <modifiedWord/>
      <trackRevisions>false</trackRevisions>
    </reviewItem>
    <reviewItem>
      <errorID>55c4d4bc-7f7a-450f-be75-b848ee95bb76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79BA1795</paraID>
      <start>0</start>
      <end>2</end>
      <status>unmodified</status>
      <modifiedWord/>
      <trackRevisions>false</trackRevisions>
    </reviewItem>
    <reviewItem>
      <errorID>a2d9f999-f0e5-4510-8de1-49bc5a9761be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5D6E255F</paraID>
      <start>0</start>
      <end>2</end>
      <status>unmodified</status>
      <modifiedWord/>
      <trackRevisions>false</trackRevisions>
    </reviewItem>
    <reviewItem>
      <errorID>0a695b4d-5beb-405f-9815-f17f7e66b7da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74C54759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5E3A0E3-CA64-4ED2-934A-337473DB7B39}">
  <ds:schemaRefs/>
</ds:datastoreItem>
</file>

<file path=customXml/itemProps2.xml><?xml version="1.0" encoding="utf-8"?>
<ds:datastoreItem xmlns:ds="http://schemas.openxmlformats.org/officeDocument/2006/customXml" ds:itemID="{8d223ece-6f4d-40b0-b7ac-043bedf445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3</Pages>
  <Words>1558</Words>
  <Characters>1684</Characters>
  <Lines>12</Lines>
  <Paragraphs>3</Paragraphs>
  <TotalTime>95</TotalTime>
  <ScaleCrop>false</ScaleCrop>
  <LinksUpToDate>false</LinksUpToDate>
  <CharactersWithSpaces>1824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2023-04-25T00:58:00Z</dcterms:created>
  <dc:creator>wujean</dc:creator>
  <cp:lastModifiedBy>★</cp:lastModifiedBy>
  <cp:lastPrinted>2019-03-18T03:43:00Z</cp:lastPrinted>
  <dcterms:modified xsi:type="dcterms:W3CDTF">2026-09-24T08:10:13Z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B547464D0B574628AA0A173E1CD732BB_13</vt:lpwstr>
  </property>
  <property fmtid="{D5CDD505-2E9C-101B-9397-08002B2CF9AE}" pid="4" name="KSOTemplateDocerSaveRecord">
    <vt:lpwstr>eyJoZGlkIjoiZWFjMTA5OTM1NTY1YjgxMDM4YjIyMDViY2ZhZTk0MDciLCJ1c2VySWQiOiIyNzE3NjU3NTkifQ==</vt:lpwstr>
  </property>
</Properties>
</file>