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EB0031">
      <w:pPr>
        <w:spacing w:beforeLines="50" w:afterLines="50" w:line="480" w:lineRule="exact"/>
        <w:jc w:val="center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公司简称：绿城水务                                     公司代码：601368</w:t>
      </w:r>
    </w:p>
    <w:p w14:paraId="21704E74">
      <w:pPr>
        <w:spacing w:beforeLines="50" w:afterLines="50" w:line="480" w:lineRule="exact"/>
        <w:jc w:val="center"/>
        <w:rPr>
          <w:rFonts w:asciiTheme="minorEastAsia" w:hAnsiTheme="minorEastAsia"/>
          <w:bCs/>
          <w:sz w:val="24"/>
          <w:szCs w:val="24"/>
        </w:rPr>
      </w:pPr>
    </w:p>
    <w:p w14:paraId="426A2C49">
      <w:pPr>
        <w:spacing w:beforeLines="50" w:afterLines="50" w:line="480" w:lineRule="exact"/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广西绿城水务</w:t>
      </w:r>
      <w:r>
        <w:rPr>
          <w:rFonts w:hint="eastAsia" w:ascii="黑体" w:hAnsi="黑体" w:eastAsia="黑体"/>
          <w:b/>
          <w:bCs/>
          <w:sz w:val="36"/>
          <w:szCs w:val="36"/>
          <w:lang w:val="en-US" w:eastAsia="zh-CN"/>
        </w:rPr>
        <w:t>集团</w:t>
      </w:r>
      <w:r>
        <w:rPr>
          <w:rFonts w:hint="eastAsia" w:ascii="黑体" w:hAnsi="黑体" w:eastAsia="黑体"/>
          <w:b/>
          <w:bCs/>
          <w:sz w:val="36"/>
          <w:szCs w:val="36"/>
        </w:rPr>
        <w:t>股份有限公司投资者关系活动记录表</w:t>
      </w:r>
    </w:p>
    <w:p w14:paraId="3210D0C3">
      <w:pPr>
        <w:spacing w:beforeLines="50" w:afterLines="50" w:line="480" w:lineRule="exact"/>
        <w:jc w:val="right"/>
        <w:rPr>
          <w:rFonts w:hint="default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 w:eastAsia="宋体"/>
          <w:b/>
          <w:bCs/>
          <w:szCs w:val="21"/>
        </w:rPr>
        <w:t>编号：202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6</w:t>
      </w:r>
      <w:r>
        <w:rPr>
          <w:rFonts w:hint="eastAsia" w:ascii="宋体" w:hAnsi="宋体" w:eastAsia="宋体"/>
          <w:b/>
          <w:bCs/>
          <w:szCs w:val="21"/>
        </w:rPr>
        <w:t>-</w:t>
      </w:r>
      <w:r>
        <w:rPr>
          <w:rFonts w:hint="eastAsia" w:ascii="宋体" w:hAnsi="宋体" w:eastAsia="宋体"/>
          <w:b/>
          <w:bCs/>
          <w:szCs w:val="21"/>
          <w:highlight w:val="none"/>
          <w:lang w:val="en-US" w:eastAsia="zh-CN"/>
        </w:rPr>
        <w:t>002</w:t>
      </w:r>
    </w:p>
    <w:tbl>
      <w:tblPr>
        <w:tblStyle w:val="5"/>
        <w:tblW w:w="924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3"/>
        <w:gridCol w:w="7654"/>
      </w:tblGrid>
      <w:tr w14:paraId="2B3504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593" w:type="dxa"/>
            <w:vMerge w:val="restart"/>
            <w:vAlign w:val="center"/>
          </w:tcPr>
          <w:p w14:paraId="6A1DA6A9">
            <w:pPr>
              <w:spacing w:line="400" w:lineRule="exact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投资者关系活动类别</w:t>
            </w:r>
          </w:p>
        </w:tc>
        <w:tc>
          <w:tcPr>
            <w:tcW w:w="7654" w:type="dxa"/>
            <w:vAlign w:val="center"/>
          </w:tcPr>
          <w:p w14:paraId="33A2CF9D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特定对象调研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 □分析师会议       □媒体采访</w:t>
            </w:r>
          </w:p>
        </w:tc>
      </w:tr>
      <w:tr w14:paraId="3AF5D3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3" w:type="dxa"/>
            <w:vMerge w:val="continue"/>
            <w:vAlign w:val="center"/>
          </w:tcPr>
          <w:p w14:paraId="5B86402F">
            <w:pPr>
              <w:spacing w:line="400" w:lineRule="exact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</w:tc>
        <w:tc>
          <w:tcPr>
            <w:tcW w:w="7654" w:type="dxa"/>
            <w:vAlign w:val="center"/>
          </w:tcPr>
          <w:p w14:paraId="665460A3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业绩说明会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□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新闻发布会       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□</w:t>
            </w:r>
            <w:r>
              <w:rPr>
                <w:rFonts w:ascii="宋体" w:hAnsi="宋体" w:eastAsia="宋体"/>
                <w:sz w:val="24"/>
                <w:szCs w:val="24"/>
              </w:rPr>
              <w:t>路演活动</w:t>
            </w:r>
          </w:p>
        </w:tc>
      </w:tr>
      <w:tr w14:paraId="108412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3" w:type="dxa"/>
            <w:vMerge w:val="continue"/>
            <w:vAlign w:val="center"/>
          </w:tcPr>
          <w:p w14:paraId="577923CC">
            <w:pPr>
              <w:spacing w:line="400" w:lineRule="exact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</w:tc>
        <w:tc>
          <w:tcPr>
            <w:tcW w:w="7654" w:type="dxa"/>
            <w:vAlign w:val="center"/>
          </w:tcPr>
          <w:p w14:paraId="5806EEE1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现场参观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     □其他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ascii="宋体" w:hAnsi="宋体" w:eastAsia="宋体"/>
                <w:sz w:val="24"/>
                <w:szCs w:val="24"/>
              </w:rPr>
              <w:t>（请文字说明其他活动内容）</w:t>
            </w:r>
          </w:p>
        </w:tc>
      </w:tr>
      <w:tr w14:paraId="2ECE41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593" w:type="dxa"/>
            <w:vAlign w:val="center"/>
          </w:tcPr>
          <w:p w14:paraId="42FAFBA9">
            <w:pPr>
              <w:spacing w:line="400" w:lineRule="exact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参与单位及人员</w:t>
            </w:r>
          </w:p>
        </w:tc>
        <w:tc>
          <w:tcPr>
            <w:tcW w:w="7654" w:type="dxa"/>
            <w:vAlign w:val="center"/>
          </w:tcPr>
          <w:p w14:paraId="7C3317CD">
            <w:pPr>
              <w:spacing w:line="4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线上参与公司202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半年度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业绩说明会的投资者</w:t>
            </w:r>
          </w:p>
        </w:tc>
      </w:tr>
      <w:tr w14:paraId="7D3FB4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3" w:type="dxa"/>
            <w:vAlign w:val="center"/>
          </w:tcPr>
          <w:p w14:paraId="1731E989"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7654" w:type="dxa"/>
            <w:vAlign w:val="center"/>
          </w:tcPr>
          <w:p w14:paraId="44982879">
            <w:pPr>
              <w:spacing w:line="360" w:lineRule="auto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065F2C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3" w:type="dxa"/>
            <w:vAlign w:val="center"/>
          </w:tcPr>
          <w:p w14:paraId="13F7C93C">
            <w:pPr>
              <w:spacing w:line="360" w:lineRule="auto"/>
              <w:jc w:val="center"/>
              <w:rPr>
                <w:rFonts w:hint="default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7654" w:type="dxa"/>
            <w:vAlign w:val="center"/>
          </w:tcPr>
          <w:p w14:paraId="50BCB639">
            <w:pPr>
              <w:spacing w:line="360" w:lineRule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上证路演中心 https://roadshow.sseinfo.com </w:t>
            </w:r>
          </w:p>
        </w:tc>
      </w:tr>
      <w:tr w14:paraId="19318C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1593" w:type="dxa"/>
            <w:vAlign w:val="center"/>
          </w:tcPr>
          <w:p w14:paraId="7687F9E2">
            <w:pPr>
              <w:spacing w:line="400" w:lineRule="exact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上市公司接待人员</w:t>
            </w:r>
          </w:p>
        </w:tc>
        <w:tc>
          <w:tcPr>
            <w:tcW w:w="7654" w:type="dxa"/>
            <w:vAlign w:val="center"/>
          </w:tcPr>
          <w:p w14:paraId="2294B3A1">
            <w:pPr>
              <w:spacing w:line="40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董事（代行董事长职责）：周柏建</w:t>
            </w:r>
          </w:p>
          <w:p w14:paraId="4ECE3567">
            <w:pPr>
              <w:spacing w:line="40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独立董事：曾富全、邓炜辉</w:t>
            </w:r>
          </w:p>
          <w:p w14:paraId="1F88BD57">
            <w:pPr>
              <w:spacing w:line="40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总会计师：叶桂华</w:t>
            </w:r>
          </w:p>
          <w:p w14:paraId="0AC1DB3E">
            <w:pPr>
              <w:spacing w:line="400" w:lineRule="exact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副总经理、董事会秘书：许雪菁</w:t>
            </w:r>
          </w:p>
        </w:tc>
      </w:tr>
      <w:tr w14:paraId="0C95F2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1593" w:type="dxa"/>
            <w:vAlign w:val="center"/>
          </w:tcPr>
          <w:p w14:paraId="5BB71614">
            <w:pPr>
              <w:spacing w:line="400" w:lineRule="exact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投资者关系活动主要内容介绍</w:t>
            </w:r>
          </w:p>
        </w:tc>
        <w:tc>
          <w:tcPr>
            <w:tcW w:w="7654" w:type="dxa"/>
            <w:vAlign w:val="center"/>
          </w:tcPr>
          <w:p w14:paraId="43355456">
            <w:pPr>
              <w:spacing w:line="400" w:lineRule="exact"/>
              <w:jc w:val="left"/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  <w:t>一、预征集问答</w:t>
            </w:r>
          </w:p>
          <w:p w14:paraId="4CC32527">
            <w:pPr>
              <w:spacing w:line="400" w:lineRule="exact"/>
              <w:jc w:val="left"/>
              <w:rPr>
                <w:rFonts w:hint="default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  <w:t>（一）国家大力开展化解地方债工作，公司污水处理服务费的催收工作进展如何？</w:t>
            </w:r>
          </w:p>
          <w:p w14:paraId="32CB83AF">
            <w:pPr>
              <w:spacing w:line="400" w:lineRule="exact"/>
              <w:jc w:val="left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  <w:t>答：公司高度重视应收账款的管理，多举措持续加大应收账款追收力度。一是组成专班，重点加强与地方政府部门的沟通汇报，争取加快审核和支付进度；二是强化污水处理服务费回收的内部考核机制，将回收情况纳入相关单位和责任人的绩效考核目标，压实追收责任；三是密切关注国家和地方化债政策及进展，积极协助解决应收账款回款事项。</w:t>
            </w:r>
          </w:p>
          <w:p w14:paraId="6F8B1AE7">
            <w:pPr>
              <w:spacing w:line="400" w:lineRule="exact"/>
              <w:jc w:val="left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  <w:t>（二）公司直饮水项目的进展如何？</w:t>
            </w:r>
          </w:p>
          <w:p w14:paraId="3EE6DEEA">
            <w:pPr>
              <w:spacing w:line="400" w:lineRule="exact"/>
              <w:jc w:val="left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  <w:t>答：为进一步落实做强做优做大国有企业的战略部署，提升“十五五”期间的发展质量，公司科学研判行业发展趋势，立足主业，挖掘比较优势，积极探索产业链延伸。目前国内已有不少同行业公司开展了直饮水项目，公司也在持续跟踪相关行业政策、商业模式与行业实践，结合自身资源禀赋进行业务可行性研究。</w:t>
            </w:r>
          </w:p>
          <w:p w14:paraId="45B11419">
            <w:pPr>
              <w:spacing w:line="400" w:lineRule="exact"/>
              <w:jc w:val="left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  <w:p w14:paraId="36CAAF26">
            <w:pPr>
              <w:numPr>
                <w:ilvl w:val="0"/>
                <w:numId w:val="1"/>
              </w:numPr>
              <w:spacing w:line="400" w:lineRule="exact"/>
              <w:jc w:val="left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现场互动交流</w:t>
            </w:r>
          </w:p>
          <w:p w14:paraId="335FFCFF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（一）</w:t>
            </w:r>
            <w: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直饮水等新业务现在进展到哪了？何时能贡献收入？</w:t>
            </w:r>
          </w:p>
          <w:p w14:paraId="178CCAD4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宋体" w:hAnsi="宋体" w:eastAsia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4"/>
                <w:szCs w:val="24"/>
                <w:lang w:val="en-US" w:eastAsia="zh-CN"/>
              </w:rPr>
              <w:t>答：目前国内已有不少同行业公司开展了直饮水项目，公司也在持续跟踪相关行业政策、商业模式与行业实践，结合自身资源禀赋进行业务可行性研究。</w:t>
            </w:r>
          </w:p>
          <w:p w14:paraId="6C0A4D1D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  <w:t>（二）上半年主业实际盈利提升多少？后续不靠一次性收益怎么稳利润？</w:t>
            </w:r>
          </w:p>
          <w:p w14:paraId="0789439B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宋体" w:hAnsi="宋体" w:eastAsia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4"/>
                <w:szCs w:val="24"/>
                <w:lang w:val="en-US" w:eastAsia="zh-CN"/>
              </w:rPr>
              <w:t>答：报告期内，公司实现归属于上市公司股东的净利润5436.47万元，同比增长102.14%。其中汇兑净收益约1800万元，收到超长期特别国债资金计入当期损益862万元。公司主业经营稳健，后续将持续抓好市场营销，不断拓展市场和业务范围，保持主营业务的稳定增长。纵深推进精益管理，采取多种措施降本增效，夯实企业发展的基本盘。此外，依托主业优势积极延伸产业链，努力培育新的经济增长点。</w:t>
            </w:r>
          </w:p>
          <w:p w14:paraId="4FC3452C"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left"/>
              <w:rPr>
                <w:rFonts w:hint="default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（三）公司长期破净，市值管理已经两年一点成效都没有，10年横盘，长期破净，公司有没有更好的办法来解决吗？</w:t>
            </w:r>
          </w:p>
          <w:p w14:paraId="0631CDF6">
            <w:pPr>
              <w:numPr>
                <w:ilvl w:val="0"/>
                <w:numId w:val="0"/>
              </w:numPr>
              <w:spacing w:line="400" w:lineRule="exact"/>
              <w:ind w:leftChars="0"/>
              <w:jc w:val="left"/>
              <w:rPr>
                <w:rFonts w:hint="eastAsia" w:ascii="宋体" w:hAnsi="宋体" w:eastAsia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4"/>
                <w:szCs w:val="24"/>
                <w:lang w:val="en-US" w:eastAsia="zh-CN"/>
              </w:rPr>
              <w:t>答：2026年上半年，公司围绕主业增长、项目建设、降本增效、股东回报、公司治理等方向推进估值提升工作，整体执行有序，公司发展韧性持续增强，上半年经营总体平稳向好，主要经营指标稳步增长。经营层面，持续深耕水务主责主业，有序推进水务基础设施重点项目建设，积极把握城市发展契机拓展业务增量，前置介入高新区产业园等片区规划布局供水管网，努力扩大主业市场范围，并通过优化供水调度、设施更新改造等措施，进一步挖掘存量业务增量。同时，多举措强化产销差综合管控，推进DMA小区建设、分区计量布设、智慧监测平台建设及能耗管控体系健全，深化企业提质增效，并依托科技创新和信息化建设赋能，进一步提升精细化管理水平。公司治理与内控合规层面，稳步开展“十五五”发展规划编制工作，为企业高质量发展筑牢战略支撑。同时，持续深化内控体系建设，着力优化董事履职保障与董事、高管薪酬考核，持续提升公司治理质效。股东回报与投资者关系层面，2026年6月完成了2025年年度利润分配，向全体股东派发现金红利3090.41万元（含税），稳定实施分红回馈。同时，持续做好信息披露管理工作，按时发布各类公告，并聚焦投资者重点关切问题，通过投资者服务热线、上证E互动平台、业绩说明会等加强与资本市场的沟通互动，努力提升投资者关系管理质效。</w:t>
            </w:r>
          </w:p>
          <w:p w14:paraId="619F0F43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（四）请问公司会开展上下游并购工作吗？平陆运河开通会对公司供水及污水处理量会增加吗？</w:t>
            </w:r>
            <w:bookmarkStart w:id="0" w:name="_GoBack"/>
            <w:bookmarkEnd w:id="0"/>
          </w:p>
          <w:p w14:paraId="0167C345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default" w:ascii="宋体" w:hAnsi="宋体" w:eastAsia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4"/>
                <w:szCs w:val="24"/>
                <w:lang w:val="en-US" w:eastAsia="zh-CN"/>
              </w:rPr>
              <w:t>答：</w:t>
            </w:r>
            <w:r>
              <w:rPr>
                <w:rFonts w:hint="default" w:ascii="宋体" w:hAnsi="宋体" w:eastAsia="宋体"/>
                <w:b w:val="0"/>
                <w:bCs w:val="0"/>
                <w:sz w:val="24"/>
                <w:szCs w:val="24"/>
                <w:lang w:val="en-US" w:eastAsia="zh-CN"/>
              </w:rPr>
              <w:t>根据公司发展规划，正在积极探索向产业链上下游延伸布局。2026年，平陆运河建成通航，运河经济带建设加速，将助力南宁形成通江达海、陆海联动的国际综合交通体系。城市建设和产业发展的加快推动了供水、污水处理需求的不断提升，为公司在区域水务市场的开拓和发展带来了积极的影响。</w:t>
            </w:r>
          </w:p>
          <w:p w14:paraId="1100F8BA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（五）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  <w:t>国家大力发展地方债，六网水网排第一，对公司未来发展是否构成长期利好？</w:t>
            </w:r>
          </w:p>
          <w:p w14:paraId="7108EF06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default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4"/>
                <w:szCs w:val="24"/>
                <w:lang w:val="en-US" w:eastAsia="zh-CN"/>
              </w:rPr>
              <w:t>答：</w:t>
            </w:r>
            <w:r>
              <w:rPr>
                <w:rFonts w:hint="default" w:ascii="宋体" w:hAnsi="宋体" w:eastAsia="宋体"/>
                <w:b w:val="0"/>
                <w:bCs w:val="0"/>
                <w:sz w:val="24"/>
                <w:szCs w:val="24"/>
                <w:lang w:val="en-US" w:eastAsia="zh-CN"/>
              </w:rPr>
              <w:t>公司将积极抓住国家政策机遇，稳健经营，做强做优主业。</w:t>
            </w:r>
          </w:p>
        </w:tc>
      </w:tr>
      <w:tr w14:paraId="457C92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1593" w:type="dxa"/>
            <w:vAlign w:val="center"/>
          </w:tcPr>
          <w:p w14:paraId="096E702D">
            <w:pPr>
              <w:spacing w:line="400" w:lineRule="exact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是否涉及应</w:t>
            </w:r>
          </w:p>
          <w:p w14:paraId="38AD271C">
            <w:pPr>
              <w:spacing w:line="400" w:lineRule="exact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当披露重大</w:t>
            </w:r>
          </w:p>
          <w:p w14:paraId="75D5AC19">
            <w:pPr>
              <w:spacing w:line="400" w:lineRule="exact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信息的说明</w:t>
            </w:r>
          </w:p>
        </w:tc>
        <w:tc>
          <w:tcPr>
            <w:tcW w:w="7654" w:type="dxa"/>
            <w:vAlign w:val="center"/>
          </w:tcPr>
          <w:p w14:paraId="501A9E71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沟通内容基于公司已公开信息披露文件</w:t>
            </w:r>
          </w:p>
        </w:tc>
      </w:tr>
      <w:tr w14:paraId="5245AA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1593" w:type="dxa"/>
            <w:vAlign w:val="center"/>
          </w:tcPr>
          <w:p w14:paraId="1BA2EB30">
            <w:pPr>
              <w:spacing w:line="400" w:lineRule="exact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附件清单（如有）</w:t>
            </w:r>
          </w:p>
        </w:tc>
        <w:tc>
          <w:tcPr>
            <w:tcW w:w="7654" w:type="dxa"/>
            <w:vAlign w:val="center"/>
          </w:tcPr>
          <w:p w14:paraId="539DF95E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无</w:t>
            </w:r>
          </w:p>
        </w:tc>
      </w:tr>
    </w:tbl>
    <w:p w14:paraId="4B4E0263"/>
    <w:p w14:paraId="758D7E00"/>
    <w:sectPr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iyu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098AE1"/>
    <w:multiLevelType w:val="singleLevel"/>
    <w:tmpl w:val="95098AE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jZTNjNjRmOWZmMmRlMmFmNDc5NGMxZTIyZDlhN2EifQ=="/>
  </w:docVars>
  <w:rsids>
    <w:rsidRoot w:val="0064772E"/>
    <w:rsid w:val="00003694"/>
    <w:rsid w:val="0000586C"/>
    <w:rsid w:val="00014D74"/>
    <w:rsid w:val="0002466F"/>
    <w:rsid w:val="00070108"/>
    <w:rsid w:val="000A3D14"/>
    <w:rsid w:val="000B0CB5"/>
    <w:rsid w:val="000B1129"/>
    <w:rsid w:val="000C3E97"/>
    <w:rsid w:val="000F0F9F"/>
    <w:rsid w:val="000F196A"/>
    <w:rsid w:val="00100F72"/>
    <w:rsid w:val="00120AFD"/>
    <w:rsid w:val="00145BAC"/>
    <w:rsid w:val="0014655D"/>
    <w:rsid w:val="00155419"/>
    <w:rsid w:val="00156639"/>
    <w:rsid w:val="001572DF"/>
    <w:rsid w:val="00165BBF"/>
    <w:rsid w:val="00174A4A"/>
    <w:rsid w:val="001816C4"/>
    <w:rsid w:val="00183262"/>
    <w:rsid w:val="001962EA"/>
    <w:rsid w:val="00196A82"/>
    <w:rsid w:val="001C26A7"/>
    <w:rsid w:val="001C63B4"/>
    <w:rsid w:val="001E07F9"/>
    <w:rsid w:val="001E0970"/>
    <w:rsid w:val="00200D06"/>
    <w:rsid w:val="002213A2"/>
    <w:rsid w:val="002257A5"/>
    <w:rsid w:val="00250ADC"/>
    <w:rsid w:val="0025709D"/>
    <w:rsid w:val="00273536"/>
    <w:rsid w:val="002A0691"/>
    <w:rsid w:val="002A3BA8"/>
    <w:rsid w:val="002D4F4D"/>
    <w:rsid w:val="002D72AA"/>
    <w:rsid w:val="002E7631"/>
    <w:rsid w:val="003016B6"/>
    <w:rsid w:val="00311DA7"/>
    <w:rsid w:val="003156A7"/>
    <w:rsid w:val="00343925"/>
    <w:rsid w:val="003508B6"/>
    <w:rsid w:val="003534F7"/>
    <w:rsid w:val="00384A32"/>
    <w:rsid w:val="003C0448"/>
    <w:rsid w:val="003D3DB8"/>
    <w:rsid w:val="003D4195"/>
    <w:rsid w:val="003D5933"/>
    <w:rsid w:val="003E5FC4"/>
    <w:rsid w:val="003F0A6F"/>
    <w:rsid w:val="00402D12"/>
    <w:rsid w:val="004368A7"/>
    <w:rsid w:val="004372C9"/>
    <w:rsid w:val="004656DB"/>
    <w:rsid w:val="00475893"/>
    <w:rsid w:val="004821B1"/>
    <w:rsid w:val="00490F60"/>
    <w:rsid w:val="00495E52"/>
    <w:rsid w:val="00497CF7"/>
    <w:rsid w:val="004C7CB5"/>
    <w:rsid w:val="004D199D"/>
    <w:rsid w:val="005126B6"/>
    <w:rsid w:val="0051330B"/>
    <w:rsid w:val="00522103"/>
    <w:rsid w:val="00570DD6"/>
    <w:rsid w:val="005B59E8"/>
    <w:rsid w:val="005B6D0D"/>
    <w:rsid w:val="005E2805"/>
    <w:rsid w:val="006037A0"/>
    <w:rsid w:val="00605714"/>
    <w:rsid w:val="0063220B"/>
    <w:rsid w:val="00632967"/>
    <w:rsid w:val="0064772E"/>
    <w:rsid w:val="006605BC"/>
    <w:rsid w:val="00663627"/>
    <w:rsid w:val="006866F2"/>
    <w:rsid w:val="00690B93"/>
    <w:rsid w:val="006A2EAE"/>
    <w:rsid w:val="006F2250"/>
    <w:rsid w:val="006F525C"/>
    <w:rsid w:val="006F5CAF"/>
    <w:rsid w:val="007116AE"/>
    <w:rsid w:val="00715BFC"/>
    <w:rsid w:val="0074485A"/>
    <w:rsid w:val="00754CBF"/>
    <w:rsid w:val="00764DBB"/>
    <w:rsid w:val="007A3511"/>
    <w:rsid w:val="007D62CC"/>
    <w:rsid w:val="007E03C0"/>
    <w:rsid w:val="007E4E8D"/>
    <w:rsid w:val="007F2BAA"/>
    <w:rsid w:val="007F772C"/>
    <w:rsid w:val="00802530"/>
    <w:rsid w:val="0081593A"/>
    <w:rsid w:val="00816B3A"/>
    <w:rsid w:val="0083741F"/>
    <w:rsid w:val="00837DC3"/>
    <w:rsid w:val="008416B1"/>
    <w:rsid w:val="0087049F"/>
    <w:rsid w:val="008838A6"/>
    <w:rsid w:val="00884BA0"/>
    <w:rsid w:val="008B5771"/>
    <w:rsid w:val="008B5919"/>
    <w:rsid w:val="008B778F"/>
    <w:rsid w:val="008C0182"/>
    <w:rsid w:val="008C4B50"/>
    <w:rsid w:val="008D286A"/>
    <w:rsid w:val="008D4319"/>
    <w:rsid w:val="00903774"/>
    <w:rsid w:val="0090538B"/>
    <w:rsid w:val="00922204"/>
    <w:rsid w:val="009259DA"/>
    <w:rsid w:val="00926031"/>
    <w:rsid w:val="00935032"/>
    <w:rsid w:val="00940F44"/>
    <w:rsid w:val="00940FB5"/>
    <w:rsid w:val="00946BBB"/>
    <w:rsid w:val="009519D6"/>
    <w:rsid w:val="00984040"/>
    <w:rsid w:val="009B1AB2"/>
    <w:rsid w:val="009B7E77"/>
    <w:rsid w:val="009D006D"/>
    <w:rsid w:val="009D2B8D"/>
    <w:rsid w:val="009D539E"/>
    <w:rsid w:val="009E0D01"/>
    <w:rsid w:val="00A03FA5"/>
    <w:rsid w:val="00A07422"/>
    <w:rsid w:val="00A1034E"/>
    <w:rsid w:val="00A1498C"/>
    <w:rsid w:val="00A2288E"/>
    <w:rsid w:val="00A34C97"/>
    <w:rsid w:val="00A72A3A"/>
    <w:rsid w:val="00A73CA2"/>
    <w:rsid w:val="00A9465C"/>
    <w:rsid w:val="00A97ACB"/>
    <w:rsid w:val="00AA0272"/>
    <w:rsid w:val="00AA379D"/>
    <w:rsid w:val="00AB2A13"/>
    <w:rsid w:val="00AB7133"/>
    <w:rsid w:val="00AD1E7A"/>
    <w:rsid w:val="00AE3068"/>
    <w:rsid w:val="00AE6EAA"/>
    <w:rsid w:val="00AF773B"/>
    <w:rsid w:val="00B0533D"/>
    <w:rsid w:val="00B1199F"/>
    <w:rsid w:val="00B17145"/>
    <w:rsid w:val="00B33DBD"/>
    <w:rsid w:val="00B5177B"/>
    <w:rsid w:val="00B548DD"/>
    <w:rsid w:val="00B54A90"/>
    <w:rsid w:val="00B61FEF"/>
    <w:rsid w:val="00B70821"/>
    <w:rsid w:val="00B757A0"/>
    <w:rsid w:val="00B76C67"/>
    <w:rsid w:val="00B9740B"/>
    <w:rsid w:val="00BA4038"/>
    <w:rsid w:val="00BA67EE"/>
    <w:rsid w:val="00BB3724"/>
    <w:rsid w:val="00BB5E29"/>
    <w:rsid w:val="00BD70C0"/>
    <w:rsid w:val="00BE6404"/>
    <w:rsid w:val="00C02A90"/>
    <w:rsid w:val="00C0608F"/>
    <w:rsid w:val="00C1067C"/>
    <w:rsid w:val="00C13922"/>
    <w:rsid w:val="00C14B8E"/>
    <w:rsid w:val="00C256BE"/>
    <w:rsid w:val="00C46E77"/>
    <w:rsid w:val="00C4797C"/>
    <w:rsid w:val="00C63654"/>
    <w:rsid w:val="00C640DF"/>
    <w:rsid w:val="00C72D2E"/>
    <w:rsid w:val="00C87C39"/>
    <w:rsid w:val="00CA7472"/>
    <w:rsid w:val="00CB6F6A"/>
    <w:rsid w:val="00CE6F35"/>
    <w:rsid w:val="00CE7F91"/>
    <w:rsid w:val="00D25423"/>
    <w:rsid w:val="00D339C3"/>
    <w:rsid w:val="00D6793E"/>
    <w:rsid w:val="00D9665E"/>
    <w:rsid w:val="00DC154D"/>
    <w:rsid w:val="00DC3C1D"/>
    <w:rsid w:val="00DD36D3"/>
    <w:rsid w:val="00DD38B5"/>
    <w:rsid w:val="00DD466C"/>
    <w:rsid w:val="00DD6734"/>
    <w:rsid w:val="00DE4085"/>
    <w:rsid w:val="00E0408B"/>
    <w:rsid w:val="00E1746A"/>
    <w:rsid w:val="00E30E38"/>
    <w:rsid w:val="00E32777"/>
    <w:rsid w:val="00E51423"/>
    <w:rsid w:val="00E5636F"/>
    <w:rsid w:val="00E609D9"/>
    <w:rsid w:val="00E749F5"/>
    <w:rsid w:val="00E83BC0"/>
    <w:rsid w:val="00E95B2E"/>
    <w:rsid w:val="00EB23D2"/>
    <w:rsid w:val="00EB41E3"/>
    <w:rsid w:val="00EB5A43"/>
    <w:rsid w:val="00EF0B99"/>
    <w:rsid w:val="00F16ED5"/>
    <w:rsid w:val="00F24C83"/>
    <w:rsid w:val="00F6540D"/>
    <w:rsid w:val="00F87F45"/>
    <w:rsid w:val="00F96930"/>
    <w:rsid w:val="00FA25C8"/>
    <w:rsid w:val="00FA3E70"/>
    <w:rsid w:val="00FA6108"/>
    <w:rsid w:val="00FB2F4E"/>
    <w:rsid w:val="00FC5C64"/>
    <w:rsid w:val="00FC6411"/>
    <w:rsid w:val="00FE4CE0"/>
    <w:rsid w:val="00FE76F5"/>
    <w:rsid w:val="09413511"/>
    <w:rsid w:val="13C67070"/>
    <w:rsid w:val="19EE3EE0"/>
    <w:rsid w:val="1A135EC8"/>
    <w:rsid w:val="202028F3"/>
    <w:rsid w:val="38026CF0"/>
    <w:rsid w:val="39541399"/>
    <w:rsid w:val="3CFD5674"/>
    <w:rsid w:val="48EB312E"/>
    <w:rsid w:val="4DCF18DA"/>
    <w:rsid w:val="51C71027"/>
    <w:rsid w:val="53D85C9D"/>
    <w:rsid w:val="569471B3"/>
    <w:rsid w:val="5A1F6067"/>
    <w:rsid w:val="5D7F0889"/>
    <w:rsid w:val="62CF061A"/>
    <w:rsid w:val="657A6CF2"/>
    <w:rsid w:val="7107220E"/>
    <w:rsid w:val="73D06B6C"/>
    <w:rsid w:val="7522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6"/>
    <w:qFormat/>
    <w:uiPriority w:val="20"/>
    <w:rPr>
      <w:i/>
      <w:iCs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1729</Words>
  <Characters>1813</Characters>
  <Lines>21</Lines>
  <Paragraphs>5</Paragraphs>
  <TotalTime>74</TotalTime>
  <ScaleCrop>false</ScaleCrop>
  <LinksUpToDate>false</LinksUpToDate>
  <CharactersWithSpaces>1903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2023-04-13T01:09:00Z</dcterms:created>
  <dc:creator>cmx</dc:creator>
  <cp:lastModifiedBy>卢彦戎</cp:lastModifiedBy>
  <cp:lastPrinted>2025-09-18T07:46:00Z</cp:lastPrinted>
  <dcterms:modified xsi:type="dcterms:W3CDTF">2026-09-24T07:26:27Z</dcterms:modified>
  <cp:revision>105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7013B823E14949A8A4F3BD20E09EA889_13</vt:lpwstr>
  </property>
  <property fmtid="{D5CDD505-2E9C-101B-9397-08002B2CF9AE}" pid="4" name="KSOTemplateDocerSaveRecord">
    <vt:lpwstr>eyJoZGlkIjoiZWQxZDFhMzYzN2IyZTg2OTllOTAyMzY0MmMzZjJiYjAiLCJ1c2VySWQiOiIxNjQ0NDAzMjUxIn0=</vt:lpwstr>
  </property>
</Properties>
</file>