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62DD2C">
      <w:pPr>
        <w:spacing w:line="360" w:lineRule="auto"/>
        <w:jc w:val="left"/>
        <w:rPr>
          <w:rFonts w:ascii="宋体" w:hAnsi="宋体"/>
          <w:sz w:val="24"/>
        </w:rPr>
      </w:pPr>
      <w:r>
        <w:rPr>
          <w:rFonts w:hint="eastAsia" w:ascii="宋体" w:hAnsi="宋体"/>
          <w:sz w:val="24"/>
        </w:rPr>
        <w:t xml:space="preserve">证券代码：601083 </w:t>
      </w:r>
      <w:r>
        <w:rPr>
          <w:rFonts w:ascii="宋体" w:hAnsi="宋体"/>
          <w:sz w:val="24"/>
        </w:rPr>
        <w:t xml:space="preserve">        </w:t>
      </w:r>
      <w:r>
        <w:rPr>
          <w:rFonts w:hint="eastAsia" w:ascii="宋体" w:hAnsi="宋体"/>
          <w:sz w:val="24"/>
        </w:rPr>
        <w:t xml:space="preserve">                          证券简称：锦江航运</w:t>
      </w:r>
    </w:p>
    <w:p w14:paraId="34A4A261">
      <w:pPr>
        <w:spacing w:line="360" w:lineRule="auto"/>
        <w:jc w:val="center"/>
        <w:rPr>
          <w:rFonts w:ascii="宋体" w:hAnsi="宋体"/>
          <w:b/>
          <w:sz w:val="24"/>
        </w:rPr>
      </w:pPr>
      <w:r>
        <w:rPr>
          <w:rFonts w:hint="eastAsia" w:ascii="宋体" w:hAnsi="宋体"/>
          <w:b/>
          <w:sz w:val="24"/>
        </w:rPr>
        <w:t>上海锦江航运（集团）股份有限公司</w:t>
      </w:r>
    </w:p>
    <w:p w14:paraId="09BC33FB">
      <w:pPr>
        <w:spacing w:line="360" w:lineRule="auto"/>
        <w:jc w:val="center"/>
        <w:rPr>
          <w:rFonts w:ascii="宋体" w:hAnsi="宋体"/>
          <w:b/>
          <w:sz w:val="24"/>
        </w:rPr>
      </w:pPr>
      <w:r>
        <w:rPr>
          <w:rFonts w:hint="eastAsia" w:ascii="宋体" w:hAnsi="宋体"/>
          <w:b/>
          <w:sz w:val="24"/>
        </w:rPr>
        <w:t>投资者关系活动记录表</w:t>
      </w:r>
    </w:p>
    <w:p w14:paraId="69458E9C"/>
    <w:tbl>
      <w:tblPr>
        <w:tblStyle w:val="2"/>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420"/>
        <w:gridCol w:w="6872"/>
      </w:tblGrid>
      <w:tr w14:paraId="6E1C188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856" w:type="pct"/>
            <w:tcBorders>
              <w:top w:val="outset" w:color="auto" w:sz="6" w:space="0"/>
              <w:left w:val="outset" w:color="auto" w:sz="6" w:space="0"/>
              <w:bottom w:val="outset" w:color="auto" w:sz="6" w:space="0"/>
              <w:right w:val="outset" w:color="auto" w:sz="6" w:space="0"/>
            </w:tcBorders>
            <w:tcMar>
              <w:left w:w="60" w:type="dxa"/>
              <w:right w:w="60" w:type="dxa"/>
            </w:tcMar>
            <w:vAlign w:val="center"/>
          </w:tcPr>
          <w:p w14:paraId="24787903">
            <w:pPr>
              <w:rPr>
                <w:rFonts w:ascii="宋体" w:hAnsi="宋体" w:cs="宋体"/>
                <w:sz w:val="24"/>
              </w:rPr>
            </w:pPr>
            <w:r>
              <w:rPr>
                <w:rFonts w:hint="eastAsia" w:ascii="宋体" w:hAnsi="宋体" w:cs="宋体"/>
                <w:sz w:val="24"/>
              </w:rPr>
              <w:t>投资者关系活动类别</w:t>
            </w:r>
          </w:p>
        </w:tc>
        <w:tc>
          <w:tcPr>
            <w:tcW w:w="4143" w:type="pct"/>
            <w:tcBorders>
              <w:top w:val="outset" w:color="auto" w:sz="6" w:space="0"/>
              <w:left w:val="outset" w:color="auto" w:sz="6" w:space="0"/>
              <w:bottom w:val="outset" w:color="auto" w:sz="6" w:space="0"/>
              <w:right w:val="outset" w:color="auto" w:sz="6" w:space="0"/>
            </w:tcBorders>
            <w:tcMar>
              <w:left w:w="60" w:type="dxa"/>
              <w:right w:w="60" w:type="dxa"/>
            </w:tcMar>
            <w:vAlign w:val="center"/>
          </w:tcPr>
          <w:p w14:paraId="6E73D6F5">
            <w:pPr>
              <w:ind w:left="240" w:hanging="240" w:hangingChars="100"/>
              <w:rPr>
                <w:rFonts w:ascii="宋体" w:hAnsi="宋体" w:cs="宋体"/>
                <w:sz w:val="24"/>
              </w:rPr>
            </w:pPr>
            <w:r>
              <w:rPr>
                <w:rFonts w:hint="eastAsia" w:ascii="宋体" w:hAnsi="宋体" w:cs="宋体"/>
                <w:sz w:val="24"/>
              </w:rPr>
              <w:t>□ 特定对象调研       □ 分析师会议</w:t>
            </w:r>
          </w:p>
          <w:p w14:paraId="648481D9">
            <w:pPr>
              <w:ind w:left="240" w:hanging="240" w:hangingChars="100"/>
              <w:rPr>
                <w:rFonts w:ascii="宋体" w:hAnsi="宋体" w:cs="宋体"/>
                <w:sz w:val="24"/>
              </w:rPr>
            </w:pPr>
            <w:r>
              <w:rPr>
                <w:rFonts w:hint="eastAsia" w:ascii="宋体" w:hAnsi="宋体" w:cs="宋体"/>
                <w:sz w:val="24"/>
              </w:rPr>
              <w:t>□ 媒体采访         √ 业绩说明会</w:t>
            </w:r>
          </w:p>
          <w:p w14:paraId="599E5D38">
            <w:pPr>
              <w:ind w:left="240" w:hanging="240" w:hangingChars="100"/>
              <w:rPr>
                <w:rFonts w:ascii="宋体" w:hAnsi="宋体" w:cs="宋体"/>
                <w:sz w:val="24"/>
              </w:rPr>
            </w:pPr>
            <w:r>
              <w:rPr>
                <w:rFonts w:hint="eastAsia" w:ascii="宋体" w:hAnsi="宋体" w:cs="宋体"/>
                <w:sz w:val="24"/>
              </w:rPr>
              <w:t>□ 新闻发布会        □ 路演活动</w:t>
            </w:r>
          </w:p>
          <w:p w14:paraId="653794DB">
            <w:pPr>
              <w:ind w:left="240" w:hanging="240" w:hangingChars="100"/>
              <w:rPr>
                <w:rFonts w:ascii="宋体" w:hAnsi="宋体" w:cs="宋体"/>
                <w:sz w:val="24"/>
              </w:rPr>
            </w:pPr>
            <w:r>
              <w:rPr>
                <w:rFonts w:hint="eastAsia" w:ascii="宋体" w:hAnsi="宋体" w:cs="宋体"/>
                <w:sz w:val="24"/>
              </w:rPr>
              <w:t>□ 现场参观</w:t>
            </w:r>
          </w:p>
          <w:p w14:paraId="02DB1ED1">
            <w:pPr>
              <w:ind w:left="240" w:hanging="240" w:hangingChars="100"/>
              <w:rPr>
                <w:rFonts w:ascii="宋体" w:hAnsi="宋体" w:cs="宋体"/>
                <w:sz w:val="24"/>
              </w:rPr>
            </w:pPr>
            <w:r>
              <w:rPr>
                <w:rFonts w:hint="eastAsia" w:ascii="宋体" w:hAnsi="宋体" w:cs="宋体"/>
                <w:sz w:val="24"/>
              </w:rPr>
              <w:t>□ 其他（请文字说明其他活动内容）</w:t>
            </w:r>
          </w:p>
        </w:tc>
      </w:tr>
      <w:tr w14:paraId="1F6F787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856" w:type="pct"/>
            <w:tcBorders>
              <w:top w:val="outset" w:color="auto" w:sz="6" w:space="0"/>
              <w:left w:val="outset" w:color="auto" w:sz="6" w:space="0"/>
              <w:bottom w:val="outset" w:color="auto" w:sz="6" w:space="0"/>
              <w:right w:val="outset" w:color="auto" w:sz="6" w:space="0"/>
            </w:tcBorders>
            <w:tcMar>
              <w:left w:w="60" w:type="dxa"/>
              <w:right w:w="60" w:type="dxa"/>
            </w:tcMar>
            <w:vAlign w:val="center"/>
          </w:tcPr>
          <w:p w14:paraId="411E7988">
            <w:pPr>
              <w:rPr>
                <w:rFonts w:ascii="宋体" w:hAnsi="宋体" w:cs="宋体"/>
                <w:sz w:val="24"/>
              </w:rPr>
            </w:pPr>
            <w:r>
              <w:rPr>
                <w:rFonts w:hint="eastAsia" w:ascii="宋体" w:hAnsi="宋体" w:cs="宋体"/>
                <w:sz w:val="24"/>
              </w:rPr>
              <w:t>参与人员</w:t>
            </w:r>
          </w:p>
        </w:tc>
        <w:tc>
          <w:tcPr>
            <w:tcW w:w="4143" w:type="pct"/>
            <w:tcBorders>
              <w:top w:val="outset" w:color="auto" w:sz="6" w:space="0"/>
              <w:left w:val="outset" w:color="auto" w:sz="6" w:space="0"/>
              <w:bottom w:val="outset" w:color="auto" w:sz="6" w:space="0"/>
              <w:right w:val="outset" w:color="auto" w:sz="6" w:space="0"/>
            </w:tcBorders>
            <w:tcMar>
              <w:left w:w="60" w:type="dxa"/>
              <w:right w:w="60" w:type="dxa"/>
            </w:tcMar>
            <w:vAlign w:val="center"/>
          </w:tcPr>
          <w:p w14:paraId="3C0FD4E2">
            <w:pPr>
              <w:rPr>
                <w:rFonts w:ascii="宋体" w:hAnsi="宋体" w:cs="宋体"/>
                <w:sz w:val="24"/>
              </w:rPr>
            </w:pPr>
            <w:r>
              <w:rPr>
                <w:rFonts w:hint="eastAsia" w:ascii="宋体" w:hAnsi="宋体" w:cs="宋体"/>
                <w:sz w:val="24"/>
              </w:rPr>
              <w:t>参与公司202</w:t>
            </w:r>
            <w:r>
              <w:rPr>
                <w:rFonts w:hint="eastAsia" w:ascii="宋体" w:hAnsi="宋体" w:cs="宋体"/>
                <w:sz w:val="24"/>
                <w:lang w:val="en-US" w:eastAsia="zh-CN"/>
              </w:rPr>
              <w:t>6</w:t>
            </w:r>
            <w:r>
              <w:rPr>
                <w:rFonts w:hint="eastAsia" w:ascii="宋体" w:hAnsi="宋体" w:cs="宋体"/>
                <w:sz w:val="24"/>
              </w:rPr>
              <w:t>年</w:t>
            </w:r>
            <w:r>
              <w:rPr>
                <w:rFonts w:hint="eastAsia" w:ascii="宋体" w:hAnsi="宋体" w:cs="宋体"/>
                <w:sz w:val="24"/>
                <w:lang w:val="en-US" w:eastAsia="zh-CN"/>
              </w:rPr>
              <w:t>半年度</w:t>
            </w:r>
            <w:r>
              <w:rPr>
                <w:rFonts w:hint="eastAsia" w:ascii="宋体" w:hAnsi="宋体" w:cs="宋体"/>
                <w:sz w:val="24"/>
              </w:rPr>
              <w:t>业绩说明会的投资者</w:t>
            </w:r>
          </w:p>
        </w:tc>
      </w:tr>
      <w:tr w14:paraId="09C1B07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856" w:type="pct"/>
            <w:tcBorders>
              <w:top w:val="outset" w:color="auto" w:sz="6" w:space="0"/>
              <w:left w:val="outset" w:color="auto" w:sz="6" w:space="0"/>
              <w:bottom w:val="outset" w:color="auto" w:sz="6" w:space="0"/>
              <w:right w:val="outset" w:color="auto" w:sz="6" w:space="0"/>
            </w:tcBorders>
            <w:tcMar>
              <w:left w:w="60" w:type="dxa"/>
              <w:right w:w="60" w:type="dxa"/>
            </w:tcMar>
            <w:vAlign w:val="center"/>
          </w:tcPr>
          <w:p w14:paraId="6A5F24EE">
            <w:pPr>
              <w:rPr>
                <w:rFonts w:ascii="宋体" w:hAnsi="宋体" w:cs="宋体"/>
                <w:sz w:val="24"/>
              </w:rPr>
            </w:pPr>
            <w:r>
              <w:rPr>
                <w:rFonts w:hint="eastAsia" w:ascii="宋体" w:hAnsi="宋体" w:cs="宋体"/>
                <w:sz w:val="24"/>
              </w:rPr>
              <w:t>会议时间</w:t>
            </w:r>
          </w:p>
        </w:tc>
        <w:tc>
          <w:tcPr>
            <w:tcW w:w="4143" w:type="pct"/>
            <w:tcBorders>
              <w:top w:val="outset" w:color="auto" w:sz="6" w:space="0"/>
              <w:left w:val="outset" w:color="auto" w:sz="6" w:space="0"/>
              <w:bottom w:val="outset" w:color="auto" w:sz="6" w:space="0"/>
              <w:right w:val="outset" w:color="auto" w:sz="6" w:space="0"/>
            </w:tcBorders>
            <w:tcMar>
              <w:left w:w="60" w:type="dxa"/>
              <w:right w:w="60" w:type="dxa"/>
            </w:tcMar>
            <w:vAlign w:val="center"/>
          </w:tcPr>
          <w:p w14:paraId="1F5BE93A">
            <w:pPr>
              <w:rPr>
                <w:rFonts w:ascii="宋体" w:hAnsi="宋体" w:cs="宋体"/>
                <w:sz w:val="24"/>
              </w:rPr>
            </w:pPr>
            <w:r>
              <w:rPr>
                <w:rFonts w:hint="eastAsia" w:ascii="宋体" w:hAnsi="宋体" w:cs="宋体"/>
                <w:sz w:val="24"/>
              </w:rPr>
              <w:t>202</w:t>
            </w:r>
            <w:r>
              <w:rPr>
                <w:rFonts w:hint="eastAsia" w:ascii="宋体" w:hAnsi="宋体" w:cs="宋体"/>
                <w:sz w:val="24"/>
                <w:lang w:val="en-US" w:eastAsia="zh-CN"/>
              </w:rPr>
              <w:t>6</w:t>
            </w:r>
            <w:r>
              <w:rPr>
                <w:rFonts w:hint="eastAsia" w:ascii="宋体" w:hAnsi="宋体" w:cs="宋体"/>
                <w:sz w:val="24"/>
              </w:rPr>
              <w:t>年</w:t>
            </w:r>
            <w:r>
              <w:rPr>
                <w:rFonts w:hint="eastAsia" w:ascii="宋体" w:hAnsi="宋体" w:cs="宋体"/>
                <w:sz w:val="24"/>
                <w:lang w:val="en-US" w:eastAsia="zh-CN"/>
              </w:rPr>
              <w:t>9</w:t>
            </w:r>
            <w:r>
              <w:rPr>
                <w:rFonts w:hint="eastAsia" w:ascii="宋体" w:hAnsi="宋体" w:cs="宋体"/>
                <w:sz w:val="24"/>
              </w:rPr>
              <w:t>月</w:t>
            </w:r>
            <w:r>
              <w:rPr>
                <w:rFonts w:hint="eastAsia" w:ascii="宋体" w:hAnsi="宋体" w:cs="宋体"/>
                <w:sz w:val="24"/>
                <w:lang w:val="en-US" w:eastAsia="zh-CN"/>
              </w:rPr>
              <w:t>2</w:t>
            </w:r>
            <w:r>
              <w:rPr>
                <w:rFonts w:hint="default" w:ascii="宋体" w:hAnsi="宋体" w:cs="宋体"/>
                <w:sz w:val="24"/>
                <w:lang w:val="en-US"/>
              </w:rPr>
              <w:t>2</w:t>
            </w:r>
            <w:r>
              <w:rPr>
                <w:rFonts w:hint="eastAsia" w:ascii="宋体" w:hAnsi="宋体" w:cs="宋体"/>
                <w:sz w:val="24"/>
              </w:rPr>
              <w:t>日1</w:t>
            </w:r>
            <w:r>
              <w:rPr>
                <w:rFonts w:hint="eastAsia" w:ascii="宋体" w:hAnsi="宋体" w:cs="宋体"/>
                <w:sz w:val="24"/>
                <w:lang w:val="en-US" w:eastAsia="zh-CN"/>
              </w:rPr>
              <w:t>5</w:t>
            </w:r>
            <w:r>
              <w:rPr>
                <w:rFonts w:hint="eastAsia" w:ascii="宋体" w:hAnsi="宋体" w:cs="宋体"/>
                <w:sz w:val="24"/>
              </w:rPr>
              <w:t>:</w:t>
            </w:r>
            <w:r>
              <w:rPr>
                <w:rFonts w:ascii="宋体" w:hAnsi="宋体" w:cs="宋体"/>
                <w:sz w:val="24"/>
              </w:rPr>
              <w:t>00</w:t>
            </w:r>
            <w:r>
              <w:rPr>
                <w:rFonts w:hint="eastAsia" w:ascii="宋体" w:hAnsi="宋体" w:cs="宋体"/>
                <w:sz w:val="24"/>
              </w:rPr>
              <w:t>-1</w:t>
            </w:r>
            <w:r>
              <w:rPr>
                <w:rFonts w:hint="eastAsia" w:ascii="宋体" w:hAnsi="宋体" w:cs="宋体"/>
                <w:sz w:val="24"/>
                <w:lang w:val="en-US" w:eastAsia="zh-CN"/>
              </w:rPr>
              <w:t>6</w:t>
            </w:r>
            <w:r>
              <w:rPr>
                <w:rFonts w:hint="eastAsia" w:ascii="宋体" w:hAnsi="宋体" w:cs="宋体"/>
                <w:sz w:val="24"/>
              </w:rPr>
              <w:t>:</w:t>
            </w:r>
            <w:r>
              <w:rPr>
                <w:rFonts w:ascii="宋体" w:hAnsi="宋体" w:cs="宋体"/>
                <w:sz w:val="24"/>
              </w:rPr>
              <w:t>0</w:t>
            </w:r>
            <w:r>
              <w:rPr>
                <w:rFonts w:hint="eastAsia" w:ascii="宋体" w:hAnsi="宋体" w:cs="宋体"/>
                <w:sz w:val="24"/>
              </w:rPr>
              <w:t>0</w:t>
            </w:r>
          </w:p>
        </w:tc>
      </w:tr>
      <w:tr w14:paraId="17BEE00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856" w:type="pct"/>
            <w:tcBorders>
              <w:top w:val="outset" w:color="auto" w:sz="6" w:space="0"/>
              <w:left w:val="outset" w:color="auto" w:sz="6" w:space="0"/>
              <w:bottom w:val="outset" w:color="auto" w:sz="6" w:space="0"/>
              <w:right w:val="outset" w:color="auto" w:sz="6" w:space="0"/>
            </w:tcBorders>
            <w:tcMar>
              <w:left w:w="60" w:type="dxa"/>
              <w:right w:w="60" w:type="dxa"/>
            </w:tcMar>
            <w:vAlign w:val="center"/>
          </w:tcPr>
          <w:p w14:paraId="0D5AA567">
            <w:pPr>
              <w:rPr>
                <w:rFonts w:ascii="宋体" w:hAnsi="宋体" w:cs="宋体"/>
                <w:sz w:val="24"/>
              </w:rPr>
            </w:pPr>
            <w:r>
              <w:rPr>
                <w:rFonts w:hint="eastAsia" w:ascii="宋体" w:hAnsi="宋体" w:cs="宋体"/>
                <w:sz w:val="24"/>
              </w:rPr>
              <w:t>会议地点</w:t>
            </w:r>
          </w:p>
        </w:tc>
        <w:tc>
          <w:tcPr>
            <w:tcW w:w="4143" w:type="pct"/>
            <w:tcBorders>
              <w:top w:val="outset" w:color="auto" w:sz="6" w:space="0"/>
              <w:left w:val="outset" w:color="auto" w:sz="6" w:space="0"/>
              <w:bottom w:val="outset" w:color="auto" w:sz="6" w:space="0"/>
              <w:right w:val="outset" w:color="auto" w:sz="6" w:space="0"/>
            </w:tcBorders>
            <w:tcMar>
              <w:left w:w="60" w:type="dxa"/>
              <w:right w:w="60" w:type="dxa"/>
            </w:tcMar>
            <w:vAlign w:val="center"/>
          </w:tcPr>
          <w:p w14:paraId="31F6F66B">
            <w:pPr>
              <w:rPr>
                <w:rFonts w:ascii="宋体" w:hAnsi="宋体" w:cs="宋体"/>
                <w:sz w:val="24"/>
              </w:rPr>
            </w:pPr>
            <w:r>
              <w:rPr>
                <w:rFonts w:hint="eastAsia" w:ascii="宋体" w:hAnsi="宋体" w:cs="宋体"/>
                <w:sz w:val="24"/>
              </w:rPr>
              <w:t>上海证券交易所上证路演中心（https://roadshow.sseinfo.com/）</w:t>
            </w:r>
          </w:p>
        </w:tc>
      </w:tr>
      <w:tr w14:paraId="7A4B994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856" w:type="pct"/>
            <w:tcBorders>
              <w:top w:val="outset" w:color="auto" w:sz="6" w:space="0"/>
              <w:left w:val="outset" w:color="auto" w:sz="6" w:space="0"/>
              <w:bottom w:val="outset" w:color="auto" w:sz="6" w:space="0"/>
              <w:right w:val="outset" w:color="auto" w:sz="6" w:space="0"/>
            </w:tcBorders>
            <w:tcMar>
              <w:left w:w="60" w:type="dxa"/>
              <w:right w:w="60" w:type="dxa"/>
            </w:tcMar>
            <w:vAlign w:val="center"/>
          </w:tcPr>
          <w:p w14:paraId="016CE3EA">
            <w:pPr>
              <w:rPr>
                <w:rFonts w:ascii="宋体" w:hAnsi="宋体" w:cs="宋体"/>
                <w:sz w:val="24"/>
              </w:rPr>
            </w:pPr>
            <w:r>
              <w:rPr>
                <w:rFonts w:hint="eastAsia" w:ascii="宋体" w:hAnsi="宋体" w:cs="宋体"/>
                <w:sz w:val="24"/>
              </w:rPr>
              <w:t>会议形式</w:t>
            </w:r>
          </w:p>
        </w:tc>
        <w:tc>
          <w:tcPr>
            <w:tcW w:w="4143" w:type="pct"/>
            <w:tcBorders>
              <w:top w:val="outset" w:color="auto" w:sz="6" w:space="0"/>
              <w:left w:val="outset" w:color="auto" w:sz="6" w:space="0"/>
              <w:bottom w:val="outset" w:color="auto" w:sz="6" w:space="0"/>
              <w:right w:val="outset" w:color="auto" w:sz="6" w:space="0"/>
            </w:tcBorders>
            <w:tcMar>
              <w:left w:w="60" w:type="dxa"/>
              <w:right w:w="60" w:type="dxa"/>
            </w:tcMar>
            <w:vAlign w:val="center"/>
          </w:tcPr>
          <w:p w14:paraId="789999CF">
            <w:pPr>
              <w:rPr>
                <w:rFonts w:ascii="宋体" w:hAnsi="宋体" w:cs="宋体"/>
                <w:sz w:val="24"/>
              </w:rPr>
            </w:pPr>
            <w:r>
              <w:rPr>
                <w:rFonts w:hint="eastAsia" w:ascii="宋体" w:hAnsi="宋体" w:cs="宋体"/>
                <w:sz w:val="24"/>
              </w:rPr>
              <w:t>网络互动</w:t>
            </w:r>
          </w:p>
        </w:tc>
      </w:tr>
      <w:tr w14:paraId="47122B8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856" w:type="pct"/>
            <w:tcBorders>
              <w:top w:val="outset" w:color="auto" w:sz="6" w:space="0"/>
              <w:left w:val="outset" w:color="auto" w:sz="6" w:space="0"/>
              <w:bottom w:val="outset" w:color="auto" w:sz="6" w:space="0"/>
              <w:right w:val="outset" w:color="auto" w:sz="6" w:space="0"/>
            </w:tcBorders>
            <w:tcMar>
              <w:left w:w="60" w:type="dxa"/>
              <w:right w:w="60" w:type="dxa"/>
            </w:tcMar>
            <w:vAlign w:val="center"/>
          </w:tcPr>
          <w:p w14:paraId="4A054425">
            <w:pPr>
              <w:rPr>
                <w:rFonts w:ascii="宋体" w:hAnsi="宋体" w:cs="宋体"/>
                <w:sz w:val="24"/>
              </w:rPr>
            </w:pPr>
            <w:r>
              <w:rPr>
                <w:rFonts w:hint="eastAsia" w:ascii="宋体" w:hAnsi="宋体" w:cs="宋体"/>
                <w:sz w:val="24"/>
              </w:rPr>
              <w:t>公司接待人员姓名</w:t>
            </w:r>
          </w:p>
        </w:tc>
        <w:tc>
          <w:tcPr>
            <w:tcW w:w="4143" w:type="pct"/>
            <w:tcBorders>
              <w:top w:val="outset" w:color="auto" w:sz="6" w:space="0"/>
              <w:left w:val="outset" w:color="auto" w:sz="6" w:space="0"/>
              <w:bottom w:val="outset" w:color="auto" w:sz="6" w:space="0"/>
              <w:right w:val="outset" w:color="auto" w:sz="6" w:space="0"/>
            </w:tcBorders>
            <w:tcMar>
              <w:left w:w="60" w:type="dxa"/>
              <w:right w:w="60" w:type="dxa"/>
            </w:tcMar>
            <w:vAlign w:val="center"/>
          </w:tcPr>
          <w:p w14:paraId="7741D0E1">
            <w:pPr>
              <w:rPr>
                <w:rFonts w:ascii="宋体" w:hAnsi="宋体" w:cs="宋体"/>
                <w:sz w:val="24"/>
              </w:rPr>
            </w:pPr>
            <w:r>
              <w:rPr>
                <w:rFonts w:hint="eastAsia" w:ascii="宋体" w:hAnsi="宋体" w:cs="宋体"/>
                <w:sz w:val="24"/>
              </w:rPr>
              <w:t>董事长沈伟先生</w:t>
            </w:r>
          </w:p>
          <w:p w14:paraId="5C342050">
            <w:pPr>
              <w:rPr>
                <w:rFonts w:ascii="宋体" w:hAnsi="宋体" w:cs="宋体"/>
                <w:sz w:val="24"/>
              </w:rPr>
            </w:pPr>
            <w:r>
              <w:rPr>
                <w:rFonts w:hint="eastAsia" w:ascii="宋体" w:hAnsi="宋体" w:cs="宋体"/>
                <w:sz w:val="24"/>
              </w:rPr>
              <w:t>董事、总经理陈燕女士</w:t>
            </w:r>
          </w:p>
          <w:p w14:paraId="339E8A12">
            <w:pPr>
              <w:rPr>
                <w:rFonts w:ascii="宋体" w:hAnsi="宋体" w:cs="宋体"/>
                <w:sz w:val="24"/>
              </w:rPr>
            </w:pPr>
            <w:r>
              <w:rPr>
                <w:rFonts w:hint="eastAsia" w:ascii="宋体" w:hAnsi="宋体" w:cs="宋体"/>
                <w:sz w:val="24"/>
              </w:rPr>
              <w:t>独立董事</w:t>
            </w:r>
            <w:r>
              <w:rPr>
                <w:rFonts w:hint="eastAsia" w:ascii="宋体" w:hAnsi="宋体" w:cs="宋体"/>
                <w:sz w:val="24"/>
                <w:lang w:val="en-US" w:eastAsia="zh-CN"/>
              </w:rPr>
              <w:t>管一民</w:t>
            </w:r>
            <w:r>
              <w:rPr>
                <w:rFonts w:hint="eastAsia" w:ascii="宋体" w:hAnsi="宋体" w:cs="宋体"/>
                <w:sz w:val="24"/>
              </w:rPr>
              <w:t>先生</w:t>
            </w:r>
          </w:p>
          <w:p w14:paraId="64993475">
            <w:pPr>
              <w:rPr>
                <w:rFonts w:ascii="宋体" w:hAnsi="宋体" w:cs="宋体"/>
                <w:sz w:val="24"/>
              </w:rPr>
            </w:pPr>
            <w:r>
              <w:rPr>
                <w:rFonts w:hint="eastAsia" w:ascii="宋体" w:hAnsi="宋体" w:cs="宋体"/>
                <w:sz w:val="24"/>
              </w:rPr>
              <w:t>财务总监邱倩女士</w:t>
            </w:r>
          </w:p>
          <w:p w14:paraId="1F618502">
            <w:pPr>
              <w:rPr>
                <w:rFonts w:ascii="宋体" w:hAnsi="宋体" w:cs="宋体"/>
                <w:sz w:val="24"/>
              </w:rPr>
            </w:pPr>
            <w:r>
              <w:rPr>
                <w:rFonts w:hint="eastAsia" w:ascii="宋体" w:hAnsi="宋体" w:cs="宋体"/>
                <w:sz w:val="24"/>
              </w:rPr>
              <w:t>董事会秘书汪蕊莹女士</w:t>
            </w:r>
          </w:p>
        </w:tc>
      </w:tr>
      <w:tr w14:paraId="34FDC30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856" w:type="pct"/>
            <w:tcBorders>
              <w:top w:val="outset" w:color="auto" w:sz="6" w:space="0"/>
              <w:left w:val="outset" w:color="auto" w:sz="6" w:space="0"/>
              <w:bottom w:val="outset" w:color="auto" w:sz="6" w:space="0"/>
              <w:right w:val="outset" w:color="auto" w:sz="6" w:space="0"/>
            </w:tcBorders>
            <w:tcMar>
              <w:left w:w="60" w:type="dxa"/>
              <w:right w:w="60" w:type="dxa"/>
            </w:tcMar>
            <w:vAlign w:val="center"/>
          </w:tcPr>
          <w:p w14:paraId="7EA9DE60">
            <w:pPr>
              <w:rPr>
                <w:rFonts w:ascii="宋体" w:hAnsi="宋体" w:cs="宋体"/>
                <w:sz w:val="24"/>
              </w:rPr>
            </w:pPr>
            <w:r>
              <w:rPr>
                <w:rFonts w:hint="eastAsia" w:ascii="宋体" w:hAnsi="宋体" w:cs="宋体"/>
                <w:sz w:val="24"/>
              </w:rPr>
              <w:t>投资者关系活动主要内容介绍</w:t>
            </w:r>
          </w:p>
        </w:tc>
        <w:tc>
          <w:tcPr>
            <w:tcW w:w="4143" w:type="pct"/>
            <w:tcBorders>
              <w:top w:val="outset" w:color="auto" w:sz="6" w:space="0"/>
              <w:left w:val="outset" w:color="auto" w:sz="6" w:space="0"/>
              <w:bottom w:val="outset" w:color="auto" w:sz="6" w:space="0"/>
              <w:right w:val="outset" w:color="auto" w:sz="6" w:space="0"/>
            </w:tcBorders>
            <w:tcMar>
              <w:left w:w="60" w:type="dxa"/>
              <w:right w:w="60" w:type="dxa"/>
            </w:tcMar>
            <w:vAlign w:val="center"/>
          </w:tcPr>
          <w:p w14:paraId="2DFDFBF2">
            <w:pPr>
              <w:rPr>
                <w:rFonts w:ascii="宋体" w:hAnsi="宋体" w:cs="宋体"/>
                <w:sz w:val="24"/>
              </w:rPr>
            </w:pPr>
            <w:r>
              <w:rPr>
                <w:rFonts w:hint="eastAsia" w:ascii="宋体" w:hAnsi="宋体" w:cs="宋体"/>
                <w:sz w:val="24"/>
              </w:rPr>
              <w:t>投资者提出的问题及公司回复情况：</w:t>
            </w:r>
          </w:p>
          <w:p w14:paraId="69632274">
            <w:pPr>
              <w:rPr>
                <w:rFonts w:ascii="宋体" w:hAnsi="宋体" w:cs="宋体"/>
                <w:sz w:val="24"/>
              </w:rPr>
            </w:pPr>
          </w:p>
          <w:p w14:paraId="0CAFA57F">
            <w:pPr>
              <w:rPr>
                <w:rFonts w:hint="eastAsia" w:ascii="宋体" w:hAnsi="宋体" w:cs="宋体"/>
                <w:b/>
                <w:bCs/>
                <w:sz w:val="24"/>
              </w:rPr>
            </w:pPr>
            <w:r>
              <w:rPr>
                <w:rFonts w:hint="eastAsia" w:ascii="宋体" w:hAnsi="宋体" w:cs="宋体"/>
                <w:b/>
                <w:bCs/>
                <w:sz w:val="24"/>
              </w:rPr>
              <w:t>1、我注意到公司前五大客户占比超过60%，客户集中度较高。在当前全球供应链不确定性加剧、地缘政治风险频发的背景下，请问董秘，公司在信息披露方面将如何更及时、透明地向中小股东传递公司在应对大客户依赖风险、以及拓展多元化客户群体方面的进展？此外，公司连续两年获评Wind ESG AA级，请问公司在将ESG理念转化为实际业务溢价和降低融资成本方面，有哪些具体的成果向市场展示？</w:t>
            </w:r>
          </w:p>
          <w:p w14:paraId="64407D80">
            <w:pPr>
              <w:rPr>
                <w:rFonts w:hint="eastAsia" w:ascii="宋体" w:hAnsi="宋体" w:cs="宋体"/>
                <w:b w:val="0"/>
                <w:bCs w:val="0"/>
                <w:sz w:val="24"/>
              </w:rPr>
            </w:pPr>
            <w:r>
              <w:rPr>
                <w:rFonts w:hint="eastAsia" w:ascii="宋体" w:hAnsi="宋体" w:cs="宋体"/>
                <w:b w:val="0"/>
                <w:bCs w:val="0"/>
                <w:sz w:val="24"/>
              </w:rPr>
              <w:t>尊敬的投资者您好，公司凭借稳健优异的可持续发展表现，继续保持Wind（万得）ESG行业最高评级AA级。长期以来，公司紧扣国家“双碳”目标和高质量发展要求，精准契合监管要求与行业发展趋势，不断完善ESG治理架构与管理机制，持续深化绿色低碳、安全营运、人才培育、社会责任与规范治理等方面的创新实践。在治理方面，公司形成了权责清晰的“决策层－指导协调层－执行层”三级ESG治理架构，更有效地识别、评估与管理环境、社会及治理相关的影响、风险与机遇。环境方面，坚持绿色化转型发展，不断推动岸电、节能技改、创新创效项目。此外，公司立足船队结构与经营实际，启动新一轮运力更新，新船型兼顾绿色智能，船舶设计预留甲醇双燃料，稳步推进绿色船队建设与运营优化。社会责任方面，公司积极投身于乡村振兴、公益慈善、社区建设等活动，通过完善治理体系、规范管理流程、强化风险防控，不断夯实安全发展的基础。</w:t>
            </w:r>
          </w:p>
          <w:p w14:paraId="39AA6F90">
            <w:pPr>
              <w:rPr>
                <w:rFonts w:hint="eastAsia" w:ascii="宋体" w:hAnsi="宋体" w:cs="宋体"/>
                <w:b w:val="0"/>
                <w:bCs w:val="0"/>
                <w:sz w:val="24"/>
              </w:rPr>
            </w:pPr>
            <w:r>
              <w:rPr>
                <w:rFonts w:hint="eastAsia" w:ascii="宋体" w:hAnsi="宋体" w:cs="宋体"/>
                <w:b w:val="0"/>
                <w:bCs w:val="0"/>
                <w:sz w:val="24"/>
              </w:rPr>
              <w:t>2025</w:t>
            </w:r>
            <w:r>
              <w:rPr>
                <w:rFonts w:hint="eastAsia" w:ascii="宋体" w:hAnsi="宋体" w:cs="宋体"/>
                <w:b w:val="0"/>
                <w:bCs w:val="0"/>
                <w:sz w:val="24"/>
                <w:lang w:val="en-US" w:eastAsia="zh-CN"/>
              </w:rPr>
              <w:t>年度</w:t>
            </w:r>
            <w:bookmarkStart w:id="0" w:name="_GoBack"/>
            <w:bookmarkEnd w:id="0"/>
            <w:r>
              <w:rPr>
                <w:rFonts w:hint="eastAsia" w:ascii="宋体" w:hAnsi="宋体" w:cs="宋体"/>
                <w:b w:val="0"/>
                <w:bCs w:val="0"/>
                <w:sz w:val="24"/>
              </w:rPr>
              <w:t>，公司前五名客户销售额203,287.30万元，占年度销售总额29.00%。公司凭借差异化服务能力，上海日本航线、上海两岸间航线市场占有率继续稳居行业第一。感谢您对公司的关注。</w:t>
            </w:r>
          </w:p>
          <w:p w14:paraId="4E4250C8">
            <w:pPr>
              <w:rPr>
                <w:rFonts w:hint="eastAsia" w:ascii="宋体" w:hAnsi="宋体" w:cs="宋体"/>
                <w:b w:val="0"/>
                <w:bCs w:val="0"/>
                <w:sz w:val="24"/>
              </w:rPr>
            </w:pPr>
          </w:p>
          <w:p w14:paraId="1D41EFE6">
            <w:pPr>
              <w:rPr>
                <w:rFonts w:hint="eastAsia" w:ascii="宋体" w:hAnsi="宋体" w:cs="宋体"/>
                <w:b/>
                <w:bCs/>
                <w:sz w:val="24"/>
              </w:rPr>
            </w:pPr>
            <w:r>
              <w:rPr>
                <w:rFonts w:hint="eastAsia" w:ascii="宋体" w:hAnsi="宋体" w:cs="宋体"/>
                <w:b/>
                <w:bCs/>
                <w:sz w:val="24"/>
              </w:rPr>
              <w:t>2、公司正积极布局南亚、中东等新兴区域航线，并落地了首个海外物流投资项目（锦江航运物流越南有限公司）。请问总经理，在延伸服务触角至新兴区域的过程中，管理层对下半年及未来这些新航线和新业务的盈利爬坡期有何具体预期？在复制东北亚精品航线服务理念至东南亚及新兴区域时，如何平衡市场份额的扩张与整体利润率的修复？</w:t>
            </w:r>
          </w:p>
          <w:p w14:paraId="26A39BF9">
            <w:pPr>
              <w:rPr>
                <w:rFonts w:hint="eastAsia" w:ascii="宋体" w:hAnsi="宋体" w:cs="宋体"/>
                <w:b w:val="0"/>
                <w:bCs w:val="0"/>
                <w:sz w:val="24"/>
              </w:rPr>
            </w:pPr>
            <w:r>
              <w:rPr>
                <w:rFonts w:hint="eastAsia" w:ascii="宋体" w:hAnsi="宋体" w:cs="宋体"/>
                <w:b w:val="0"/>
                <w:bCs w:val="0"/>
                <w:sz w:val="24"/>
              </w:rPr>
              <w:t>尊敬的投资者您好，近年来，公司持续丰富东南亚物流产业链，加快海外物流网点布局，持续完善海外属地市场“航线+物流”一体化服务网络，强化物流延伸服务能力，进一步为航运主业赋能。</w:t>
            </w:r>
          </w:p>
          <w:p w14:paraId="658C6C68">
            <w:pPr>
              <w:rPr>
                <w:rFonts w:hint="eastAsia" w:ascii="宋体" w:hAnsi="宋体" w:cs="宋体"/>
                <w:b w:val="0"/>
                <w:bCs w:val="0"/>
                <w:sz w:val="24"/>
              </w:rPr>
            </w:pPr>
            <w:r>
              <w:rPr>
                <w:rFonts w:hint="eastAsia" w:ascii="宋体" w:hAnsi="宋体" w:cs="宋体"/>
                <w:b w:val="0"/>
                <w:bCs w:val="0"/>
                <w:sz w:val="24"/>
              </w:rPr>
              <w:t>2026年上半年，公司持续深化物流延伸服务，赋能集装箱运输主业经营。公司越南物流合资项目落地运营、泰国物流合资项目顺利签约，将为东南亚区域的航线经营与物流延伸业务提供有力支撑。公司继续加强区域间的航线联动、深化航线串联设计，打造东南亚精品航线“泰国丝路快航”，提供东南亚至日本的快速直航服务。航线投入运营后取得了良好的市场反馈，逐步成为区域内认可度较高的优质航线产品，进一步强化了公司东南亚区域品牌影响力。</w:t>
            </w:r>
          </w:p>
          <w:p w14:paraId="65D06A00">
            <w:pPr>
              <w:rPr>
                <w:rFonts w:hint="eastAsia" w:ascii="宋体" w:hAnsi="宋体" w:cs="宋体"/>
                <w:b w:val="0"/>
                <w:bCs w:val="0"/>
                <w:sz w:val="24"/>
              </w:rPr>
            </w:pPr>
            <w:r>
              <w:rPr>
                <w:rFonts w:hint="eastAsia" w:ascii="宋体" w:hAnsi="宋体" w:cs="宋体"/>
                <w:b w:val="0"/>
                <w:bCs w:val="0"/>
                <w:sz w:val="24"/>
              </w:rPr>
              <w:t>2026年下半年，公司将始终坚持稳中求进工作总基调，坚守差异化的品牌服务优势，充分释放产业链协同优势与企业内生发展动能，主动抢抓市场、积极作为，稳定传统优势航线，进一步凸显东南亚第二增长极，稳步拓展其他新兴区域。感谢您对公司的关注。</w:t>
            </w:r>
          </w:p>
          <w:p w14:paraId="76E355DE">
            <w:pPr>
              <w:rPr>
                <w:rFonts w:hint="eastAsia" w:ascii="宋体" w:hAnsi="宋体" w:cs="宋体"/>
                <w:b w:val="0"/>
                <w:bCs w:val="0"/>
                <w:sz w:val="24"/>
              </w:rPr>
            </w:pPr>
          </w:p>
          <w:p w14:paraId="204D0366">
            <w:pPr>
              <w:rPr>
                <w:rFonts w:hint="eastAsia" w:ascii="宋体" w:hAnsi="宋体" w:cs="宋体"/>
                <w:b/>
                <w:bCs/>
                <w:sz w:val="24"/>
              </w:rPr>
            </w:pPr>
            <w:r>
              <w:rPr>
                <w:rFonts w:hint="eastAsia" w:ascii="宋体" w:hAnsi="宋体" w:cs="宋体"/>
                <w:b/>
                <w:bCs/>
                <w:sz w:val="24"/>
              </w:rPr>
              <w:t>3、邱总您好，结合公司2026年半年度财报，我对部分财务指标的变动及资产负债结构比较关注。首先，报告期内公司经营活动产生的现金流量净额达到13.74亿元（同比增长9.28%），表现优异；但归母净利润却同比下降5.43%，导致经营活动净现金流与净利润的比值呈现下滑趋势。请问财务总监，这种盈利质量指标的变化主要受哪些营运资金（如应收账款或存货）变动的影响？未来在提升账面利润与现金流匹配度方面有何具体规划？</w:t>
            </w:r>
          </w:p>
          <w:p w14:paraId="2EEFCC78">
            <w:pPr>
              <w:rPr>
                <w:rFonts w:hint="eastAsia" w:ascii="宋体" w:hAnsi="宋体" w:cs="宋体"/>
                <w:b w:val="0"/>
                <w:bCs w:val="0"/>
                <w:sz w:val="24"/>
              </w:rPr>
            </w:pPr>
            <w:r>
              <w:rPr>
                <w:rFonts w:hint="eastAsia" w:ascii="宋体" w:hAnsi="宋体" w:cs="宋体"/>
                <w:b w:val="0"/>
                <w:bCs w:val="0"/>
                <w:sz w:val="24"/>
              </w:rPr>
              <w:t>尊敬的投资者您好，经营活动产生的现金流量净额变动主要系销售商品、提供劳务收到的现金增加超过购买商品、接受劳务支付的现金增加所致，公司整体保持健康稳健的现金流水平。感谢您对公司的关注。</w:t>
            </w:r>
          </w:p>
          <w:p w14:paraId="358711C4">
            <w:pPr>
              <w:rPr>
                <w:rFonts w:hint="eastAsia" w:ascii="宋体" w:hAnsi="宋体" w:cs="宋体"/>
                <w:b w:val="0"/>
                <w:bCs w:val="0"/>
                <w:sz w:val="24"/>
              </w:rPr>
            </w:pPr>
          </w:p>
          <w:p w14:paraId="6F4D0CE4">
            <w:pPr>
              <w:rPr>
                <w:rFonts w:hint="eastAsia" w:ascii="宋体" w:hAnsi="宋体" w:cs="宋体"/>
                <w:b/>
                <w:bCs/>
                <w:sz w:val="24"/>
              </w:rPr>
            </w:pPr>
            <w:r>
              <w:rPr>
                <w:rFonts w:hint="eastAsia" w:ascii="宋体" w:hAnsi="宋体" w:cs="宋体"/>
                <w:b/>
                <w:bCs/>
                <w:sz w:val="24"/>
              </w:rPr>
              <w:t>4、沈董您好，作为长期关注公司发展的中小股东，我非常认可公司在亚洲区域内集装箱航运市场的差异化战略定位。但结合2026年半年度报告，我注意到公司上半年实现营业收入37.22亿元（同比增长10.16%），但归母净利润却下滑至7.51亿元（同比下降5.43%），呈现出明显的“增收不增利”现象。请问管理层如何看待上半年在区域内运输需求保持较快增长（同比增长9.9%）的背景下，因航线竞争加剧及运价局部承压（如至日本运价同比下降5.79%）带来的盈利困境？</w:t>
            </w:r>
          </w:p>
          <w:p w14:paraId="7EB486CE">
            <w:pPr>
              <w:rPr>
                <w:rFonts w:hint="eastAsia" w:ascii="宋体" w:hAnsi="宋体" w:cs="宋体"/>
                <w:b w:val="0"/>
                <w:bCs w:val="0"/>
                <w:sz w:val="24"/>
              </w:rPr>
            </w:pPr>
            <w:r>
              <w:rPr>
                <w:rFonts w:hint="eastAsia" w:ascii="宋体" w:hAnsi="宋体" w:cs="宋体"/>
                <w:b w:val="0"/>
                <w:bCs w:val="0"/>
                <w:sz w:val="24"/>
              </w:rPr>
              <w:t>尊敬的投资者您好，2026年上半年，公司继续嫁接精品航线服务，在东南亚市场打开增量空间，推出多条航线产品，东南亚区域航线蓄力增效。上半年收入上涨主要得益于公司箱量实现增长，2026年1-6月公司完成集装箱承运总箱量145.57万标准箱，同比增长11.16%。上半年成本上升主要系公司运力增加所致，截至2026年6月30日，公司总运力达6.7万TEU，较去年同期增加0.9万TEU。叠加国际燃油价格及船舶租金仍处于相对高位，2026年上半年公司成本整体承压，详情请见公司2026年8月28日发布的《锦江航运2026年半年度报告》。感谢您对公司的关注。</w:t>
            </w:r>
          </w:p>
          <w:p w14:paraId="43DC7FA7">
            <w:pPr>
              <w:rPr>
                <w:rFonts w:hint="eastAsia" w:ascii="宋体" w:hAnsi="宋体" w:cs="宋体"/>
                <w:b w:val="0"/>
                <w:bCs w:val="0"/>
                <w:sz w:val="24"/>
              </w:rPr>
            </w:pPr>
          </w:p>
          <w:p w14:paraId="0A759DB3">
            <w:pPr>
              <w:rPr>
                <w:rFonts w:hint="eastAsia" w:ascii="宋体" w:hAnsi="宋体" w:cs="宋体"/>
                <w:b/>
                <w:bCs/>
                <w:sz w:val="24"/>
              </w:rPr>
            </w:pPr>
            <w:r>
              <w:rPr>
                <w:rFonts w:hint="eastAsia" w:ascii="宋体" w:hAnsi="宋体" w:cs="宋体"/>
                <w:b/>
                <w:bCs/>
                <w:sz w:val="24"/>
              </w:rPr>
              <w:t>5、此外，公司正稳步推进“4+4”艘1800TEU集装箱船的建造计划，预计2028年开始交付。在当前全球宏观经济增速放缓、且未来一两年区域内1800TEU至3000TEU船型面临交付高峰的背景下，公司如何评估这些重资产投资在未来可能面临的运力过剩风险？在推进“丝路快航”系列精品航线及端到端物流体系建设的过程中，管理层有何具体的利润修复时间表以保障中小股东的长期回报？</w:t>
            </w:r>
          </w:p>
          <w:p w14:paraId="27A6FCEF">
            <w:pPr>
              <w:rPr>
                <w:rFonts w:hint="eastAsia" w:ascii="宋体" w:hAnsi="宋体" w:cs="宋体"/>
                <w:b w:val="0"/>
                <w:bCs w:val="0"/>
                <w:sz w:val="24"/>
              </w:rPr>
            </w:pPr>
            <w:r>
              <w:rPr>
                <w:rFonts w:hint="eastAsia" w:ascii="宋体" w:hAnsi="宋体" w:cs="宋体"/>
                <w:b w:val="0"/>
                <w:bCs w:val="0"/>
                <w:sz w:val="24"/>
              </w:rPr>
              <w:t>尊敬的投资者您好，2026年上半年，亚洲区域内集装箱航运市场呈现“需求回暖、供给结构性偏紧、运价局部承压”的特点。从需求端来看，亚洲区域内集装箱运输需求保持活跃。集装箱贸易统计（CTS）数据显示，2026年上半年全球集装箱贸易量同比增长5.0%，亚洲区域内集装箱海运贸易量同比增长9.9%，区域内市场增速持续高于全球集装箱市场平均水平。从供给端来看，支线型船舶供给增量相对有限且老龄化趋势明显。根据Clarksons数据显示，亚洲区域内主力船型（3,000TEU以下集装箱船）新交付运力3.4万TEU，占全球新交付运力4.8%，且仅占该类型船舶现有总运力1.14%。同时船龄超过25年的运力占比约为16%，船龄在21至24年的运力占比约为14%。随着部分老旧船舶逐步进入拆解或退出阶段，未来该类船型的有效运力供给可能进一步收紧。</w:t>
            </w:r>
          </w:p>
          <w:p w14:paraId="70F52CC2">
            <w:pPr>
              <w:rPr>
                <w:rFonts w:hint="eastAsia" w:ascii="宋体" w:hAnsi="宋体" w:cs="宋体"/>
                <w:b w:val="0"/>
                <w:bCs w:val="0"/>
                <w:sz w:val="24"/>
              </w:rPr>
            </w:pPr>
            <w:r>
              <w:rPr>
                <w:rFonts w:hint="eastAsia" w:ascii="宋体" w:hAnsi="宋体" w:cs="宋体"/>
                <w:b w:val="0"/>
                <w:bCs w:val="0"/>
                <w:sz w:val="24"/>
              </w:rPr>
              <w:t>近年来，公司持续丰富东南亚物流产业链，加快海外物流网点布局，持续完善海外属地市场“航线+物流”一体化服务网络，强化物流延伸服务能力，进一步为航运主业赋能。感谢您对公司的关注。</w:t>
            </w:r>
          </w:p>
          <w:p w14:paraId="0FCC805F">
            <w:pPr>
              <w:rPr>
                <w:rFonts w:hint="eastAsia" w:ascii="宋体" w:hAnsi="宋体" w:cs="宋体"/>
                <w:b w:val="0"/>
                <w:bCs w:val="0"/>
                <w:sz w:val="24"/>
              </w:rPr>
            </w:pPr>
          </w:p>
          <w:p w14:paraId="049F7740">
            <w:pPr>
              <w:rPr>
                <w:rFonts w:hint="eastAsia" w:ascii="宋体" w:hAnsi="宋体" w:cs="宋体"/>
                <w:b/>
                <w:bCs/>
                <w:sz w:val="24"/>
              </w:rPr>
            </w:pPr>
            <w:r>
              <w:rPr>
                <w:rFonts w:hint="eastAsia" w:ascii="宋体" w:hAnsi="宋体" w:cs="宋体"/>
                <w:b/>
                <w:bCs/>
                <w:sz w:val="24"/>
              </w:rPr>
              <w:t>6、汪女士您好，作为中小投资者，我非常关心公司的市值管理、投资者回报以及治理透明度。公司在半年报中披露了拟每10股派发现金红利2.33元（含税）的中期分配方案，合计派发3.02亿元，占上半年归母净利润的40.13%。请问董秘，公司未来是否会将这种高比例的中期分红机制常态化？在落实“提质增效重回报”行动方案时，除了现金分红，公司是否还有进一步的股份回购或市值管理计划，以提振目前二级市场的投资者信心？</w:t>
            </w:r>
          </w:p>
          <w:p w14:paraId="0D32A88D">
            <w:pPr>
              <w:rPr>
                <w:rFonts w:hint="eastAsia" w:ascii="宋体" w:hAnsi="宋体" w:cs="宋体"/>
                <w:b w:val="0"/>
                <w:bCs w:val="0"/>
                <w:sz w:val="24"/>
              </w:rPr>
            </w:pPr>
            <w:r>
              <w:rPr>
                <w:rFonts w:hint="eastAsia" w:ascii="宋体" w:hAnsi="宋体" w:cs="宋体"/>
                <w:b w:val="0"/>
                <w:bCs w:val="0"/>
                <w:sz w:val="24"/>
              </w:rPr>
              <w:t>尊敬的投资者您好，公司一直高度重视维护全体股东利益和公司价值。公司实施稳定且可预期的分红策略，切实增加投资者的获得感。2026年半年度再次实施中期分红，向全体股东每10股派发现金红利2.33元（含税），合计约3.02亿元（含税），该利润分配方案已经公司2026年第一次临时股东会审议通过。未来公司将继续结合自身经营情况及资金需求，寻求股东回报与可持续发展之间的平衡，更好地回馈股东。</w:t>
            </w:r>
          </w:p>
          <w:p w14:paraId="22B7AB44">
            <w:pPr>
              <w:rPr>
                <w:rFonts w:hint="eastAsia" w:ascii="宋体" w:hAnsi="宋体" w:cs="宋体"/>
                <w:b w:val="0"/>
                <w:bCs w:val="0"/>
                <w:sz w:val="24"/>
              </w:rPr>
            </w:pPr>
            <w:r>
              <w:rPr>
                <w:rFonts w:hint="eastAsia" w:ascii="宋体" w:hAnsi="宋体" w:cs="宋体"/>
                <w:b w:val="0"/>
                <w:bCs w:val="0"/>
                <w:sz w:val="24"/>
              </w:rPr>
              <w:t>公司于2025年12月27日发布了《锦江航运关于提质增效重回报行动方案》。首先公司锚定核心竞争优势，提升经营质量，以稳定的经营业绩夯实股东回报基础。同时，公司牢固树立投资者回报意识，将继续通过实施稳定且可预期的分红政策，与股东共享企业发展成果，实现公司价值、股东价值的最大化。此外，公司构建多维度沟通渠道，充分分享资本市场的价值传递功能。公司于2026年5月参与上海国有控股上市公司集体业绩说明会，董事长、高级管理层与投资者面对面沟通；同时通过股东会、投资者活动、投资者热线、邮箱、上证e互动等方式，构建常态化沟通渠道，并结合定期报告制作一图读懂，增加业绩可读性。感谢您对公司的关注。</w:t>
            </w:r>
          </w:p>
          <w:p w14:paraId="2F5DC6E1">
            <w:pPr>
              <w:rPr>
                <w:rFonts w:hint="eastAsia" w:ascii="宋体" w:hAnsi="宋体" w:cs="宋体"/>
                <w:b w:val="0"/>
                <w:bCs w:val="0"/>
                <w:sz w:val="24"/>
              </w:rPr>
            </w:pPr>
          </w:p>
          <w:p w14:paraId="1E40F9B6">
            <w:pPr>
              <w:rPr>
                <w:rFonts w:hint="eastAsia" w:ascii="宋体" w:hAnsi="宋体" w:cs="宋体"/>
                <w:b/>
                <w:bCs/>
                <w:sz w:val="24"/>
              </w:rPr>
            </w:pPr>
            <w:r>
              <w:rPr>
                <w:rFonts w:hint="eastAsia" w:ascii="宋体" w:hAnsi="宋体" w:cs="宋体"/>
                <w:b/>
                <w:bCs/>
                <w:sz w:val="24"/>
              </w:rPr>
              <w:t>7、陈总您好，在仔细研读2026年半年度财报后，我对公司各业务板块的经营情况非常关注。报告显示，公司上半年集装箱承运总箱量有所增加，但营业成本同比增长了17.36%，远高于营收10.16%的增速，导致毛利率和净利率双双下滑。请问管理层，面对国际油价宽幅震荡以及支线型船舶租船市场延续偏紧格局导致的高昂成本，公司在下半年传统旺季期间，有哪些实质性的降本增效举措来缓解成本端的挤压？</w:t>
            </w:r>
          </w:p>
          <w:p w14:paraId="4C02FDE6">
            <w:pPr>
              <w:rPr>
                <w:rFonts w:hint="eastAsia" w:ascii="宋体" w:hAnsi="宋体" w:cs="宋体"/>
                <w:b w:val="0"/>
                <w:bCs w:val="0"/>
                <w:sz w:val="24"/>
              </w:rPr>
            </w:pPr>
            <w:r>
              <w:rPr>
                <w:rFonts w:hint="eastAsia" w:ascii="宋体" w:hAnsi="宋体" w:cs="宋体"/>
                <w:b w:val="0"/>
                <w:bCs w:val="0"/>
                <w:sz w:val="24"/>
              </w:rPr>
              <w:t>尊敬的投资者您好，下半年，公司将始终坚持稳中求进工作总基调，坚守差异化的品牌服务优势，充分释放产业链协同优势与企业内生发展动能，主动抢抓市场、积极作为，稳定传统优势航线，进一步凸显东南亚第二增长极，稳步拓展其他新兴区域。同时，不断加强物流延伸业务协同赋能效应，进一步提升韧性、巩固优势，以自身的可持续发展能力和稳定的经营业绩来应对外部环境的不确定性，实现企业高质量可持续发展，为全体股东和投资者创造长期价值与持续回报。感谢您对公司的关注。</w:t>
            </w:r>
          </w:p>
          <w:p w14:paraId="52F27619">
            <w:pPr>
              <w:rPr>
                <w:rFonts w:hint="eastAsia" w:ascii="宋体" w:hAnsi="宋体" w:cs="宋体"/>
                <w:b w:val="0"/>
                <w:bCs w:val="0"/>
                <w:sz w:val="24"/>
              </w:rPr>
            </w:pPr>
          </w:p>
          <w:p w14:paraId="1C864F20">
            <w:pPr>
              <w:rPr>
                <w:rFonts w:hint="eastAsia" w:ascii="宋体" w:hAnsi="宋体" w:cs="宋体"/>
                <w:b/>
                <w:bCs/>
                <w:sz w:val="24"/>
              </w:rPr>
            </w:pPr>
            <w:r>
              <w:rPr>
                <w:rFonts w:hint="eastAsia" w:ascii="宋体" w:hAnsi="宋体" w:cs="宋体"/>
                <w:b/>
                <w:bCs/>
                <w:sz w:val="24"/>
              </w:rPr>
              <w:t>8、其次，财报显示公司资产负债率仅为19%左右，且账面拥有充裕的净现金（一季度末达42.55亿元），但一季度财务费用却同比暴增109.61%。请问在如此低的负债水平下，财务费用的激增是否主要受汇率变动及大额汇兑损失影响？面对未来潜在的汇率波动风险，公司目前采取了哪些金融衍生品对冲工具？另外，在推进新造船计划及海外物流项目投资的过程中，计财部对下半年的资本开支节奏和资金使用效率有何具体的预算管控方案？</w:t>
            </w:r>
          </w:p>
          <w:p w14:paraId="77EC4357">
            <w:pPr>
              <w:rPr>
                <w:rFonts w:hint="eastAsia" w:ascii="宋体" w:hAnsi="宋体" w:cs="宋体"/>
                <w:b w:val="0"/>
                <w:bCs w:val="0"/>
                <w:sz w:val="24"/>
              </w:rPr>
            </w:pPr>
            <w:r>
              <w:rPr>
                <w:rFonts w:hint="eastAsia" w:ascii="宋体" w:hAnsi="宋体" w:cs="宋体"/>
                <w:b w:val="0"/>
                <w:bCs w:val="0"/>
                <w:sz w:val="24"/>
              </w:rPr>
              <w:t>尊敬的投资者您好，截至2026年6月30日，公司财务费用增加主要系汇兑收益减少所致。锦江航运是一家综合性航运公司，主要从事国际、国内海上集装箱运输业务，多年来持续深耕东北亚、东南亚和国内航线。公司存在以美元、日元等外币结算的业务收支，公司通过监控外币资产规模及实施外币交易策略，以应对外汇波动风险。感谢您对公司的关注。</w:t>
            </w:r>
          </w:p>
          <w:p w14:paraId="48E40382">
            <w:pPr>
              <w:rPr>
                <w:rFonts w:hint="eastAsia" w:ascii="宋体" w:hAnsi="宋体" w:cs="宋体"/>
                <w:b w:val="0"/>
                <w:bCs w:val="0"/>
                <w:sz w:val="24"/>
              </w:rPr>
            </w:pPr>
          </w:p>
          <w:p w14:paraId="47055C9D">
            <w:pPr>
              <w:rPr>
                <w:rFonts w:hint="eastAsia" w:ascii="宋体" w:hAnsi="宋体" w:cs="宋体"/>
                <w:b/>
                <w:bCs/>
                <w:sz w:val="24"/>
              </w:rPr>
            </w:pPr>
            <w:r>
              <w:rPr>
                <w:rFonts w:hint="eastAsia" w:ascii="宋体" w:hAnsi="宋体" w:cs="宋体"/>
                <w:b/>
                <w:bCs/>
                <w:sz w:val="24"/>
              </w:rPr>
              <w:t>9、泰国丝路快航精品航线投入4艘1900TEU自有船舶独立运营，目前该航线的装载率和运价水平如何，与公司传统中日航线相比盈利能力处于什么水平；8.2亿元新造船合同和8.54亿元募集资金增资满强航运，目前新造船的交付时间表如何，投产后对运力规模和航线覆盖的增量贡献预计在什么时间体现</w:t>
            </w:r>
          </w:p>
          <w:p w14:paraId="5C010C0C">
            <w:pPr>
              <w:rPr>
                <w:rFonts w:hint="eastAsia" w:ascii="宋体" w:hAnsi="宋体" w:cs="宋体"/>
                <w:b w:val="0"/>
                <w:bCs w:val="0"/>
                <w:sz w:val="24"/>
              </w:rPr>
            </w:pPr>
            <w:r>
              <w:rPr>
                <w:rFonts w:hint="eastAsia" w:ascii="宋体" w:hAnsi="宋体" w:cs="宋体"/>
                <w:b w:val="0"/>
                <w:bCs w:val="0"/>
                <w:sz w:val="24"/>
              </w:rPr>
              <w:t>尊敬的投资者您好，锦江航运是一家综合性航运公司，主要从事国际、国内海上集装箱运输业务，多年来持续深耕东北亚、东南亚和国内航线。公司坚守品牌战略，以船舶高准班率为支撑，以HDS（Hot Delivery Service）等特色服务为依托，打造了上海日本、太仓日本、青岛日本、大连日本等多条精品航线，公司将精品服务理念复制于东南亚区域，陆续开设海防丝路快航、胡志明丝路快航、泰国丝路快航等快航产品，串联日本地区精品航线，进一步深化了中日“两个圆心”及中国和东南亚主要港口“双向辐射”的布局；公司延伸服务触角至新兴区域，布局南亚及中东航线，进一步织密亚洲区域服务网络，把握新兴市场增长机遇。</w:t>
            </w:r>
          </w:p>
          <w:p w14:paraId="41AA5D30">
            <w:pPr>
              <w:rPr>
                <w:rFonts w:hint="eastAsia" w:ascii="宋体" w:hAnsi="宋体" w:cs="宋体"/>
                <w:b w:val="0"/>
                <w:bCs w:val="0"/>
                <w:sz w:val="24"/>
              </w:rPr>
            </w:pPr>
            <w:r>
              <w:rPr>
                <w:rFonts w:hint="eastAsia" w:ascii="宋体" w:hAnsi="宋体" w:cs="宋体"/>
                <w:b w:val="0"/>
                <w:bCs w:val="0"/>
                <w:sz w:val="24"/>
              </w:rPr>
              <w:t>2026年，公司继续加强区域间的航线联动、深化航线串联设计，打造东南亚精品航线“泰国丝路快航”，提供东南亚至日本的快速直航服务。航线投入运营后取得了良好的市场反馈，逐步成为区域内认可度较高的优质航线产品，进一步强化了公司东南亚区域品牌影响力。</w:t>
            </w:r>
          </w:p>
          <w:p w14:paraId="4295D59A">
            <w:pPr>
              <w:rPr>
                <w:rFonts w:hint="eastAsia" w:ascii="宋体" w:hAnsi="宋体" w:cs="宋体"/>
                <w:b w:val="0"/>
                <w:bCs w:val="0"/>
                <w:sz w:val="24"/>
              </w:rPr>
            </w:pPr>
            <w:r>
              <w:rPr>
                <w:rFonts w:hint="eastAsia" w:ascii="宋体" w:hAnsi="宋体" w:cs="宋体"/>
                <w:b w:val="0"/>
                <w:bCs w:val="0"/>
                <w:sz w:val="24"/>
              </w:rPr>
              <w:t>根据公司于2026年3月12日披露的《锦江航运关于投资建造集装箱船舶的进展公告》，公司4艘1800TEU型船舶计划于2028年6月份开始陆续交付。此外，根据公司于2026年6月24日披露的《锦江航运关于投资建造集装箱船舶的进展公告》，公司4艘1800TEU型船舶计划于2029年5月份开始陆续交付。感谢您对公司的关注。</w:t>
            </w:r>
          </w:p>
          <w:p w14:paraId="16C200D6">
            <w:pPr>
              <w:rPr>
                <w:rFonts w:hint="eastAsia" w:ascii="宋体" w:hAnsi="宋体" w:cs="宋体"/>
                <w:b w:val="0"/>
                <w:bCs w:val="0"/>
                <w:sz w:val="24"/>
              </w:rPr>
            </w:pPr>
          </w:p>
          <w:p w14:paraId="0934EDC4">
            <w:pPr>
              <w:rPr>
                <w:rFonts w:hint="eastAsia" w:ascii="宋体" w:hAnsi="宋体" w:cs="宋体"/>
                <w:b/>
                <w:bCs/>
                <w:sz w:val="24"/>
              </w:rPr>
            </w:pPr>
            <w:r>
              <w:rPr>
                <w:rFonts w:hint="eastAsia" w:ascii="宋体" w:hAnsi="宋体" w:cs="宋体"/>
                <w:b/>
                <w:bCs/>
                <w:sz w:val="24"/>
              </w:rPr>
              <w:t>10、针对公司正在推进的“4+4”艘1800TEU新造船计划以及预留甲醇双燃料系统的绿色转型投入，请问独董团队在评估这些巨额资本开支时，如何前瞻性地监督其未来的折旧压力对利润的侵蚀风险？同时，针对公司客户集中度较高（前五大客户占比超60%）以及国际油价、船舶租金处于高位的宏观风险，独董团队将如何督促管理层完善风险预警机制，以有效防范单一市场波动或成本失控带来的经营风险？</w:t>
            </w:r>
          </w:p>
          <w:p w14:paraId="6D57ED62">
            <w:pPr>
              <w:rPr>
                <w:rFonts w:hint="eastAsia" w:ascii="宋体" w:hAnsi="宋体" w:cs="宋体"/>
                <w:b w:val="0"/>
                <w:bCs w:val="0"/>
                <w:sz w:val="24"/>
              </w:rPr>
            </w:pPr>
            <w:r>
              <w:rPr>
                <w:rFonts w:hint="eastAsia" w:ascii="宋体" w:hAnsi="宋体" w:cs="宋体"/>
                <w:b w:val="0"/>
                <w:bCs w:val="0"/>
                <w:sz w:val="24"/>
              </w:rPr>
              <w:t>尊敬的投资者您好，公司于2025年12月26日召开了第二届董事会第六次会议，审议通过了《上海锦江航运（集团）股份有限公司关于拟投资建造4+4艘集装箱船舶的议案》，本次新造船项目是基于公司战略规划和业务发展需求作出的审慎决策。该批新建造船舶将提升公司船队规模，满足公司在东南亚区域的航线拓展需求，改善公司东南亚航线的运力结构；同时，也将为丰富“丝路快航”系列精品航线提供运力保障，进一步助力公司继续在东南亚区域复制精品服务理念。此外，公司将进一步推动东北亚区域与东南亚区域的航线串联升级，为区域内客户带来更加丰富的航线服务，助力航线经营提质增效。同时，投资建造船舶事项通过募集资金与自有资金相结合的方式实施，不会对公司短期财务状况造成较大不利影响，不存在损害公司和全体股东利益的情况。</w:t>
            </w:r>
          </w:p>
          <w:p w14:paraId="72EB8493">
            <w:pPr>
              <w:rPr>
                <w:rFonts w:hint="eastAsia" w:ascii="宋体" w:hAnsi="宋体" w:cs="宋体"/>
                <w:b w:val="0"/>
                <w:bCs w:val="0"/>
                <w:sz w:val="24"/>
              </w:rPr>
            </w:pPr>
            <w:r>
              <w:rPr>
                <w:rFonts w:hint="eastAsia" w:ascii="宋体" w:hAnsi="宋体" w:cs="宋体"/>
                <w:b w:val="0"/>
                <w:bCs w:val="0"/>
                <w:sz w:val="24"/>
              </w:rPr>
              <w:t>公司始终以差异化服务优势应对市场波动，在传统优势航线上实施品牌战略，为客户提供高质量、差异化的精品服务，上海日本航线及上海两岸间航线稳居市场占有率第一；公司在东南亚航线上持续进行精品服务嫁接，陆续开设了多条丝路快航系列产品，并通过航线升级，将东北亚精品航线与东南亚快航进行串联，进一步提升了公司精品服务的能级，精品航线理念助力公司航线经营效益提升。公司将会持续关注船舶租赁及燃油市场变化，以自身的可持续发展能力和稳定的经营业绩来应对外部环境的不确定性。感谢您对公司的关注。</w:t>
            </w:r>
          </w:p>
          <w:p w14:paraId="15868544">
            <w:pPr>
              <w:rPr>
                <w:rFonts w:hint="eastAsia" w:ascii="宋体" w:hAnsi="宋体" w:cs="宋体"/>
                <w:b w:val="0"/>
                <w:bCs w:val="0"/>
                <w:sz w:val="24"/>
              </w:rPr>
            </w:pPr>
          </w:p>
          <w:p w14:paraId="25988AA9">
            <w:pPr>
              <w:rPr>
                <w:rFonts w:hint="eastAsia" w:ascii="宋体" w:hAnsi="宋体" w:cs="宋体"/>
                <w:b/>
                <w:bCs/>
                <w:sz w:val="24"/>
              </w:rPr>
            </w:pPr>
            <w:r>
              <w:rPr>
                <w:rFonts w:hint="eastAsia" w:ascii="宋体" w:hAnsi="宋体" w:cs="宋体"/>
                <w:b/>
                <w:bCs/>
                <w:sz w:val="24"/>
              </w:rPr>
              <w:t>11、管独董您好，作为代表中小股东利益的独立董事，我十分关注公司治理的有效性以及重大战略投资的风险防范。公司目前正大力推进“一主两翼”发展战略，稳健拓展航运产业价值链并构建综合物流服务体系。请问独董团队在评估这些向上下游延伸的轻资产与重资产结合的投资项目时，如何监督其投入产出比？在管理层面临短期“增收不增利”压力的情况下，如何确保公司在追求长期战略转型的过程中，不损害中小股东的当期合法权益？</w:t>
            </w:r>
          </w:p>
          <w:p w14:paraId="434BE64A">
            <w:pPr>
              <w:rPr>
                <w:rFonts w:hint="eastAsia" w:ascii="宋体" w:hAnsi="宋体" w:cs="宋体"/>
                <w:b w:val="0"/>
                <w:bCs w:val="0"/>
                <w:sz w:val="24"/>
              </w:rPr>
            </w:pPr>
            <w:r>
              <w:rPr>
                <w:rFonts w:hint="eastAsia" w:ascii="宋体" w:hAnsi="宋体" w:cs="宋体"/>
                <w:b w:val="0"/>
                <w:bCs w:val="0"/>
                <w:sz w:val="24"/>
              </w:rPr>
              <w:t>2026年上半年，公司紧抓区域贸易发展机遇，紧扣“十五五”战略目标，扎实推进经营管理各项工作，提质增效取得积极成效。公司聚焦主业经营，为公司高质量发展筑牢稳定基础。2026年1-6月公司完成集装箱承运总箱量145.57万标准箱，同比增长11.16%；实现营业收入37.22亿元，归属于上市公司股东的净利润7.51亿元，2026年上半年整体发展态势稳健向好，为全年高质量发展打下坚实基础。</w:t>
            </w:r>
          </w:p>
          <w:p w14:paraId="0F99696C">
            <w:pPr>
              <w:rPr>
                <w:rFonts w:hint="eastAsia" w:ascii="宋体" w:hAnsi="宋体" w:cs="宋体"/>
                <w:b w:val="0"/>
                <w:bCs w:val="0"/>
                <w:sz w:val="24"/>
              </w:rPr>
            </w:pPr>
            <w:r>
              <w:rPr>
                <w:rFonts w:hint="eastAsia" w:ascii="宋体" w:hAnsi="宋体" w:cs="宋体"/>
                <w:b w:val="0"/>
                <w:bCs w:val="0"/>
                <w:sz w:val="24"/>
              </w:rPr>
              <w:t>2026年上半年，公司持续深化物流延伸服务，赋能集装箱运输主业经营。一方面，公司围绕集装箱运输主业，积极延伸航运物流服务链条，打造优质便捷的物流延伸产品，公司推出柬埔寨金边全程联运服务，进一步开拓东南亚集货扇面；增加南沙、大连等多式联运服务，拓展区域物流延伸网络；公司顺利首发“兰州-连云港-上海”海铁联运班列，打通了甘肃连接东盟、南亚的全新物流通道。另一方面，公司越南物流合资项目落地运营、泰国物流合资项目顺利签约，将为东南亚区域的航线经营与物流延伸业务提供有力支撑。</w:t>
            </w:r>
          </w:p>
          <w:p w14:paraId="4A81208B">
            <w:pPr>
              <w:rPr>
                <w:rFonts w:hint="eastAsia" w:ascii="宋体" w:hAnsi="宋体" w:cs="宋体"/>
                <w:b w:val="0"/>
                <w:bCs w:val="0"/>
                <w:sz w:val="24"/>
              </w:rPr>
            </w:pPr>
            <w:r>
              <w:rPr>
                <w:rFonts w:hint="eastAsia" w:ascii="宋体" w:hAnsi="宋体" w:cs="宋体"/>
                <w:b w:val="0"/>
                <w:bCs w:val="0"/>
                <w:sz w:val="24"/>
              </w:rPr>
              <w:t>此外，公司始终坚持规范运作理念，严格按照《公司法》《证券法》《上市公司治理准则》、中国证监会等监管部门的有关规定以及《上市规则》等要求进行运作。《公司章程》《股东会议事规则》《董事会议事规则》等内部治理制度得到有效执行；公司建立了规范的议事规则、决策机制和责任追究机制，治理机制有效发挥作用，并有效保障了公司各项行为、决策的合法、合规。同时，公司独立董事能严格按照《公司章程》《独立董事工作制度》的要求勤勉尽责地履行职权，积极参与公司决策，充分发挥其在航运、法律、财务等方面的专业特长，对完善公司的法人治理结构和规范公司运作发挥了积极的作用。感谢您对公司的关注。</w:t>
            </w:r>
          </w:p>
          <w:p w14:paraId="490170AB">
            <w:pPr>
              <w:rPr>
                <w:rFonts w:hint="eastAsia" w:ascii="宋体" w:hAnsi="宋体" w:cs="宋体"/>
                <w:b w:val="0"/>
                <w:bCs w:val="0"/>
                <w:sz w:val="24"/>
              </w:rPr>
            </w:pPr>
          </w:p>
        </w:tc>
      </w:tr>
      <w:tr w14:paraId="1FA5CEB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856" w:type="pct"/>
            <w:tcBorders>
              <w:top w:val="outset" w:color="auto" w:sz="6" w:space="0"/>
              <w:left w:val="outset" w:color="auto" w:sz="6" w:space="0"/>
              <w:bottom w:val="outset" w:color="auto" w:sz="6" w:space="0"/>
              <w:right w:val="outset" w:color="auto" w:sz="6" w:space="0"/>
            </w:tcBorders>
            <w:tcMar>
              <w:left w:w="60" w:type="dxa"/>
              <w:right w:w="60" w:type="dxa"/>
            </w:tcMar>
            <w:vAlign w:val="center"/>
          </w:tcPr>
          <w:p w14:paraId="12AF9741">
            <w:pPr>
              <w:rPr>
                <w:rFonts w:ascii="宋体" w:hAnsi="宋体" w:cs="宋体"/>
                <w:sz w:val="24"/>
              </w:rPr>
            </w:pPr>
            <w:r>
              <w:rPr>
                <w:rFonts w:hint="eastAsia" w:ascii="宋体" w:hAnsi="宋体" w:cs="宋体"/>
                <w:sz w:val="24"/>
              </w:rPr>
              <w:t>关于本次活动是否涉及应披露重大信息的说明</w:t>
            </w:r>
          </w:p>
        </w:tc>
        <w:tc>
          <w:tcPr>
            <w:tcW w:w="4143" w:type="pct"/>
            <w:tcBorders>
              <w:top w:val="outset" w:color="auto" w:sz="6" w:space="0"/>
              <w:left w:val="outset" w:color="auto" w:sz="6" w:space="0"/>
              <w:bottom w:val="outset" w:color="auto" w:sz="6" w:space="0"/>
              <w:right w:val="outset" w:color="auto" w:sz="6" w:space="0"/>
            </w:tcBorders>
            <w:tcMar>
              <w:left w:w="60" w:type="dxa"/>
              <w:right w:w="60" w:type="dxa"/>
            </w:tcMar>
            <w:vAlign w:val="center"/>
          </w:tcPr>
          <w:p w14:paraId="0E8C9C0B">
            <w:pPr>
              <w:rPr>
                <w:rFonts w:ascii="宋体" w:hAnsi="宋体" w:cs="宋体"/>
                <w:sz w:val="24"/>
              </w:rPr>
            </w:pPr>
            <w:r>
              <w:rPr>
                <w:rFonts w:hint="eastAsia" w:ascii="宋体" w:hAnsi="宋体" w:cs="宋体"/>
                <w:sz w:val="24"/>
              </w:rPr>
              <w:t>业绩说明会召开过程中，公司严格按照有关制度要求，没有出现未公开重大信息泄露等情况。</w:t>
            </w:r>
          </w:p>
        </w:tc>
      </w:tr>
    </w:tbl>
    <w:p w14:paraId="146D5A34">
      <w:pPr>
        <w:rPr>
          <w:rFonts w:ascii="宋体" w:hAnsi="宋体" w:cs="宋体"/>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k5Y2FiOGJkOGUwNGRjZjc1MWJjZWFmNDAyODNmZTcifQ=="/>
  </w:docVars>
  <w:rsids>
    <w:rsidRoot w:val="009E702F"/>
    <w:rsid w:val="0004201E"/>
    <w:rsid w:val="0006381B"/>
    <w:rsid w:val="00064A8C"/>
    <w:rsid w:val="00073A97"/>
    <w:rsid w:val="00095EF1"/>
    <w:rsid w:val="001350D6"/>
    <w:rsid w:val="0016066B"/>
    <w:rsid w:val="002D5A40"/>
    <w:rsid w:val="002E53A5"/>
    <w:rsid w:val="003621C5"/>
    <w:rsid w:val="0043308D"/>
    <w:rsid w:val="004D27B0"/>
    <w:rsid w:val="004D76B4"/>
    <w:rsid w:val="004F54E5"/>
    <w:rsid w:val="005A6631"/>
    <w:rsid w:val="005A7E89"/>
    <w:rsid w:val="005C0239"/>
    <w:rsid w:val="006F0C9A"/>
    <w:rsid w:val="006F1E62"/>
    <w:rsid w:val="00814AD6"/>
    <w:rsid w:val="008211AC"/>
    <w:rsid w:val="00966CC6"/>
    <w:rsid w:val="009E702F"/>
    <w:rsid w:val="00B52D0E"/>
    <w:rsid w:val="00C62BBE"/>
    <w:rsid w:val="00DE75A7"/>
    <w:rsid w:val="01076B2B"/>
    <w:rsid w:val="0114473E"/>
    <w:rsid w:val="01147A70"/>
    <w:rsid w:val="0127571F"/>
    <w:rsid w:val="012A4EF1"/>
    <w:rsid w:val="01382A70"/>
    <w:rsid w:val="01421F67"/>
    <w:rsid w:val="01463CD8"/>
    <w:rsid w:val="014E66F1"/>
    <w:rsid w:val="014F68B1"/>
    <w:rsid w:val="015C01E0"/>
    <w:rsid w:val="01631776"/>
    <w:rsid w:val="01634D70"/>
    <w:rsid w:val="01655295"/>
    <w:rsid w:val="019A1B66"/>
    <w:rsid w:val="019F37FC"/>
    <w:rsid w:val="019F56C8"/>
    <w:rsid w:val="01A7697E"/>
    <w:rsid w:val="01BC2B7C"/>
    <w:rsid w:val="01C55F0A"/>
    <w:rsid w:val="01D05ECF"/>
    <w:rsid w:val="01E06194"/>
    <w:rsid w:val="01F21504"/>
    <w:rsid w:val="0208138A"/>
    <w:rsid w:val="021F3044"/>
    <w:rsid w:val="0227757B"/>
    <w:rsid w:val="023218A1"/>
    <w:rsid w:val="02407B78"/>
    <w:rsid w:val="024E4A2E"/>
    <w:rsid w:val="02511705"/>
    <w:rsid w:val="02561EC5"/>
    <w:rsid w:val="02573B2E"/>
    <w:rsid w:val="02586EA4"/>
    <w:rsid w:val="02665A5B"/>
    <w:rsid w:val="02696A20"/>
    <w:rsid w:val="026C0910"/>
    <w:rsid w:val="02745316"/>
    <w:rsid w:val="027867E6"/>
    <w:rsid w:val="02862363"/>
    <w:rsid w:val="0287648E"/>
    <w:rsid w:val="02924A1A"/>
    <w:rsid w:val="02961E7D"/>
    <w:rsid w:val="02AA787A"/>
    <w:rsid w:val="02C552B3"/>
    <w:rsid w:val="02E87810"/>
    <w:rsid w:val="02EA0723"/>
    <w:rsid w:val="02F04EC2"/>
    <w:rsid w:val="0306079D"/>
    <w:rsid w:val="032F1EFD"/>
    <w:rsid w:val="03392A2F"/>
    <w:rsid w:val="034609CF"/>
    <w:rsid w:val="035D43E1"/>
    <w:rsid w:val="035E209A"/>
    <w:rsid w:val="036C63DC"/>
    <w:rsid w:val="036F2B7E"/>
    <w:rsid w:val="037D555C"/>
    <w:rsid w:val="039A23A9"/>
    <w:rsid w:val="039F08BD"/>
    <w:rsid w:val="03CF5969"/>
    <w:rsid w:val="03D95B9F"/>
    <w:rsid w:val="04383682"/>
    <w:rsid w:val="044D227D"/>
    <w:rsid w:val="04530ABE"/>
    <w:rsid w:val="0464226E"/>
    <w:rsid w:val="04656222"/>
    <w:rsid w:val="04684A1C"/>
    <w:rsid w:val="04713E32"/>
    <w:rsid w:val="04753768"/>
    <w:rsid w:val="04844E0C"/>
    <w:rsid w:val="048A6129"/>
    <w:rsid w:val="049E5890"/>
    <w:rsid w:val="04A7312B"/>
    <w:rsid w:val="04AD222C"/>
    <w:rsid w:val="04AF4D92"/>
    <w:rsid w:val="04B4429E"/>
    <w:rsid w:val="04E232E2"/>
    <w:rsid w:val="04F344C4"/>
    <w:rsid w:val="04F35F9F"/>
    <w:rsid w:val="05001867"/>
    <w:rsid w:val="050045D4"/>
    <w:rsid w:val="05025278"/>
    <w:rsid w:val="051232AA"/>
    <w:rsid w:val="052B46BA"/>
    <w:rsid w:val="05321581"/>
    <w:rsid w:val="05362205"/>
    <w:rsid w:val="053B506D"/>
    <w:rsid w:val="05417435"/>
    <w:rsid w:val="05641B30"/>
    <w:rsid w:val="05650D8D"/>
    <w:rsid w:val="0571650F"/>
    <w:rsid w:val="057821BE"/>
    <w:rsid w:val="05B04BD5"/>
    <w:rsid w:val="05C306DB"/>
    <w:rsid w:val="06057A51"/>
    <w:rsid w:val="062663F7"/>
    <w:rsid w:val="062B2A10"/>
    <w:rsid w:val="065368FD"/>
    <w:rsid w:val="065444CB"/>
    <w:rsid w:val="06627016"/>
    <w:rsid w:val="0664302F"/>
    <w:rsid w:val="066503C5"/>
    <w:rsid w:val="067216D8"/>
    <w:rsid w:val="067275AB"/>
    <w:rsid w:val="068E22AF"/>
    <w:rsid w:val="06905AB1"/>
    <w:rsid w:val="06BC757D"/>
    <w:rsid w:val="06BF0BFA"/>
    <w:rsid w:val="06F67E14"/>
    <w:rsid w:val="06F87193"/>
    <w:rsid w:val="07017D82"/>
    <w:rsid w:val="071E2AD9"/>
    <w:rsid w:val="071E5646"/>
    <w:rsid w:val="071E5764"/>
    <w:rsid w:val="07380FB2"/>
    <w:rsid w:val="07516137"/>
    <w:rsid w:val="07524D61"/>
    <w:rsid w:val="075E74D0"/>
    <w:rsid w:val="07634175"/>
    <w:rsid w:val="07955922"/>
    <w:rsid w:val="07A9767C"/>
    <w:rsid w:val="07AB569B"/>
    <w:rsid w:val="07B13F35"/>
    <w:rsid w:val="07B1744C"/>
    <w:rsid w:val="07BA2521"/>
    <w:rsid w:val="07BD0C74"/>
    <w:rsid w:val="07E141A4"/>
    <w:rsid w:val="07F041EA"/>
    <w:rsid w:val="07F753D2"/>
    <w:rsid w:val="07F807B1"/>
    <w:rsid w:val="080B3BC4"/>
    <w:rsid w:val="08162B18"/>
    <w:rsid w:val="08197426"/>
    <w:rsid w:val="081D67E6"/>
    <w:rsid w:val="08213FE9"/>
    <w:rsid w:val="082D03FD"/>
    <w:rsid w:val="082D4C7A"/>
    <w:rsid w:val="082F13A9"/>
    <w:rsid w:val="083335B0"/>
    <w:rsid w:val="08362D4D"/>
    <w:rsid w:val="08626564"/>
    <w:rsid w:val="08655DA6"/>
    <w:rsid w:val="086836C8"/>
    <w:rsid w:val="086D7793"/>
    <w:rsid w:val="08794CC3"/>
    <w:rsid w:val="0886725C"/>
    <w:rsid w:val="08867E56"/>
    <w:rsid w:val="08A841CF"/>
    <w:rsid w:val="08A92D2C"/>
    <w:rsid w:val="08D63AC8"/>
    <w:rsid w:val="08E769B0"/>
    <w:rsid w:val="08ED7E3A"/>
    <w:rsid w:val="090B3FDC"/>
    <w:rsid w:val="091C0D39"/>
    <w:rsid w:val="092E28D6"/>
    <w:rsid w:val="09304693"/>
    <w:rsid w:val="095A1B50"/>
    <w:rsid w:val="09783B19"/>
    <w:rsid w:val="097C020F"/>
    <w:rsid w:val="09876571"/>
    <w:rsid w:val="09883B7E"/>
    <w:rsid w:val="09924C8B"/>
    <w:rsid w:val="09A62830"/>
    <w:rsid w:val="09CF2892"/>
    <w:rsid w:val="09E0275F"/>
    <w:rsid w:val="09EF112A"/>
    <w:rsid w:val="0A1C28CD"/>
    <w:rsid w:val="0A656F29"/>
    <w:rsid w:val="0A7C26E0"/>
    <w:rsid w:val="0A8D2355"/>
    <w:rsid w:val="0AA21B68"/>
    <w:rsid w:val="0AE02DD9"/>
    <w:rsid w:val="0AE05AA7"/>
    <w:rsid w:val="0AFA4157"/>
    <w:rsid w:val="0AFF2EEE"/>
    <w:rsid w:val="0B1433A4"/>
    <w:rsid w:val="0B1F625F"/>
    <w:rsid w:val="0B211F60"/>
    <w:rsid w:val="0B245E98"/>
    <w:rsid w:val="0B2C12F4"/>
    <w:rsid w:val="0B472472"/>
    <w:rsid w:val="0B4A7E0E"/>
    <w:rsid w:val="0B572E84"/>
    <w:rsid w:val="0B591C8B"/>
    <w:rsid w:val="0B5A2D4D"/>
    <w:rsid w:val="0B5F4E32"/>
    <w:rsid w:val="0B6F66DC"/>
    <w:rsid w:val="0B72687D"/>
    <w:rsid w:val="0B7B3103"/>
    <w:rsid w:val="0B827EAB"/>
    <w:rsid w:val="0BA9661F"/>
    <w:rsid w:val="0BB3717E"/>
    <w:rsid w:val="0BB543E2"/>
    <w:rsid w:val="0BB73055"/>
    <w:rsid w:val="0BE4036D"/>
    <w:rsid w:val="0BF329F1"/>
    <w:rsid w:val="0BF9326D"/>
    <w:rsid w:val="0C031E81"/>
    <w:rsid w:val="0C0F2D77"/>
    <w:rsid w:val="0C152A87"/>
    <w:rsid w:val="0C425854"/>
    <w:rsid w:val="0C4A3D93"/>
    <w:rsid w:val="0C67225D"/>
    <w:rsid w:val="0C970AA3"/>
    <w:rsid w:val="0C9A469A"/>
    <w:rsid w:val="0CA4796D"/>
    <w:rsid w:val="0CC35C27"/>
    <w:rsid w:val="0CCC0514"/>
    <w:rsid w:val="0CCD0A8A"/>
    <w:rsid w:val="0D294D1D"/>
    <w:rsid w:val="0D4151C6"/>
    <w:rsid w:val="0D55765F"/>
    <w:rsid w:val="0D64283B"/>
    <w:rsid w:val="0D8A2F9C"/>
    <w:rsid w:val="0D8C5058"/>
    <w:rsid w:val="0D8C59A1"/>
    <w:rsid w:val="0D9966A6"/>
    <w:rsid w:val="0D9D0155"/>
    <w:rsid w:val="0DA758BD"/>
    <w:rsid w:val="0DB53F97"/>
    <w:rsid w:val="0DC64B47"/>
    <w:rsid w:val="0DCD652D"/>
    <w:rsid w:val="0E0C5686"/>
    <w:rsid w:val="0E1704E7"/>
    <w:rsid w:val="0E2D60D6"/>
    <w:rsid w:val="0E4E6C09"/>
    <w:rsid w:val="0E586D15"/>
    <w:rsid w:val="0E6217CA"/>
    <w:rsid w:val="0E7A0181"/>
    <w:rsid w:val="0E891AA8"/>
    <w:rsid w:val="0EA106B1"/>
    <w:rsid w:val="0EAA4452"/>
    <w:rsid w:val="0EB50920"/>
    <w:rsid w:val="0EB63B39"/>
    <w:rsid w:val="0EC12F5C"/>
    <w:rsid w:val="0EC570D1"/>
    <w:rsid w:val="0EDA268C"/>
    <w:rsid w:val="0EDC39EB"/>
    <w:rsid w:val="0EDF766C"/>
    <w:rsid w:val="0EE82178"/>
    <w:rsid w:val="0F071FD6"/>
    <w:rsid w:val="0F0D1202"/>
    <w:rsid w:val="0F193B1A"/>
    <w:rsid w:val="0F1B5C18"/>
    <w:rsid w:val="0F3220B0"/>
    <w:rsid w:val="0F3C66AB"/>
    <w:rsid w:val="0F510BF3"/>
    <w:rsid w:val="0F5C424C"/>
    <w:rsid w:val="0F6A15DF"/>
    <w:rsid w:val="0F6F2005"/>
    <w:rsid w:val="0F795148"/>
    <w:rsid w:val="0F7F0ADD"/>
    <w:rsid w:val="0F802D12"/>
    <w:rsid w:val="0F987229"/>
    <w:rsid w:val="0FD20477"/>
    <w:rsid w:val="0FD348BB"/>
    <w:rsid w:val="0FF32D64"/>
    <w:rsid w:val="0FF50BA9"/>
    <w:rsid w:val="0FFD006E"/>
    <w:rsid w:val="10051499"/>
    <w:rsid w:val="100B3CF0"/>
    <w:rsid w:val="10255177"/>
    <w:rsid w:val="103A5B0A"/>
    <w:rsid w:val="103C3FDD"/>
    <w:rsid w:val="104E1678"/>
    <w:rsid w:val="106112E6"/>
    <w:rsid w:val="106C17F0"/>
    <w:rsid w:val="108335E5"/>
    <w:rsid w:val="10834172"/>
    <w:rsid w:val="109E063D"/>
    <w:rsid w:val="109F26FE"/>
    <w:rsid w:val="10A27EE9"/>
    <w:rsid w:val="10DE7BA0"/>
    <w:rsid w:val="10FA79B8"/>
    <w:rsid w:val="1102201D"/>
    <w:rsid w:val="110C45E8"/>
    <w:rsid w:val="11183D5D"/>
    <w:rsid w:val="113D25FD"/>
    <w:rsid w:val="11410269"/>
    <w:rsid w:val="114A0923"/>
    <w:rsid w:val="114E629C"/>
    <w:rsid w:val="11535E74"/>
    <w:rsid w:val="116337B4"/>
    <w:rsid w:val="1171485A"/>
    <w:rsid w:val="11731ED8"/>
    <w:rsid w:val="117D06F5"/>
    <w:rsid w:val="11872A60"/>
    <w:rsid w:val="11B85BA2"/>
    <w:rsid w:val="11B908EB"/>
    <w:rsid w:val="11EE77B0"/>
    <w:rsid w:val="11FA6931"/>
    <w:rsid w:val="120A7ACC"/>
    <w:rsid w:val="12167847"/>
    <w:rsid w:val="121825D4"/>
    <w:rsid w:val="122A57A5"/>
    <w:rsid w:val="12515CCB"/>
    <w:rsid w:val="125B5DB5"/>
    <w:rsid w:val="125C7347"/>
    <w:rsid w:val="127043EE"/>
    <w:rsid w:val="12810408"/>
    <w:rsid w:val="128C0F76"/>
    <w:rsid w:val="12946FB9"/>
    <w:rsid w:val="12B8581F"/>
    <w:rsid w:val="12BA35F8"/>
    <w:rsid w:val="12C54A77"/>
    <w:rsid w:val="12C75B56"/>
    <w:rsid w:val="12D7072C"/>
    <w:rsid w:val="12D727FD"/>
    <w:rsid w:val="12E1539E"/>
    <w:rsid w:val="12ED4E5D"/>
    <w:rsid w:val="12FD669F"/>
    <w:rsid w:val="130D178D"/>
    <w:rsid w:val="132B3906"/>
    <w:rsid w:val="132D268B"/>
    <w:rsid w:val="133F5EBE"/>
    <w:rsid w:val="13493583"/>
    <w:rsid w:val="134B6796"/>
    <w:rsid w:val="134F152E"/>
    <w:rsid w:val="13514F36"/>
    <w:rsid w:val="13533091"/>
    <w:rsid w:val="1366667E"/>
    <w:rsid w:val="13751D98"/>
    <w:rsid w:val="139F020F"/>
    <w:rsid w:val="13A10BB3"/>
    <w:rsid w:val="13A14D84"/>
    <w:rsid w:val="13A9445E"/>
    <w:rsid w:val="13AE59AF"/>
    <w:rsid w:val="13BC1C7E"/>
    <w:rsid w:val="13D6442E"/>
    <w:rsid w:val="13EA3317"/>
    <w:rsid w:val="13ED4D64"/>
    <w:rsid w:val="13F463F5"/>
    <w:rsid w:val="13F5172B"/>
    <w:rsid w:val="1406270A"/>
    <w:rsid w:val="143B2F20"/>
    <w:rsid w:val="143D2728"/>
    <w:rsid w:val="14446C2A"/>
    <w:rsid w:val="1461411C"/>
    <w:rsid w:val="14777AEE"/>
    <w:rsid w:val="14A66118"/>
    <w:rsid w:val="14C350E8"/>
    <w:rsid w:val="14C563EC"/>
    <w:rsid w:val="14C72404"/>
    <w:rsid w:val="14C873A3"/>
    <w:rsid w:val="14FA1F12"/>
    <w:rsid w:val="150408B3"/>
    <w:rsid w:val="150C67EB"/>
    <w:rsid w:val="151227CB"/>
    <w:rsid w:val="151B251A"/>
    <w:rsid w:val="15343347"/>
    <w:rsid w:val="15517328"/>
    <w:rsid w:val="15575EA5"/>
    <w:rsid w:val="155B5712"/>
    <w:rsid w:val="156E0DE1"/>
    <w:rsid w:val="15775E4A"/>
    <w:rsid w:val="15917E4C"/>
    <w:rsid w:val="15951F30"/>
    <w:rsid w:val="15954664"/>
    <w:rsid w:val="159D7724"/>
    <w:rsid w:val="15A75A53"/>
    <w:rsid w:val="15B86E19"/>
    <w:rsid w:val="15BF3641"/>
    <w:rsid w:val="15D5476C"/>
    <w:rsid w:val="15D55BDE"/>
    <w:rsid w:val="16162D1A"/>
    <w:rsid w:val="161E55F6"/>
    <w:rsid w:val="16245F9A"/>
    <w:rsid w:val="1628309F"/>
    <w:rsid w:val="164B6FAE"/>
    <w:rsid w:val="168836B9"/>
    <w:rsid w:val="16890913"/>
    <w:rsid w:val="1690070A"/>
    <w:rsid w:val="16A909BC"/>
    <w:rsid w:val="16CA37B4"/>
    <w:rsid w:val="16D07BFC"/>
    <w:rsid w:val="16E15B36"/>
    <w:rsid w:val="16F46CF7"/>
    <w:rsid w:val="171A2CA8"/>
    <w:rsid w:val="174E2EDF"/>
    <w:rsid w:val="1753329D"/>
    <w:rsid w:val="175D5098"/>
    <w:rsid w:val="176F47CA"/>
    <w:rsid w:val="176F71BD"/>
    <w:rsid w:val="177223AF"/>
    <w:rsid w:val="177C5E03"/>
    <w:rsid w:val="17923C31"/>
    <w:rsid w:val="179B3FFE"/>
    <w:rsid w:val="17A328EF"/>
    <w:rsid w:val="18000D9C"/>
    <w:rsid w:val="180E0E38"/>
    <w:rsid w:val="180E454D"/>
    <w:rsid w:val="181B297B"/>
    <w:rsid w:val="184927DF"/>
    <w:rsid w:val="18661F61"/>
    <w:rsid w:val="1887284B"/>
    <w:rsid w:val="18934601"/>
    <w:rsid w:val="18A07E56"/>
    <w:rsid w:val="18AD3FD0"/>
    <w:rsid w:val="18B350D2"/>
    <w:rsid w:val="18B6557F"/>
    <w:rsid w:val="18BA03EC"/>
    <w:rsid w:val="18BB7430"/>
    <w:rsid w:val="18BE4503"/>
    <w:rsid w:val="18D24B05"/>
    <w:rsid w:val="18D96FB9"/>
    <w:rsid w:val="18E25106"/>
    <w:rsid w:val="190C599A"/>
    <w:rsid w:val="19150C42"/>
    <w:rsid w:val="19231694"/>
    <w:rsid w:val="19236A3E"/>
    <w:rsid w:val="19293DB7"/>
    <w:rsid w:val="192E261F"/>
    <w:rsid w:val="19405010"/>
    <w:rsid w:val="194F4AFC"/>
    <w:rsid w:val="19563218"/>
    <w:rsid w:val="1963660D"/>
    <w:rsid w:val="198E32F2"/>
    <w:rsid w:val="19B50DDC"/>
    <w:rsid w:val="19B919D4"/>
    <w:rsid w:val="19C85FD7"/>
    <w:rsid w:val="19CC02A1"/>
    <w:rsid w:val="19CD0B02"/>
    <w:rsid w:val="19D07333"/>
    <w:rsid w:val="19D9434F"/>
    <w:rsid w:val="19DF4F47"/>
    <w:rsid w:val="19E67EDA"/>
    <w:rsid w:val="19F53171"/>
    <w:rsid w:val="1A2C555B"/>
    <w:rsid w:val="1A450554"/>
    <w:rsid w:val="1A4E19F2"/>
    <w:rsid w:val="1A5035DD"/>
    <w:rsid w:val="1A6301DF"/>
    <w:rsid w:val="1A8B092D"/>
    <w:rsid w:val="1A8B2040"/>
    <w:rsid w:val="1A8C5881"/>
    <w:rsid w:val="1A8F3BA1"/>
    <w:rsid w:val="1A9869C5"/>
    <w:rsid w:val="1AA12F45"/>
    <w:rsid w:val="1AA51F1B"/>
    <w:rsid w:val="1AB03139"/>
    <w:rsid w:val="1AB328D9"/>
    <w:rsid w:val="1AC94020"/>
    <w:rsid w:val="1AD147D1"/>
    <w:rsid w:val="1AE129FC"/>
    <w:rsid w:val="1AE17DFD"/>
    <w:rsid w:val="1AE7389D"/>
    <w:rsid w:val="1B171063"/>
    <w:rsid w:val="1B1C4BD7"/>
    <w:rsid w:val="1B221B2B"/>
    <w:rsid w:val="1B291B63"/>
    <w:rsid w:val="1B2C4772"/>
    <w:rsid w:val="1B3A2150"/>
    <w:rsid w:val="1B410240"/>
    <w:rsid w:val="1B591AE4"/>
    <w:rsid w:val="1B76781A"/>
    <w:rsid w:val="1B8F3AD3"/>
    <w:rsid w:val="1BA626E3"/>
    <w:rsid w:val="1BAA4834"/>
    <w:rsid w:val="1BB27700"/>
    <w:rsid w:val="1BC34874"/>
    <w:rsid w:val="1BC66153"/>
    <w:rsid w:val="1BD07151"/>
    <w:rsid w:val="1BE202CD"/>
    <w:rsid w:val="1BE33F1D"/>
    <w:rsid w:val="1C161DDD"/>
    <w:rsid w:val="1C327736"/>
    <w:rsid w:val="1C3F1E30"/>
    <w:rsid w:val="1C403D91"/>
    <w:rsid w:val="1C520476"/>
    <w:rsid w:val="1C565B26"/>
    <w:rsid w:val="1C583F1F"/>
    <w:rsid w:val="1C807771"/>
    <w:rsid w:val="1C89189F"/>
    <w:rsid w:val="1C9966D4"/>
    <w:rsid w:val="1C997F37"/>
    <w:rsid w:val="1CFD0AEA"/>
    <w:rsid w:val="1CFD58AE"/>
    <w:rsid w:val="1D061AD5"/>
    <w:rsid w:val="1D1533C7"/>
    <w:rsid w:val="1D295C38"/>
    <w:rsid w:val="1D521323"/>
    <w:rsid w:val="1D5D1006"/>
    <w:rsid w:val="1D5E687B"/>
    <w:rsid w:val="1D607BA6"/>
    <w:rsid w:val="1D631375"/>
    <w:rsid w:val="1D791752"/>
    <w:rsid w:val="1D856511"/>
    <w:rsid w:val="1D8A43E5"/>
    <w:rsid w:val="1D8B0E57"/>
    <w:rsid w:val="1D927B8F"/>
    <w:rsid w:val="1DA92733"/>
    <w:rsid w:val="1DC60577"/>
    <w:rsid w:val="1DC90473"/>
    <w:rsid w:val="1DCB36BF"/>
    <w:rsid w:val="1DDD2F8D"/>
    <w:rsid w:val="1DE832E5"/>
    <w:rsid w:val="1DE86B6E"/>
    <w:rsid w:val="1DEB6189"/>
    <w:rsid w:val="1DF52F3A"/>
    <w:rsid w:val="1DFF137D"/>
    <w:rsid w:val="1E2F3E25"/>
    <w:rsid w:val="1E3A578F"/>
    <w:rsid w:val="1E4918C2"/>
    <w:rsid w:val="1E7A5F70"/>
    <w:rsid w:val="1E860B80"/>
    <w:rsid w:val="1E8C3B50"/>
    <w:rsid w:val="1E90209B"/>
    <w:rsid w:val="1E9B2AB0"/>
    <w:rsid w:val="1E9F7DD5"/>
    <w:rsid w:val="1EA67B4C"/>
    <w:rsid w:val="1EB976B4"/>
    <w:rsid w:val="1EC355D3"/>
    <w:rsid w:val="1ECD6451"/>
    <w:rsid w:val="1ECE7C75"/>
    <w:rsid w:val="1ED907CD"/>
    <w:rsid w:val="1EF41A4C"/>
    <w:rsid w:val="1EF67164"/>
    <w:rsid w:val="1EFB6A59"/>
    <w:rsid w:val="1F052328"/>
    <w:rsid w:val="1F184017"/>
    <w:rsid w:val="1F1A1A85"/>
    <w:rsid w:val="1F1A6FD2"/>
    <w:rsid w:val="1F1B1E5A"/>
    <w:rsid w:val="1F3800FE"/>
    <w:rsid w:val="1F645261"/>
    <w:rsid w:val="1F6C2F88"/>
    <w:rsid w:val="1F8B037A"/>
    <w:rsid w:val="1F8B0B84"/>
    <w:rsid w:val="1FB259DC"/>
    <w:rsid w:val="1FB94270"/>
    <w:rsid w:val="1FC5306E"/>
    <w:rsid w:val="1FCA70A0"/>
    <w:rsid w:val="1FE1061D"/>
    <w:rsid w:val="1FE11F6D"/>
    <w:rsid w:val="1FE77A2F"/>
    <w:rsid w:val="1FED3650"/>
    <w:rsid w:val="20117093"/>
    <w:rsid w:val="20230F26"/>
    <w:rsid w:val="202376CF"/>
    <w:rsid w:val="2027451F"/>
    <w:rsid w:val="20667913"/>
    <w:rsid w:val="2082350F"/>
    <w:rsid w:val="20963D9C"/>
    <w:rsid w:val="20993A62"/>
    <w:rsid w:val="20A716C9"/>
    <w:rsid w:val="20B7322F"/>
    <w:rsid w:val="20BD5736"/>
    <w:rsid w:val="20EB6288"/>
    <w:rsid w:val="21172D2A"/>
    <w:rsid w:val="21225066"/>
    <w:rsid w:val="213904A6"/>
    <w:rsid w:val="214E7335"/>
    <w:rsid w:val="21534743"/>
    <w:rsid w:val="21922348"/>
    <w:rsid w:val="21A602B3"/>
    <w:rsid w:val="21D44182"/>
    <w:rsid w:val="21DF4131"/>
    <w:rsid w:val="21E02EE1"/>
    <w:rsid w:val="21F030D1"/>
    <w:rsid w:val="221619D3"/>
    <w:rsid w:val="221E1D77"/>
    <w:rsid w:val="22212323"/>
    <w:rsid w:val="223B44C7"/>
    <w:rsid w:val="22540661"/>
    <w:rsid w:val="225E594B"/>
    <w:rsid w:val="22665200"/>
    <w:rsid w:val="228A7150"/>
    <w:rsid w:val="22961947"/>
    <w:rsid w:val="22AA3122"/>
    <w:rsid w:val="22BC3BAB"/>
    <w:rsid w:val="22CF3DEB"/>
    <w:rsid w:val="22D4654E"/>
    <w:rsid w:val="22DA6358"/>
    <w:rsid w:val="22DE6BD8"/>
    <w:rsid w:val="22E427A9"/>
    <w:rsid w:val="22EC27A1"/>
    <w:rsid w:val="232C184E"/>
    <w:rsid w:val="235353B5"/>
    <w:rsid w:val="23640245"/>
    <w:rsid w:val="236C5E0E"/>
    <w:rsid w:val="23781804"/>
    <w:rsid w:val="238121C3"/>
    <w:rsid w:val="2398694A"/>
    <w:rsid w:val="23AA77A0"/>
    <w:rsid w:val="23AB0C55"/>
    <w:rsid w:val="23CF53C3"/>
    <w:rsid w:val="23D2618C"/>
    <w:rsid w:val="23D27F8E"/>
    <w:rsid w:val="240A03FD"/>
    <w:rsid w:val="242807A6"/>
    <w:rsid w:val="243432C7"/>
    <w:rsid w:val="24416B74"/>
    <w:rsid w:val="244E3BDB"/>
    <w:rsid w:val="246173B7"/>
    <w:rsid w:val="24672886"/>
    <w:rsid w:val="248F0D50"/>
    <w:rsid w:val="24942439"/>
    <w:rsid w:val="249B48EA"/>
    <w:rsid w:val="24E122B0"/>
    <w:rsid w:val="24F1187F"/>
    <w:rsid w:val="24F91DD0"/>
    <w:rsid w:val="25113D93"/>
    <w:rsid w:val="252058FB"/>
    <w:rsid w:val="252645B8"/>
    <w:rsid w:val="253D3C9C"/>
    <w:rsid w:val="253F6ACC"/>
    <w:rsid w:val="25565F6E"/>
    <w:rsid w:val="256D0BA5"/>
    <w:rsid w:val="256D0EBF"/>
    <w:rsid w:val="256F6402"/>
    <w:rsid w:val="25766BA2"/>
    <w:rsid w:val="25A2282D"/>
    <w:rsid w:val="25A335FB"/>
    <w:rsid w:val="25A652E5"/>
    <w:rsid w:val="25A80B43"/>
    <w:rsid w:val="25AD619D"/>
    <w:rsid w:val="25B42977"/>
    <w:rsid w:val="25B56426"/>
    <w:rsid w:val="25B662D3"/>
    <w:rsid w:val="25CB6D7F"/>
    <w:rsid w:val="25FA41F0"/>
    <w:rsid w:val="260E362E"/>
    <w:rsid w:val="263B06DF"/>
    <w:rsid w:val="263B6968"/>
    <w:rsid w:val="264603F0"/>
    <w:rsid w:val="26613DD4"/>
    <w:rsid w:val="266615E7"/>
    <w:rsid w:val="268C69D3"/>
    <w:rsid w:val="26A000B4"/>
    <w:rsid w:val="26A06D21"/>
    <w:rsid w:val="26E874AE"/>
    <w:rsid w:val="26F540E9"/>
    <w:rsid w:val="26F870F8"/>
    <w:rsid w:val="27001E8F"/>
    <w:rsid w:val="270C545A"/>
    <w:rsid w:val="271E540E"/>
    <w:rsid w:val="272147E1"/>
    <w:rsid w:val="272C4C4E"/>
    <w:rsid w:val="272F5571"/>
    <w:rsid w:val="274D7BBA"/>
    <w:rsid w:val="274E127C"/>
    <w:rsid w:val="274F2066"/>
    <w:rsid w:val="27534624"/>
    <w:rsid w:val="27547C5E"/>
    <w:rsid w:val="275639D6"/>
    <w:rsid w:val="27613928"/>
    <w:rsid w:val="27AE23AF"/>
    <w:rsid w:val="27B24139"/>
    <w:rsid w:val="27C7286C"/>
    <w:rsid w:val="27D51467"/>
    <w:rsid w:val="27E059BE"/>
    <w:rsid w:val="27E25195"/>
    <w:rsid w:val="27EA5930"/>
    <w:rsid w:val="27F92ADF"/>
    <w:rsid w:val="280C327D"/>
    <w:rsid w:val="280E16C1"/>
    <w:rsid w:val="280E310C"/>
    <w:rsid w:val="28164E0A"/>
    <w:rsid w:val="28232358"/>
    <w:rsid w:val="2829469C"/>
    <w:rsid w:val="283B11E9"/>
    <w:rsid w:val="28497097"/>
    <w:rsid w:val="284A1DA7"/>
    <w:rsid w:val="28527F45"/>
    <w:rsid w:val="28635119"/>
    <w:rsid w:val="28662C6C"/>
    <w:rsid w:val="288929BE"/>
    <w:rsid w:val="289C4C49"/>
    <w:rsid w:val="28CA12A9"/>
    <w:rsid w:val="28CD0A85"/>
    <w:rsid w:val="28D86F17"/>
    <w:rsid w:val="28E079FB"/>
    <w:rsid w:val="28E5221F"/>
    <w:rsid w:val="28EE777B"/>
    <w:rsid w:val="28F521E3"/>
    <w:rsid w:val="28F55E27"/>
    <w:rsid w:val="28FB2A87"/>
    <w:rsid w:val="29012E40"/>
    <w:rsid w:val="290511A6"/>
    <w:rsid w:val="291A2CA0"/>
    <w:rsid w:val="29301EFA"/>
    <w:rsid w:val="2932005C"/>
    <w:rsid w:val="29403CBB"/>
    <w:rsid w:val="2962369E"/>
    <w:rsid w:val="29782AE8"/>
    <w:rsid w:val="298F6B5A"/>
    <w:rsid w:val="29C94050"/>
    <w:rsid w:val="29E427BA"/>
    <w:rsid w:val="29E95C2E"/>
    <w:rsid w:val="29FA3EEB"/>
    <w:rsid w:val="2A18078C"/>
    <w:rsid w:val="2A1919D3"/>
    <w:rsid w:val="2A241383"/>
    <w:rsid w:val="2A2928D2"/>
    <w:rsid w:val="2A436C24"/>
    <w:rsid w:val="2A56511D"/>
    <w:rsid w:val="2A6D2418"/>
    <w:rsid w:val="2A6E02C6"/>
    <w:rsid w:val="2ACC58F1"/>
    <w:rsid w:val="2ADD2246"/>
    <w:rsid w:val="2ADF5043"/>
    <w:rsid w:val="2AFE5427"/>
    <w:rsid w:val="2B032327"/>
    <w:rsid w:val="2B1A3E7E"/>
    <w:rsid w:val="2B261882"/>
    <w:rsid w:val="2B2731C0"/>
    <w:rsid w:val="2B4466CB"/>
    <w:rsid w:val="2B5161AB"/>
    <w:rsid w:val="2B5C31B1"/>
    <w:rsid w:val="2B702F8A"/>
    <w:rsid w:val="2B732218"/>
    <w:rsid w:val="2B7A7152"/>
    <w:rsid w:val="2BB3667B"/>
    <w:rsid w:val="2BB74511"/>
    <w:rsid w:val="2BBC736B"/>
    <w:rsid w:val="2BF36C43"/>
    <w:rsid w:val="2BF63D3D"/>
    <w:rsid w:val="2C027C87"/>
    <w:rsid w:val="2C0C22B8"/>
    <w:rsid w:val="2C0C5A8E"/>
    <w:rsid w:val="2C101104"/>
    <w:rsid w:val="2C474B3D"/>
    <w:rsid w:val="2C4E7651"/>
    <w:rsid w:val="2C50391A"/>
    <w:rsid w:val="2C59186F"/>
    <w:rsid w:val="2C5D3830"/>
    <w:rsid w:val="2C6F659D"/>
    <w:rsid w:val="2C802825"/>
    <w:rsid w:val="2C9A386B"/>
    <w:rsid w:val="2CA37A8F"/>
    <w:rsid w:val="2CBC31F1"/>
    <w:rsid w:val="2CC52B35"/>
    <w:rsid w:val="2CE03366"/>
    <w:rsid w:val="2CE153DB"/>
    <w:rsid w:val="2CE60135"/>
    <w:rsid w:val="2CE73978"/>
    <w:rsid w:val="2CE91AF8"/>
    <w:rsid w:val="2CFA0DB1"/>
    <w:rsid w:val="2CFB3C57"/>
    <w:rsid w:val="2D0867C0"/>
    <w:rsid w:val="2D0950FE"/>
    <w:rsid w:val="2D0F07D0"/>
    <w:rsid w:val="2D140352"/>
    <w:rsid w:val="2D140C88"/>
    <w:rsid w:val="2D2758E3"/>
    <w:rsid w:val="2D2A10EC"/>
    <w:rsid w:val="2D43076B"/>
    <w:rsid w:val="2D485AD3"/>
    <w:rsid w:val="2D566311"/>
    <w:rsid w:val="2D840F4F"/>
    <w:rsid w:val="2D8F2285"/>
    <w:rsid w:val="2D984A75"/>
    <w:rsid w:val="2DA23FAA"/>
    <w:rsid w:val="2DBA76EA"/>
    <w:rsid w:val="2DC36BDF"/>
    <w:rsid w:val="2DCD23E4"/>
    <w:rsid w:val="2DE573EF"/>
    <w:rsid w:val="2E1000AA"/>
    <w:rsid w:val="2E652974"/>
    <w:rsid w:val="2E666EF3"/>
    <w:rsid w:val="2E7665BF"/>
    <w:rsid w:val="2E822F12"/>
    <w:rsid w:val="2EAA55D3"/>
    <w:rsid w:val="2EAD524D"/>
    <w:rsid w:val="2EBA6110"/>
    <w:rsid w:val="2EC665A0"/>
    <w:rsid w:val="2ED67FEA"/>
    <w:rsid w:val="2ED94428"/>
    <w:rsid w:val="2EEA7124"/>
    <w:rsid w:val="2EFA1530"/>
    <w:rsid w:val="2F0507F1"/>
    <w:rsid w:val="2F1E6575"/>
    <w:rsid w:val="2F252BFB"/>
    <w:rsid w:val="2F2D42C4"/>
    <w:rsid w:val="2F380582"/>
    <w:rsid w:val="2F3B1151"/>
    <w:rsid w:val="2F433648"/>
    <w:rsid w:val="2F511647"/>
    <w:rsid w:val="2F5A7FAC"/>
    <w:rsid w:val="2F6B331D"/>
    <w:rsid w:val="2FAD1F39"/>
    <w:rsid w:val="2FB359FA"/>
    <w:rsid w:val="2FB80AEB"/>
    <w:rsid w:val="2FDB23DC"/>
    <w:rsid w:val="30073F38"/>
    <w:rsid w:val="300B75B7"/>
    <w:rsid w:val="300E1462"/>
    <w:rsid w:val="30270F74"/>
    <w:rsid w:val="3027577B"/>
    <w:rsid w:val="303B7C0D"/>
    <w:rsid w:val="30420EDB"/>
    <w:rsid w:val="304334EA"/>
    <w:rsid w:val="3062467C"/>
    <w:rsid w:val="30795479"/>
    <w:rsid w:val="30A17FED"/>
    <w:rsid w:val="30A26341"/>
    <w:rsid w:val="30A83F96"/>
    <w:rsid w:val="30D45ADA"/>
    <w:rsid w:val="30D54C9B"/>
    <w:rsid w:val="30DD7E15"/>
    <w:rsid w:val="30E65E2E"/>
    <w:rsid w:val="31116A68"/>
    <w:rsid w:val="3114343E"/>
    <w:rsid w:val="31243C2B"/>
    <w:rsid w:val="31630D78"/>
    <w:rsid w:val="316E4FDB"/>
    <w:rsid w:val="31AB6ADA"/>
    <w:rsid w:val="31B338EE"/>
    <w:rsid w:val="31C04E2C"/>
    <w:rsid w:val="31E105A3"/>
    <w:rsid w:val="31E45AEF"/>
    <w:rsid w:val="31F42DFC"/>
    <w:rsid w:val="32133685"/>
    <w:rsid w:val="32140715"/>
    <w:rsid w:val="3221061E"/>
    <w:rsid w:val="3244489B"/>
    <w:rsid w:val="3247676E"/>
    <w:rsid w:val="324E76FC"/>
    <w:rsid w:val="325C6C8B"/>
    <w:rsid w:val="326E63A3"/>
    <w:rsid w:val="32816BCA"/>
    <w:rsid w:val="329E1BE9"/>
    <w:rsid w:val="32AA5F33"/>
    <w:rsid w:val="32D06076"/>
    <w:rsid w:val="32DF5E8F"/>
    <w:rsid w:val="32E00D79"/>
    <w:rsid w:val="32EA30E9"/>
    <w:rsid w:val="32FC1454"/>
    <w:rsid w:val="3308468A"/>
    <w:rsid w:val="331A13D3"/>
    <w:rsid w:val="33255C72"/>
    <w:rsid w:val="334264C0"/>
    <w:rsid w:val="33514CCB"/>
    <w:rsid w:val="335E1555"/>
    <w:rsid w:val="3372609B"/>
    <w:rsid w:val="337C7B80"/>
    <w:rsid w:val="337D2BAD"/>
    <w:rsid w:val="33822367"/>
    <w:rsid w:val="338A3BEF"/>
    <w:rsid w:val="338C499E"/>
    <w:rsid w:val="339159CE"/>
    <w:rsid w:val="33AD1B1F"/>
    <w:rsid w:val="33AF05A2"/>
    <w:rsid w:val="33AF6948"/>
    <w:rsid w:val="33B20FA5"/>
    <w:rsid w:val="33C4308B"/>
    <w:rsid w:val="33CB7B07"/>
    <w:rsid w:val="33DA3583"/>
    <w:rsid w:val="33DD6CB6"/>
    <w:rsid w:val="33F15BB7"/>
    <w:rsid w:val="34017764"/>
    <w:rsid w:val="34071AA0"/>
    <w:rsid w:val="34193130"/>
    <w:rsid w:val="34290E90"/>
    <w:rsid w:val="34326149"/>
    <w:rsid w:val="34443140"/>
    <w:rsid w:val="34470EFB"/>
    <w:rsid w:val="34474264"/>
    <w:rsid w:val="347A55C5"/>
    <w:rsid w:val="347C66DE"/>
    <w:rsid w:val="34815534"/>
    <w:rsid w:val="348166BA"/>
    <w:rsid w:val="3493578C"/>
    <w:rsid w:val="34A67811"/>
    <w:rsid w:val="34B1433B"/>
    <w:rsid w:val="34B21BFC"/>
    <w:rsid w:val="34B57AE3"/>
    <w:rsid w:val="34B9050D"/>
    <w:rsid w:val="34BB3E0D"/>
    <w:rsid w:val="34C50BE2"/>
    <w:rsid w:val="34CE128D"/>
    <w:rsid w:val="34D27B4A"/>
    <w:rsid w:val="34F57B1A"/>
    <w:rsid w:val="350718B2"/>
    <w:rsid w:val="350B139A"/>
    <w:rsid w:val="3514383D"/>
    <w:rsid w:val="354637F4"/>
    <w:rsid w:val="355A37B5"/>
    <w:rsid w:val="355C72B1"/>
    <w:rsid w:val="355F5F6A"/>
    <w:rsid w:val="357E5A7B"/>
    <w:rsid w:val="3588117E"/>
    <w:rsid w:val="359000ED"/>
    <w:rsid w:val="359E52E9"/>
    <w:rsid w:val="35A26D92"/>
    <w:rsid w:val="35B04E10"/>
    <w:rsid w:val="35D8444B"/>
    <w:rsid w:val="35FC5991"/>
    <w:rsid w:val="362F4113"/>
    <w:rsid w:val="364D6C64"/>
    <w:rsid w:val="367018AF"/>
    <w:rsid w:val="36727CC0"/>
    <w:rsid w:val="368E5478"/>
    <w:rsid w:val="368E71DA"/>
    <w:rsid w:val="36BA0E16"/>
    <w:rsid w:val="36BA33D0"/>
    <w:rsid w:val="36C45E74"/>
    <w:rsid w:val="36D97C3B"/>
    <w:rsid w:val="36EC189E"/>
    <w:rsid w:val="36FD0A85"/>
    <w:rsid w:val="36FF0B85"/>
    <w:rsid w:val="37061F74"/>
    <w:rsid w:val="370E1DF6"/>
    <w:rsid w:val="37192194"/>
    <w:rsid w:val="37333E3F"/>
    <w:rsid w:val="373D6A03"/>
    <w:rsid w:val="375D2CB1"/>
    <w:rsid w:val="37674644"/>
    <w:rsid w:val="37676957"/>
    <w:rsid w:val="376A4D06"/>
    <w:rsid w:val="377C7044"/>
    <w:rsid w:val="3781684D"/>
    <w:rsid w:val="3789717B"/>
    <w:rsid w:val="378C65D9"/>
    <w:rsid w:val="378F7FA0"/>
    <w:rsid w:val="37931E13"/>
    <w:rsid w:val="37971C54"/>
    <w:rsid w:val="37B01700"/>
    <w:rsid w:val="37BA4732"/>
    <w:rsid w:val="37BC4D98"/>
    <w:rsid w:val="37D239E1"/>
    <w:rsid w:val="37F05011"/>
    <w:rsid w:val="38125200"/>
    <w:rsid w:val="38374518"/>
    <w:rsid w:val="38386647"/>
    <w:rsid w:val="38477F46"/>
    <w:rsid w:val="38494F8F"/>
    <w:rsid w:val="384A7355"/>
    <w:rsid w:val="38544F7A"/>
    <w:rsid w:val="388F79AB"/>
    <w:rsid w:val="38945CEB"/>
    <w:rsid w:val="38BC7A97"/>
    <w:rsid w:val="38CE5E4E"/>
    <w:rsid w:val="38D00DDE"/>
    <w:rsid w:val="38DC61FC"/>
    <w:rsid w:val="391A69CE"/>
    <w:rsid w:val="392D1A11"/>
    <w:rsid w:val="393D028A"/>
    <w:rsid w:val="394944F0"/>
    <w:rsid w:val="39671481"/>
    <w:rsid w:val="39726E0E"/>
    <w:rsid w:val="39826244"/>
    <w:rsid w:val="39903658"/>
    <w:rsid w:val="39946BD2"/>
    <w:rsid w:val="399879EB"/>
    <w:rsid w:val="39AD2A11"/>
    <w:rsid w:val="39B7144A"/>
    <w:rsid w:val="39CD6202"/>
    <w:rsid w:val="39F26B37"/>
    <w:rsid w:val="39FA3F73"/>
    <w:rsid w:val="3A053CF8"/>
    <w:rsid w:val="3A1269E2"/>
    <w:rsid w:val="3A340E00"/>
    <w:rsid w:val="3A3B30C9"/>
    <w:rsid w:val="3A4C486E"/>
    <w:rsid w:val="3A4D30AA"/>
    <w:rsid w:val="3A647568"/>
    <w:rsid w:val="3A89316C"/>
    <w:rsid w:val="3A8E7E83"/>
    <w:rsid w:val="3A9627A5"/>
    <w:rsid w:val="3AAA41B6"/>
    <w:rsid w:val="3AAD0692"/>
    <w:rsid w:val="3AB93019"/>
    <w:rsid w:val="3AC43C95"/>
    <w:rsid w:val="3AD074A9"/>
    <w:rsid w:val="3AD21FF7"/>
    <w:rsid w:val="3ADC4308"/>
    <w:rsid w:val="3AEC7398"/>
    <w:rsid w:val="3AEF378D"/>
    <w:rsid w:val="3AF14011"/>
    <w:rsid w:val="3AF55FD0"/>
    <w:rsid w:val="3B011319"/>
    <w:rsid w:val="3B2533F1"/>
    <w:rsid w:val="3B29644F"/>
    <w:rsid w:val="3B3E5F42"/>
    <w:rsid w:val="3B506659"/>
    <w:rsid w:val="3B7F3ADF"/>
    <w:rsid w:val="3B856B25"/>
    <w:rsid w:val="3B990C08"/>
    <w:rsid w:val="3BA42E70"/>
    <w:rsid w:val="3BAD1FC2"/>
    <w:rsid w:val="3BB0664E"/>
    <w:rsid w:val="3BCE6E64"/>
    <w:rsid w:val="3BE2134A"/>
    <w:rsid w:val="3BE335A2"/>
    <w:rsid w:val="3BE54C85"/>
    <w:rsid w:val="3BE7391E"/>
    <w:rsid w:val="3BE94BC9"/>
    <w:rsid w:val="3BEA3179"/>
    <w:rsid w:val="3BFF4800"/>
    <w:rsid w:val="3C02671D"/>
    <w:rsid w:val="3C0608E1"/>
    <w:rsid w:val="3C1C5969"/>
    <w:rsid w:val="3C33468D"/>
    <w:rsid w:val="3C5A1AFC"/>
    <w:rsid w:val="3C5B4147"/>
    <w:rsid w:val="3C6E0C10"/>
    <w:rsid w:val="3C723F5F"/>
    <w:rsid w:val="3C772AA7"/>
    <w:rsid w:val="3C7F4636"/>
    <w:rsid w:val="3C9120EE"/>
    <w:rsid w:val="3C945316"/>
    <w:rsid w:val="3CB02D00"/>
    <w:rsid w:val="3CBE09D1"/>
    <w:rsid w:val="3CD434AF"/>
    <w:rsid w:val="3CDC12A1"/>
    <w:rsid w:val="3CDE36F6"/>
    <w:rsid w:val="3CE1188D"/>
    <w:rsid w:val="3D09618B"/>
    <w:rsid w:val="3D22798E"/>
    <w:rsid w:val="3D24035D"/>
    <w:rsid w:val="3D49639B"/>
    <w:rsid w:val="3D4B5FDB"/>
    <w:rsid w:val="3D6C21D3"/>
    <w:rsid w:val="3D7C0486"/>
    <w:rsid w:val="3D8777AD"/>
    <w:rsid w:val="3D9B0813"/>
    <w:rsid w:val="3DB46D2E"/>
    <w:rsid w:val="3DEE235A"/>
    <w:rsid w:val="3DF40E0A"/>
    <w:rsid w:val="3E1E3A0B"/>
    <w:rsid w:val="3E2F15D3"/>
    <w:rsid w:val="3E3A009F"/>
    <w:rsid w:val="3E6A486C"/>
    <w:rsid w:val="3E9235AA"/>
    <w:rsid w:val="3EDF256A"/>
    <w:rsid w:val="3EE60626"/>
    <w:rsid w:val="3EF338EC"/>
    <w:rsid w:val="3EF9316D"/>
    <w:rsid w:val="3F006AB0"/>
    <w:rsid w:val="3F04367E"/>
    <w:rsid w:val="3F1F42C9"/>
    <w:rsid w:val="3F2B3602"/>
    <w:rsid w:val="3F5038DA"/>
    <w:rsid w:val="3F5076AE"/>
    <w:rsid w:val="3F583EF8"/>
    <w:rsid w:val="3F763EFA"/>
    <w:rsid w:val="3F78724A"/>
    <w:rsid w:val="3F7D1CFA"/>
    <w:rsid w:val="3FA63FA3"/>
    <w:rsid w:val="3FAA0A0C"/>
    <w:rsid w:val="3FC12820"/>
    <w:rsid w:val="3FD34D1A"/>
    <w:rsid w:val="3FE326CD"/>
    <w:rsid w:val="3FEC5776"/>
    <w:rsid w:val="3FFE3A57"/>
    <w:rsid w:val="402127B6"/>
    <w:rsid w:val="40470E87"/>
    <w:rsid w:val="404E2C9F"/>
    <w:rsid w:val="405069F7"/>
    <w:rsid w:val="40663A42"/>
    <w:rsid w:val="40681492"/>
    <w:rsid w:val="40732A0E"/>
    <w:rsid w:val="4077284E"/>
    <w:rsid w:val="40796091"/>
    <w:rsid w:val="408D4A87"/>
    <w:rsid w:val="40960AF1"/>
    <w:rsid w:val="40A20336"/>
    <w:rsid w:val="40AF56D9"/>
    <w:rsid w:val="40B27ACD"/>
    <w:rsid w:val="40C35E69"/>
    <w:rsid w:val="40CB6207"/>
    <w:rsid w:val="40D1466D"/>
    <w:rsid w:val="40E55358"/>
    <w:rsid w:val="40EF766D"/>
    <w:rsid w:val="40F444CD"/>
    <w:rsid w:val="40F64538"/>
    <w:rsid w:val="41094274"/>
    <w:rsid w:val="4117325C"/>
    <w:rsid w:val="41241F6E"/>
    <w:rsid w:val="41663E66"/>
    <w:rsid w:val="416D5E13"/>
    <w:rsid w:val="417564FF"/>
    <w:rsid w:val="41886861"/>
    <w:rsid w:val="41A133B9"/>
    <w:rsid w:val="41A71FAA"/>
    <w:rsid w:val="41D302AD"/>
    <w:rsid w:val="41D419C4"/>
    <w:rsid w:val="41E700EB"/>
    <w:rsid w:val="422378A4"/>
    <w:rsid w:val="424B274F"/>
    <w:rsid w:val="425227B2"/>
    <w:rsid w:val="42546745"/>
    <w:rsid w:val="42732335"/>
    <w:rsid w:val="42887420"/>
    <w:rsid w:val="428A085A"/>
    <w:rsid w:val="429F046C"/>
    <w:rsid w:val="42BF4A11"/>
    <w:rsid w:val="42FE6211"/>
    <w:rsid w:val="43034CB1"/>
    <w:rsid w:val="430352C6"/>
    <w:rsid w:val="43055172"/>
    <w:rsid w:val="431467C7"/>
    <w:rsid w:val="43181CF3"/>
    <w:rsid w:val="432E1020"/>
    <w:rsid w:val="432E2783"/>
    <w:rsid w:val="432F6314"/>
    <w:rsid w:val="433456A0"/>
    <w:rsid w:val="43467656"/>
    <w:rsid w:val="434C00A2"/>
    <w:rsid w:val="436048A3"/>
    <w:rsid w:val="4373621E"/>
    <w:rsid w:val="439E33F0"/>
    <w:rsid w:val="43B90255"/>
    <w:rsid w:val="43D30A15"/>
    <w:rsid w:val="43DC6DAA"/>
    <w:rsid w:val="43E246E8"/>
    <w:rsid w:val="43F976D1"/>
    <w:rsid w:val="440B7AC3"/>
    <w:rsid w:val="440F269D"/>
    <w:rsid w:val="441730FD"/>
    <w:rsid w:val="44285E53"/>
    <w:rsid w:val="4457699A"/>
    <w:rsid w:val="446A6878"/>
    <w:rsid w:val="4488618B"/>
    <w:rsid w:val="448927FE"/>
    <w:rsid w:val="448F7539"/>
    <w:rsid w:val="44927DDE"/>
    <w:rsid w:val="449A4DCD"/>
    <w:rsid w:val="44B24060"/>
    <w:rsid w:val="44BA48E1"/>
    <w:rsid w:val="44C268A2"/>
    <w:rsid w:val="44C877B2"/>
    <w:rsid w:val="44F03993"/>
    <w:rsid w:val="44F20FA1"/>
    <w:rsid w:val="44F543D6"/>
    <w:rsid w:val="44F67A8B"/>
    <w:rsid w:val="45154B1D"/>
    <w:rsid w:val="451959DE"/>
    <w:rsid w:val="451A760F"/>
    <w:rsid w:val="45232B58"/>
    <w:rsid w:val="45232FCB"/>
    <w:rsid w:val="453754CA"/>
    <w:rsid w:val="454B12C9"/>
    <w:rsid w:val="454E5670"/>
    <w:rsid w:val="45501698"/>
    <w:rsid w:val="455E3A0C"/>
    <w:rsid w:val="455E47C0"/>
    <w:rsid w:val="456354E5"/>
    <w:rsid w:val="4593607D"/>
    <w:rsid w:val="4598518A"/>
    <w:rsid w:val="459C46AD"/>
    <w:rsid w:val="45AD67F7"/>
    <w:rsid w:val="45AF62D8"/>
    <w:rsid w:val="45D94C59"/>
    <w:rsid w:val="45E129A9"/>
    <w:rsid w:val="45EE74C1"/>
    <w:rsid w:val="45F6210D"/>
    <w:rsid w:val="464167C0"/>
    <w:rsid w:val="46422663"/>
    <w:rsid w:val="46435AFD"/>
    <w:rsid w:val="46454FBB"/>
    <w:rsid w:val="464D561A"/>
    <w:rsid w:val="4655711A"/>
    <w:rsid w:val="46572701"/>
    <w:rsid w:val="46891025"/>
    <w:rsid w:val="469058AA"/>
    <w:rsid w:val="469804F4"/>
    <w:rsid w:val="46A56528"/>
    <w:rsid w:val="46A81062"/>
    <w:rsid w:val="46AD5680"/>
    <w:rsid w:val="46C45875"/>
    <w:rsid w:val="46DB426F"/>
    <w:rsid w:val="470B22AF"/>
    <w:rsid w:val="472876D8"/>
    <w:rsid w:val="474465E1"/>
    <w:rsid w:val="474E7E51"/>
    <w:rsid w:val="47586C7A"/>
    <w:rsid w:val="475A0B4D"/>
    <w:rsid w:val="476020E6"/>
    <w:rsid w:val="47680B17"/>
    <w:rsid w:val="476A1AB6"/>
    <w:rsid w:val="4777693C"/>
    <w:rsid w:val="47D11F8E"/>
    <w:rsid w:val="47E349C7"/>
    <w:rsid w:val="47E744C8"/>
    <w:rsid w:val="480026CA"/>
    <w:rsid w:val="480366D0"/>
    <w:rsid w:val="48040709"/>
    <w:rsid w:val="48135A87"/>
    <w:rsid w:val="48141141"/>
    <w:rsid w:val="48191619"/>
    <w:rsid w:val="481D523D"/>
    <w:rsid w:val="481E7212"/>
    <w:rsid w:val="4823125B"/>
    <w:rsid w:val="483516DF"/>
    <w:rsid w:val="483859CC"/>
    <w:rsid w:val="48425055"/>
    <w:rsid w:val="48756E53"/>
    <w:rsid w:val="48BF320F"/>
    <w:rsid w:val="48D30F22"/>
    <w:rsid w:val="48E95A6A"/>
    <w:rsid w:val="48FB1A67"/>
    <w:rsid w:val="48FE3DA9"/>
    <w:rsid w:val="48FF3A7C"/>
    <w:rsid w:val="491E177D"/>
    <w:rsid w:val="492203E1"/>
    <w:rsid w:val="49245BD4"/>
    <w:rsid w:val="492C3DBA"/>
    <w:rsid w:val="493805FD"/>
    <w:rsid w:val="4947034D"/>
    <w:rsid w:val="495B7330"/>
    <w:rsid w:val="496917E8"/>
    <w:rsid w:val="497A4866"/>
    <w:rsid w:val="49804BB7"/>
    <w:rsid w:val="49941915"/>
    <w:rsid w:val="49A21C10"/>
    <w:rsid w:val="49BC5763"/>
    <w:rsid w:val="49C03E28"/>
    <w:rsid w:val="49C62454"/>
    <w:rsid w:val="4A03190F"/>
    <w:rsid w:val="4A0B272B"/>
    <w:rsid w:val="4A3C2534"/>
    <w:rsid w:val="4A5A3870"/>
    <w:rsid w:val="4A72098C"/>
    <w:rsid w:val="4A9F58CE"/>
    <w:rsid w:val="4AB368C6"/>
    <w:rsid w:val="4ABC0B89"/>
    <w:rsid w:val="4ACC291C"/>
    <w:rsid w:val="4AD3264C"/>
    <w:rsid w:val="4ADC5F7F"/>
    <w:rsid w:val="4ADF6ABC"/>
    <w:rsid w:val="4AEC14B6"/>
    <w:rsid w:val="4B070E29"/>
    <w:rsid w:val="4B120965"/>
    <w:rsid w:val="4B421BEB"/>
    <w:rsid w:val="4B44210F"/>
    <w:rsid w:val="4B4A0E91"/>
    <w:rsid w:val="4B581506"/>
    <w:rsid w:val="4B7E4ABA"/>
    <w:rsid w:val="4BA046C6"/>
    <w:rsid w:val="4BA4771F"/>
    <w:rsid w:val="4BB809EC"/>
    <w:rsid w:val="4BBD652A"/>
    <w:rsid w:val="4BF76109"/>
    <w:rsid w:val="4BF83080"/>
    <w:rsid w:val="4C2C2DC9"/>
    <w:rsid w:val="4C343413"/>
    <w:rsid w:val="4C4E153B"/>
    <w:rsid w:val="4C5C2C85"/>
    <w:rsid w:val="4C624E57"/>
    <w:rsid w:val="4C760459"/>
    <w:rsid w:val="4C7F6E14"/>
    <w:rsid w:val="4C8A22D6"/>
    <w:rsid w:val="4C9269AF"/>
    <w:rsid w:val="4C9C7924"/>
    <w:rsid w:val="4CBA014B"/>
    <w:rsid w:val="4CC72489"/>
    <w:rsid w:val="4CD01FD3"/>
    <w:rsid w:val="4CE4047D"/>
    <w:rsid w:val="4CE6149D"/>
    <w:rsid w:val="4CF515CA"/>
    <w:rsid w:val="4CFA37A4"/>
    <w:rsid w:val="4CFC2058"/>
    <w:rsid w:val="4D12416A"/>
    <w:rsid w:val="4D26231A"/>
    <w:rsid w:val="4D375F13"/>
    <w:rsid w:val="4D543A97"/>
    <w:rsid w:val="4D6626CC"/>
    <w:rsid w:val="4D707A9E"/>
    <w:rsid w:val="4D782C3C"/>
    <w:rsid w:val="4D805FF2"/>
    <w:rsid w:val="4D920B55"/>
    <w:rsid w:val="4DA03111"/>
    <w:rsid w:val="4DB105DF"/>
    <w:rsid w:val="4DB754C6"/>
    <w:rsid w:val="4DC01AEC"/>
    <w:rsid w:val="4DD83D9E"/>
    <w:rsid w:val="4E09445C"/>
    <w:rsid w:val="4E0C63E5"/>
    <w:rsid w:val="4E0F50F3"/>
    <w:rsid w:val="4E3B13F9"/>
    <w:rsid w:val="4E3D107F"/>
    <w:rsid w:val="4E443420"/>
    <w:rsid w:val="4E4F6C14"/>
    <w:rsid w:val="4EB2652F"/>
    <w:rsid w:val="4EB93F48"/>
    <w:rsid w:val="4EBC55BF"/>
    <w:rsid w:val="4ED0077F"/>
    <w:rsid w:val="4ED92B17"/>
    <w:rsid w:val="4EF179BD"/>
    <w:rsid w:val="4EF33E25"/>
    <w:rsid w:val="4F0B5E41"/>
    <w:rsid w:val="4F1073C7"/>
    <w:rsid w:val="4F1D04CD"/>
    <w:rsid w:val="4F3363E6"/>
    <w:rsid w:val="4F3E1FCC"/>
    <w:rsid w:val="4F4A4177"/>
    <w:rsid w:val="4F576D9B"/>
    <w:rsid w:val="4F5B2210"/>
    <w:rsid w:val="4F5F3C93"/>
    <w:rsid w:val="4F6272CB"/>
    <w:rsid w:val="4F690C84"/>
    <w:rsid w:val="4F6C3186"/>
    <w:rsid w:val="4FB8360A"/>
    <w:rsid w:val="4FD43F90"/>
    <w:rsid w:val="4FE31BC0"/>
    <w:rsid w:val="5002055F"/>
    <w:rsid w:val="500C702E"/>
    <w:rsid w:val="5018287A"/>
    <w:rsid w:val="501862D2"/>
    <w:rsid w:val="501B66EB"/>
    <w:rsid w:val="501C4F7D"/>
    <w:rsid w:val="50564832"/>
    <w:rsid w:val="50636CAD"/>
    <w:rsid w:val="50754270"/>
    <w:rsid w:val="50DF2F54"/>
    <w:rsid w:val="50E37AFA"/>
    <w:rsid w:val="50E73B1B"/>
    <w:rsid w:val="50FB7A53"/>
    <w:rsid w:val="50FD7F8A"/>
    <w:rsid w:val="51022412"/>
    <w:rsid w:val="51040E81"/>
    <w:rsid w:val="510B2D93"/>
    <w:rsid w:val="511B5E6F"/>
    <w:rsid w:val="512E3510"/>
    <w:rsid w:val="51312671"/>
    <w:rsid w:val="51522627"/>
    <w:rsid w:val="51675C90"/>
    <w:rsid w:val="51686150"/>
    <w:rsid w:val="51A019A3"/>
    <w:rsid w:val="51B02CD4"/>
    <w:rsid w:val="51CB43F2"/>
    <w:rsid w:val="51CF660B"/>
    <w:rsid w:val="51F74679"/>
    <w:rsid w:val="520522DA"/>
    <w:rsid w:val="52092986"/>
    <w:rsid w:val="52157487"/>
    <w:rsid w:val="521C6B3E"/>
    <w:rsid w:val="521D6D1B"/>
    <w:rsid w:val="521F09CC"/>
    <w:rsid w:val="523B7301"/>
    <w:rsid w:val="523E17D1"/>
    <w:rsid w:val="5244644B"/>
    <w:rsid w:val="524C00B9"/>
    <w:rsid w:val="524E310B"/>
    <w:rsid w:val="52795376"/>
    <w:rsid w:val="5285634A"/>
    <w:rsid w:val="52874B96"/>
    <w:rsid w:val="52977C58"/>
    <w:rsid w:val="52A96ABB"/>
    <w:rsid w:val="52B22334"/>
    <w:rsid w:val="52B779FA"/>
    <w:rsid w:val="52E24906"/>
    <w:rsid w:val="52ED5818"/>
    <w:rsid w:val="52EE2EEE"/>
    <w:rsid w:val="52F77387"/>
    <w:rsid w:val="530564E1"/>
    <w:rsid w:val="531154CB"/>
    <w:rsid w:val="532066B9"/>
    <w:rsid w:val="5325676E"/>
    <w:rsid w:val="533A5085"/>
    <w:rsid w:val="5342143E"/>
    <w:rsid w:val="535E3AEF"/>
    <w:rsid w:val="53677079"/>
    <w:rsid w:val="53763FE7"/>
    <w:rsid w:val="537B7D8E"/>
    <w:rsid w:val="537C3C5A"/>
    <w:rsid w:val="53913A48"/>
    <w:rsid w:val="539321B1"/>
    <w:rsid w:val="5399245B"/>
    <w:rsid w:val="53AF53F3"/>
    <w:rsid w:val="53B35A75"/>
    <w:rsid w:val="53B93E66"/>
    <w:rsid w:val="53C14DF7"/>
    <w:rsid w:val="53D71B13"/>
    <w:rsid w:val="53FF107B"/>
    <w:rsid w:val="54053C64"/>
    <w:rsid w:val="540D32BC"/>
    <w:rsid w:val="54137289"/>
    <w:rsid w:val="541947BE"/>
    <w:rsid w:val="541E6D67"/>
    <w:rsid w:val="54254F8C"/>
    <w:rsid w:val="5427542F"/>
    <w:rsid w:val="543D73B1"/>
    <w:rsid w:val="545815C6"/>
    <w:rsid w:val="546E35AE"/>
    <w:rsid w:val="54784F9A"/>
    <w:rsid w:val="548C3286"/>
    <w:rsid w:val="54BD67F5"/>
    <w:rsid w:val="54DD511C"/>
    <w:rsid w:val="54E050B2"/>
    <w:rsid w:val="54ED2F15"/>
    <w:rsid w:val="54FA1FCF"/>
    <w:rsid w:val="550B4570"/>
    <w:rsid w:val="55465E61"/>
    <w:rsid w:val="55492FF4"/>
    <w:rsid w:val="55570920"/>
    <w:rsid w:val="55777846"/>
    <w:rsid w:val="557C4D9C"/>
    <w:rsid w:val="558C49F5"/>
    <w:rsid w:val="5597167D"/>
    <w:rsid w:val="55BC0448"/>
    <w:rsid w:val="55BF60F5"/>
    <w:rsid w:val="55C64D46"/>
    <w:rsid w:val="55CC6F41"/>
    <w:rsid w:val="55DD513F"/>
    <w:rsid w:val="55E70F26"/>
    <w:rsid w:val="560D3D5C"/>
    <w:rsid w:val="561C4EFA"/>
    <w:rsid w:val="56212EC0"/>
    <w:rsid w:val="56250304"/>
    <w:rsid w:val="563C7A4E"/>
    <w:rsid w:val="563F2B68"/>
    <w:rsid w:val="56496794"/>
    <w:rsid w:val="564F79F9"/>
    <w:rsid w:val="56504BEE"/>
    <w:rsid w:val="566312AF"/>
    <w:rsid w:val="566B6E88"/>
    <w:rsid w:val="566C4027"/>
    <w:rsid w:val="566F7AD5"/>
    <w:rsid w:val="56900E43"/>
    <w:rsid w:val="569A64C9"/>
    <w:rsid w:val="56A0280E"/>
    <w:rsid w:val="56C40E02"/>
    <w:rsid w:val="56D14C15"/>
    <w:rsid w:val="56F8356B"/>
    <w:rsid w:val="57204345"/>
    <w:rsid w:val="5730129E"/>
    <w:rsid w:val="574F73DD"/>
    <w:rsid w:val="57576675"/>
    <w:rsid w:val="57595087"/>
    <w:rsid w:val="5765017C"/>
    <w:rsid w:val="57693C00"/>
    <w:rsid w:val="576E4326"/>
    <w:rsid w:val="57707DC2"/>
    <w:rsid w:val="577E3C12"/>
    <w:rsid w:val="57907136"/>
    <w:rsid w:val="57BC759B"/>
    <w:rsid w:val="57C15320"/>
    <w:rsid w:val="57DA2941"/>
    <w:rsid w:val="57E53845"/>
    <w:rsid w:val="57EC78BB"/>
    <w:rsid w:val="57F96F9B"/>
    <w:rsid w:val="583C67A2"/>
    <w:rsid w:val="583D60DD"/>
    <w:rsid w:val="583F213D"/>
    <w:rsid w:val="58544862"/>
    <w:rsid w:val="58615F97"/>
    <w:rsid w:val="586C5B21"/>
    <w:rsid w:val="589016E0"/>
    <w:rsid w:val="58986C03"/>
    <w:rsid w:val="589F4BCD"/>
    <w:rsid w:val="58B24460"/>
    <w:rsid w:val="58B312CB"/>
    <w:rsid w:val="58B60608"/>
    <w:rsid w:val="58C05211"/>
    <w:rsid w:val="58C65FF2"/>
    <w:rsid w:val="58D0552E"/>
    <w:rsid w:val="58DC197F"/>
    <w:rsid w:val="58EA7105"/>
    <w:rsid w:val="58F356AF"/>
    <w:rsid w:val="58FD0348"/>
    <w:rsid w:val="58FF320E"/>
    <w:rsid w:val="5905703C"/>
    <w:rsid w:val="59223570"/>
    <w:rsid w:val="5935420D"/>
    <w:rsid w:val="59355AE7"/>
    <w:rsid w:val="593D6CC1"/>
    <w:rsid w:val="59413E33"/>
    <w:rsid w:val="595A412B"/>
    <w:rsid w:val="596C70F3"/>
    <w:rsid w:val="59724AD0"/>
    <w:rsid w:val="59795EC6"/>
    <w:rsid w:val="599A6DE0"/>
    <w:rsid w:val="59A20FF1"/>
    <w:rsid w:val="59BC34A1"/>
    <w:rsid w:val="59D25F87"/>
    <w:rsid w:val="59D361ED"/>
    <w:rsid w:val="59D61321"/>
    <w:rsid w:val="59E17AD1"/>
    <w:rsid w:val="59F34282"/>
    <w:rsid w:val="59FD7E04"/>
    <w:rsid w:val="5A1150C8"/>
    <w:rsid w:val="5A875EC1"/>
    <w:rsid w:val="5A90452E"/>
    <w:rsid w:val="5A92053F"/>
    <w:rsid w:val="5AA04944"/>
    <w:rsid w:val="5AA50B14"/>
    <w:rsid w:val="5AAC5921"/>
    <w:rsid w:val="5AB15FD6"/>
    <w:rsid w:val="5ACA77B7"/>
    <w:rsid w:val="5AD95002"/>
    <w:rsid w:val="5AEE0D1E"/>
    <w:rsid w:val="5B112AB0"/>
    <w:rsid w:val="5B186C08"/>
    <w:rsid w:val="5B426E0A"/>
    <w:rsid w:val="5B4C1077"/>
    <w:rsid w:val="5B635F6A"/>
    <w:rsid w:val="5B694B4C"/>
    <w:rsid w:val="5B7A6FBC"/>
    <w:rsid w:val="5B8D452F"/>
    <w:rsid w:val="5B914C33"/>
    <w:rsid w:val="5B991497"/>
    <w:rsid w:val="5B9B1F1D"/>
    <w:rsid w:val="5BD616DE"/>
    <w:rsid w:val="5BE20349"/>
    <w:rsid w:val="5BE96BF8"/>
    <w:rsid w:val="5C061AE2"/>
    <w:rsid w:val="5C0E3940"/>
    <w:rsid w:val="5C2160AD"/>
    <w:rsid w:val="5C393000"/>
    <w:rsid w:val="5C4B3A97"/>
    <w:rsid w:val="5C5369B8"/>
    <w:rsid w:val="5C6378C8"/>
    <w:rsid w:val="5C7304B1"/>
    <w:rsid w:val="5CA42A93"/>
    <w:rsid w:val="5CA55078"/>
    <w:rsid w:val="5CB2342B"/>
    <w:rsid w:val="5CBF4F9E"/>
    <w:rsid w:val="5CD26C52"/>
    <w:rsid w:val="5CF379E0"/>
    <w:rsid w:val="5CF86E22"/>
    <w:rsid w:val="5D0B78E8"/>
    <w:rsid w:val="5D4650F6"/>
    <w:rsid w:val="5D4E5F7D"/>
    <w:rsid w:val="5D544578"/>
    <w:rsid w:val="5D763C3F"/>
    <w:rsid w:val="5D79551D"/>
    <w:rsid w:val="5D964371"/>
    <w:rsid w:val="5DA10BD6"/>
    <w:rsid w:val="5DA74AB8"/>
    <w:rsid w:val="5DAB514B"/>
    <w:rsid w:val="5DBA711E"/>
    <w:rsid w:val="5DC33DF4"/>
    <w:rsid w:val="5DC940CA"/>
    <w:rsid w:val="5DD32B41"/>
    <w:rsid w:val="5DD33757"/>
    <w:rsid w:val="5E0A7744"/>
    <w:rsid w:val="5E291CF8"/>
    <w:rsid w:val="5E365F3B"/>
    <w:rsid w:val="5E3C2C89"/>
    <w:rsid w:val="5E3E6687"/>
    <w:rsid w:val="5E6B4501"/>
    <w:rsid w:val="5E6D4DC5"/>
    <w:rsid w:val="5E731279"/>
    <w:rsid w:val="5E740EAF"/>
    <w:rsid w:val="5E767ADB"/>
    <w:rsid w:val="5E7F6E7B"/>
    <w:rsid w:val="5E9E2617"/>
    <w:rsid w:val="5EA7403E"/>
    <w:rsid w:val="5EC37A97"/>
    <w:rsid w:val="5ECC7AE6"/>
    <w:rsid w:val="5EDA15A9"/>
    <w:rsid w:val="5EDE3F86"/>
    <w:rsid w:val="5EDF6086"/>
    <w:rsid w:val="5EE44B15"/>
    <w:rsid w:val="5EE677F9"/>
    <w:rsid w:val="5EF720FB"/>
    <w:rsid w:val="5F194104"/>
    <w:rsid w:val="5F254DE6"/>
    <w:rsid w:val="5F391619"/>
    <w:rsid w:val="5F405414"/>
    <w:rsid w:val="5F463F9D"/>
    <w:rsid w:val="5F5D5BE4"/>
    <w:rsid w:val="5F6E62F6"/>
    <w:rsid w:val="5F863AB7"/>
    <w:rsid w:val="5F8761CD"/>
    <w:rsid w:val="5F8B7321"/>
    <w:rsid w:val="5F8D5E4C"/>
    <w:rsid w:val="5F951BFB"/>
    <w:rsid w:val="5FA03246"/>
    <w:rsid w:val="5FB356AA"/>
    <w:rsid w:val="5FB545D8"/>
    <w:rsid w:val="5FB916D9"/>
    <w:rsid w:val="5FC45F7F"/>
    <w:rsid w:val="5FCB241C"/>
    <w:rsid w:val="5FDD6025"/>
    <w:rsid w:val="5FE07445"/>
    <w:rsid w:val="60001AB5"/>
    <w:rsid w:val="6003265E"/>
    <w:rsid w:val="60045536"/>
    <w:rsid w:val="60046A9F"/>
    <w:rsid w:val="600A2DC4"/>
    <w:rsid w:val="602917FD"/>
    <w:rsid w:val="603451DB"/>
    <w:rsid w:val="60423A6E"/>
    <w:rsid w:val="60556C8C"/>
    <w:rsid w:val="60561D75"/>
    <w:rsid w:val="60611FD3"/>
    <w:rsid w:val="607201CE"/>
    <w:rsid w:val="60785D0D"/>
    <w:rsid w:val="609131BA"/>
    <w:rsid w:val="60A63A7A"/>
    <w:rsid w:val="60AA3F9D"/>
    <w:rsid w:val="60B422FF"/>
    <w:rsid w:val="60BE651B"/>
    <w:rsid w:val="60E50CF4"/>
    <w:rsid w:val="60EE279B"/>
    <w:rsid w:val="60FD2400"/>
    <w:rsid w:val="610259E7"/>
    <w:rsid w:val="6105548C"/>
    <w:rsid w:val="610E31A5"/>
    <w:rsid w:val="61421019"/>
    <w:rsid w:val="61594550"/>
    <w:rsid w:val="615D21E8"/>
    <w:rsid w:val="615D28CE"/>
    <w:rsid w:val="61617C9B"/>
    <w:rsid w:val="617343B2"/>
    <w:rsid w:val="617B715E"/>
    <w:rsid w:val="618A24F9"/>
    <w:rsid w:val="61A12A6A"/>
    <w:rsid w:val="61B2217B"/>
    <w:rsid w:val="61B65347"/>
    <w:rsid w:val="61DB169C"/>
    <w:rsid w:val="61E12743"/>
    <w:rsid w:val="61F33387"/>
    <w:rsid w:val="61F33C47"/>
    <w:rsid w:val="6201456E"/>
    <w:rsid w:val="62016F3D"/>
    <w:rsid w:val="620D54E3"/>
    <w:rsid w:val="620D7648"/>
    <w:rsid w:val="62137E58"/>
    <w:rsid w:val="62472C81"/>
    <w:rsid w:val="627B5AC3"/>
    <w:rsid w:val="627F5576"/>
    <w:rsid w:val="629E24C6"/>
    <w:rsid w:val="62B679AF"/>
    <w:rsid w:val="62B95986"/>
    <w:rsid w:val="62D15D08"/>
    <w:rsid w:val="62F15968"/>
    <w:rsid w:val="62FB29AD"/>
    <w:rsid w:val="630E2AFE"/>
    <w:rsid w:val="63137CDD"/>
    <w:rsid w:val="63170127"/>
    <w:rsid w:val="632402F5"/>
    <w:rsid w:val="63247B4A"/>
    <w:rsid w:val="632C37D0"/>
    <w:rsid w:val="6343465C"/>
    <w:rsid w:val="634478DF"/>
    <w:rsid w:val="634552CA"/>
    <w:rsid w:val="634D140E"/>
    <w:rsid w:val="635A4DFA"/>
    <w:rsid w:val="636357CC"/>
    <w:rsid w:val="63664915"/>
    <w:rsid w:val="636F72C0"/>
    <w:rsid w:val="63775435"/>
    <w:rsid w:val="63780F08"/>
    <w:rsid w:val="6384309D"/>
    <w:rsid w:val="63915E1A"/>
    <w:rsid w:val="639349E4"/>
    <w:rsid w:val="63A31D8D"/>
    <w:rsid w:val="63A35098"/>
    <w:rsid w:val="63D71D77"/>
    <w:rsid w:val="64046F3F"/>
    <w:rsid w:val="640C46EE"/>
    <w:rsid w:val="641B2743"/>
    <w:rsid w:val="64202950"/>
    <w:rsid w:val="64232C25"/>
    <w:rsid w:val="642A7AC6"/>
    <w:rsid w:val="64302491"/>
    <w:rsid w:val="64365265"/>
    <w:rsid w:val="643D624F"/>
    <w:rsid w:val="64461A8D"/>
    <w:rsid w:val="64481EC5"/>
    <w:rsid w:val="645D00A8"/>
    <w:rsid w:val="64665A5F"/>
    <w:rsid w:val="648D4636"/>
    <w:rsid w:val="64A906DE"/>
    <w:rsid w:val="64C027F7"/>
    <w:rsid w:val="64C55F6D"/>
    <w:rsid w:val="64CA52CD"/>
    <w:rsid w:val="64E80AF7"/>
    <w:rsid w:val="64F20074"/>
    <w:rsid w:val="64F84D63"/>
    <w:rsid w:val="65047DEA"/>
    <w:rsid w:val="651450C4"/>
    <w:rsid w:val="6523175B"/>
    <w:rsid w:val="65263365"/>
    <w:rsid w:val="6532360C"/>
    <w:rsid w:val="65384140"/>
    <w:rsid w:val="6540238A"/>
    <w:rsid w:val="654F279D"/>
    <w:rsid w:val="654F712D"/>
    <w:rsid w:val="6550719F"/>
    <w:rsid w:val="65582566"/>
    <w:rsid w:val="656767F4"/>
    <w:rsid w:val="65703F45"/>
    <w:rsid w:val="657623A2"/>
    <w:rsid w:val="657B2E7A"/>
    <w:rsid w:val="659001DF"/>
    <w:rsid w:val="659F6554"/>
    <w:rsid w:val="65A01502"/>
    <w:rsid w:val="65AA729B"/>
    <w:rsid w:val="65C07687"/>
    <w:rsid w:val="65CE719C"/>
    <w:rsid w:val="65D44C71"/>
    <w:rsid w:val="66067B3E"/>
    <w:rsid w:val="660D6E29"/>
    <w:rsid w:val="664C4931"/>
    <w:rsid w:val="66684C16"/>
    <w:rsid w:val="667C33AB"/>
    <w:rsid w:val="668631FF"/>
    <w:rsid w:val="668D2AF9"/>
    <w:rsid w:val="668F23F2"/>
    <w:rsid w:val="669002C8"/>
    <w:rsid w:val="6696589F"/>
    <w:rsid w:val="669F1E91"/>
    <w:rsid w:val="66A21BDC"/>
    <w:rsid w:val="66B44643"/>
    <w:rsid w:val="66C22581"/>
    <w:rsid w:val="66C72AD4"/>
    <w:rsid w:val="66CE620C"/>
    <w:rsid w:val="66DF423A"/>
    <w:rsid w:val="66F617D4"/>
    <w:rsid w:val="66FE4B85"/>
    <w:rsid w:val="67054C42"/>
    <w:rsid w:val="67076253"/>
    <w:rsid w:val="670E078C"/>
    <w:rsid w:val="671D2022"/>
    <w:rsid w:val="671E284C"/>
    <w:rsid w:val="6720724C"/>
    <w:rsid w:val="675221A1"/>
    <w:rsid w:val="675B29D6"/>
    <w:rsid w:val="675B54F3"/>
    <w:rsid w:val="677849DE"/>
    <w:rsid w:val="67A47AFC"/>
    <w:rsid w:val="67AF1329"/>
    <w:rsid w:val="67BD61FF"/>
    <w:rsid w:val="67C85197"/>
    <w:rsid w:val="67C97AA6"/>
    <w:rsid w:val="67DF1F4B"/>
    <w:rsid w:val="67E70712"/>
    <w:rsid w:val="67E919B9"/>
    <w:rsid w:val="67EC5218"/>
    <w:rsid w:val="67F669A3"/>
    <w:rsid w:val="68080EBA"/>
    <w:rsid w:val="681C084A"/>
    <w:rsid w:val="68397157"/>
    <w:rsid w:val="684F4D9A"/>
    <w:rsid w:val="685617D2"/>
    <w:rsid w:val="68566270"/>
    <w:rsid w:val="68894BD9"/>
    <w:rsid w:val="688B2417"/>
    <w:rsid w:val="689B086B"/>
    <w:rsid w:val="689E78C0"/>
    <w:rsid w:val="68A11FFC"/>
    <w:rsid w:val="68B548EA"/>
    <w:rsid w:val="68BA0FFE"/>
    <w:rsid w:val="68BE3936"/>
    <w:rsid w:val="68CF266A"/>
    <w:rsid w:val="68DC5B0D"/>
    <w:rsid w:val="68E103E4"/>
    <w:rsid w:val="68EA6920"/>
    <w:rsid w:val="68F63D76"/>
    <w:rsid w:val="68F90A27"/>
    <w:rsid w:val="68F95603"/>
    <w:rsid w:val="69080724"/>
    <w:rsid w:val="690A5E2E"/>
    <w:rsid w:val="69123CCD"/>
    <w:rsid w:val="69143427"/>
    <w:rsid w:val="69204914"/>
    <w:rsid w:val="69370C0A"/>
    <w:rsid w:val="694B782B"/>
    <w:rsid w:val="69675B29"/>
    <w:rsid w:val="696C17FE"/>
    <w:rsid w:val="698C42AC"/>
    <w:rsid w:val="6990007F"/>
    <w:rsid w:val="699E369E"/>
    <w:rsid w:val="69A8277D"/>
    <w:rsid w:val="69AB6490"/>
    <w:rsid w:val="69B3740F"/>
    <w:rsid w:val="69C30981"/>
    <w:rsid w:val="69D03D69"/>
    <w:rsid w:val="69D1521C"/>
    <w:rsid w:val="69E601F1"/>
    <w:rsid w:val="69E656B7"/>
    <w:rsid w:val="69F94445"/>
    <w:rsid w:val="6A082A23"/>
    <w:rsid w:val="6A213DF3"/>
    <w:rsid w:val="6A2754A0"/>
    <w:rsid w:val="6A2E7B03"/>
    <w:rsid w:val="6A32546A"/>
    <w:rsid w:val="6A4A03DC"/>
    <w:rsid w:val="6A5B5EDE"/>
    <w:rsid w:val="6A841AF6"/>
    <w:rsid w:val="6A864366"/>
    <w:rsid w:val="6A8E6B8C"/>
    <w:rsid w:val="6AB47B7F"/>
    <w:rsid w:val="6ACB1B27"/>
    <w:rsid w:val="6AD10C16"/>
    <w:rsid w:val="6AF635A4"/>
    <w:rsid w:val="6AFA6971"/>
    <w:rsid w:val="6B01144B"/>
    <w:rsid w:val="6B166D62"/>
    <w:rsid w:val="6B1C16AA"/>
    <w:rsid w:val="6B1F48CC"/>
    <w:rsid w:val="6B323A45"/>
    <w:rsid w:val="6B3C2F30"/>
    <w:rsid w:val="6B3D6629"/>
    <w:rsid w:val="6B416C28"/>
    <w:rsid w:val="6B553720"/>
    <w:rsid w:val="6B5A37C0"/>
    <w:rsid w:val="6B667790"/>
    <w:rsid w:val="6B697BD2"/>
    <w:rsid w:val="6B6E7C04"/>
    <w:rsid w:val="6B79716D"/>
    <w:rsid w:val="6B88754C"/>
    <w:rsid w:val="6B952D44"/>
    <w:rsid w:val="6BA46A58"/>
    <w:rsid w:val="6BB875B4"/>
    <w:rsid w:val="6BBF6690"/>
    <w:rsid w:val="6BC4115D"/>
    <w:rsid w:val="6BD45F95"/>
    <w:rsid w:val="6BE26BB3"/>
    <w:rsid w:val="6BE829F3"/>
    <w:rsid w:val="6BE936E1"/>
    <w:rsid w:val="6BEB31A9"/>
    <w:rsid w:val="6BED623B"/>
    <w:rsid w:val="6C25137A"/>
    <w:rsid w:val="6C473655"/>
    <w:rsid w:val="6C4A7F1B"/>
    <w:rsid w:val="6C4E02CC"/>
    <w:rsid w:val="6C4E13E9"/>
    <w:rsid w:val="6C5A269B"/>
    <w:rsid w:val="6C5C1C80"/>
    <w:rsid w:val="6C5D65A3"/>
    <w:rsid w:val="6C7923D7"/>
    <w:rsid w:val="6C843856"/>
    <w:rsid w:val="6C9D1EE5"/>
    <w:rsid w:val="6C9E31AA"/>
    <w:rsid w:val="6CC0593E"/>
    <w:rsid w:val="6CD05B09"/>
    <w:rsid w:val="6CDF772F"/>
    <w:rsid w:val="6CFD38CF"/>
    <w:rsid w:val="6D056FFD"/>
    <w:rsid w:val="6D0614B9"/>
    <w:rsid w:val="6D06374F"/>
    <w:rsid w:val="6D115CAA"/>
    <w:rsid w:val="6D171A18"/>
    <w:rsid w:val="6D176ED5"/>
    <w:rsid w:val="6D1A7CF4"/>
    <w:rsid w:val="6D1F00B2"/>
    <w:rsid w:val="6D232474"/>
    <w:rsid w:val="6D2758B2"/>
    <w:rsid w:val="6D28224F"/>
    <w:rsid w:val="6D2F3CA5"/>
    <w:rsid w:val="6D345020"/>
    <w:rsid w:val="6D386959"/>
    <w:rsid w:val="6D5E702E"/>
    <w:rsid w:val="6D652E75"/>
    <w:rsid w:val="6D7A26E2"/>
    <w:rsid w:val="6D8661F4"/>
    <w:rsid w:val="6D8C0497"/>
    <w:rsid w:val="6D8F4966"/>
    <w:rsid w:val="6DAE3742"/>
    <w:rsid w:val="6DBE2013"/>
    <w:rsid w:val="6DD52DE0"/>
    <w:rsid w:val="6DE22E9A"/>
    <w:rsid w:val="6DE53EBE"/>
    <w:rsid w:val="6E0C0361"/>
    <w:rsid w:val="6E0F6496"/>
    <w:rsid w:val="6E1B2080"/>
    <w:rsid w:val="6E242BE5"/>
    <w:rsid w:val="6E271736"/>
    <w:rsid w:val="6E272E47"/>
    <w:rsid w:val="6E2F15EA"/>
    <w:rsid w:val="6E437EC5"/>
    <w:rsid w:val="6E4C3F80"/>
    <w:rsid w:val="6E4E1CC2"/>
    <w:rsid w:val="6E503F21"/>
    <w:rsid w:val="6E515AF5"/>
    <w:rsid w:val="6E56481A"/>
    <w:rsid w:val="6E57789D"/>
    <w:rsid w:val="6E5B56E9"/>
    <w:rsid w:val="6E6460A2"/>
    <w:rsid w:val="6E854BF9"/>
    <w:rsid w:val="6E871530"/>
    <w:rsid w:val="6E94560C"/>
    <w:rsid w:val="6E9B4EFB"/>
    <w:rsid w:val="6EAA2C7C"/>
    <w:rsid w:val="6EBE2611"/>
    <w:rsid w:val="6EC452C7"/>
    <w:rsid w:val="6EC95827"/>
    <w:rsid w:val="6ECD3C78"/>
    <w:rsid w:val="6ED272D4"/>
    <w:rsid w:val="6EDC4D30"/>
    <w:rsid w:val="6EEC3615"/>
    <w:rsid w:val="6EF1609B"/>
    <w:rsid w:val="6EFE7BAE"/>
    <w:rsid w:val="6F0F66E4"/>
    <w:rsid w:val="6F195713"/>
    <w:rsid w:val="6F2348FF"/>
    <w:rsid w:val="6F2561DF"/>
    <w:rsid w:val="6F3647DC"/>
    <w:rsid w:val="6F463EFC"/>
    <w:rsid w:val="6F4C50AA"/>
    <w:rsid w:val="6F540F06"/>
    <w:rsid w:val="6F593806"/>
    <w:rsid w:val="6F6064D8"/>
    <w:rsid w:val="6F662D01"/>
    <w:rsid w:val="6F7354A1"/>
    <w:rsid w:val="6F7D5821"/>
    <w:rsid w:val="6F812124"/>
    <w:rsid w:val="6FA41B60"/>
    <w:rsid w:val="6FDE3A69"/>
    <w:rsid w:val="6FE53391"/>
    <w:rsid w:val="6FE94882"/>
    <w:rsid w:val="6FEA3BA9"/>
    <w:rsid w:val="6FF13958"/>
    <w:rsid w:val="701A188F"/>
    <w:rsid w:val="701A779C"/>
    <w:rsid w:val="7020362E"/>
    <w:rsid w:val="70236EDB"/>
    <w:rsid w:val="702E5FE0"/>
    <w:rsid w:val="703F08A8"/>
    <w:rsid w:val="7077391B"/>
    <w:rsid w:val="707A3FF0"/>
    <w:rsid w:val="707F1BF1"/>
    <w:rsid w:val="708A3A30"/>
    <w:rsid w:val="7091197A"/>
    <w:rsid w:val="709274F8"/>
    <w:rsid w:val="70940455"/>
    <w:rsid w:val="70AB28A2"/>
    <w:rsid w:val="70AE6210"/>
    <w:rsid w:val="70D4319B"/>
    <w:rsid w:val="70E44486"/>
    <w:rsid w:val="70EE4760"/>
    <w:rsid w:val="71073B9A"/>
    <w:rsid w:val="71125845"/>
    <w:rsid w:val="712E4E24"/>
    <w:rsid w:val="71472913"/>
    <w:rsid w:val="714B71FE"/>
    <w:rsid w:val="7153687D"/>
    <w:rsid w:val="71564EAE"/>
    <w:rsid w:val="71601DC8"/>
    <w:rsid w:val="719A436D"/>
    <w:rsid w:val="71A13640"/>
    <w:rsid w:val="71EB36B7"/>
    <w:rsid w:val="71EC297A"/>
    <w:rsid w:val="71F24DDE"/>
    <w:rsid w:val="722413ED"/>
    <w:rsid w:val="722E7827"/>
    <w:rsid w:val="72405742"/>
    <w:rsid w:val="72447460"/>
    <w:rsid w:val="725043BE"/>
    <w:rsid w:val="72761F66"/>
    <w:rsid w:val="728F7E70"/>
    <w:rsid w:val="72BA4FC0"/>
    <w:rsid w:val="72CB3151"/>
    <w:rsid w:val="72CF143B"/>
    <w:rsid w:val="72EA7A42"/>
    <w:rsid w:val="72F64B58"/>
    <w:rsid w:val="72F857DB"/>
    <w:rsid w:val="730A5F97"/>
    <w:rsid w:val="730B25CA"/>
    <w:rsid w:val="73267CAC"/>
    <w:rsid w:val="7332578B"/>
    <w:rsid w:val="73416F34"/>
    <w:rsid w:val="7363108B"/>
    <w:rsid w:val="73644C23"/>
    <w:rsid w:val="73667E31"/>
    <w:rsid w:val="736E269B"/>
    <w:rsid w:val="737B75CC"/>
    <w:rsid w:val="73A24BEB"/>
    <w:rsid w:val="73DA388A"/>
    <w:rsid w:val="73E07C1B"/>
    <w:rsid w:val="741D184B"/>
    <w:rsid w:val="742C206C"/>
    <w:rsid w:val="74325DA8"/>
    <w:rsid w:val="74485198"/>
    <w:rsid w:val="74545E2B"/>
    <w:rsid w:val="747C000B"/>
    <w:rsid w:val="747D236C"/>
    <w:rsid w:val="748C6C63"/>
    <w:rsid w:val="748E2589"/>
    <w:rsid w:val="74A009A2"/>
    <w:rsid w:val="74B91B19"/>
    <w:rsid w:val="74D14ABC"/>
    <w:rsid w:val="74DC068C"/>
    <w:rsid w:val="74F32A8D"/>
    <w:rsid w:val="74F6612C"/>
    <w:rsid w:val="75043F9D"/>
    <w:rsid w:val="750F76B9"/>
    <w:rsid w:val="751C3984"/>
    <w:rsid w:val="7521497F"/>
    <w:rsid w:val="7531329E"/>
    <w:rsid w:val="753F60CE"/>
    <w:rsid w:val="75556BE4"/>
    <w:rsid w:val="755920FA"/>
    <w:rsid w:val="755E3FFA"/>
    <w:rsid w:val="75834362"/>
    <w:rsid w:val="75840650"/>
    <w:rsid w:val="758976E3"/>
    <w:rsid w:val="75947E4A"/>
    <w:rsid w:val="7596339E"/>
    <w:rsid w:val="759877C4"/>
    <w:rsid w:val="75C52227"/>
    <w:rsid w:val="75D342A1"/>
    <w:rsid w:val="75EF48CB"/>
    <w:rsid w:val="75FE2E15"/>
    <w:rsid w:val="7608295C"/>
    <w:rsid w:val="761A18A4"/>
    <w:rsid w:val="761D5E01"/>
    <w:rsid w:val="76266C7C"/>
    <w:rsid w:val="76322F81"/>
    <w:rsid w:val="7634361A"/>
    <w:rsid w:val="7646628D"/>
    <w:rsid w:val="76734ACB"/>
    <w:rsid w:val="767B35A9"/>
    <w:rsid w:val="767B4396"/>
    <w:rsid w:val="76A63909"/>
    <w:rsid w:val="76A84370"/>
    <w:rsid w:val="76B309B6"/>
    <w:rsid w:val="76C2555D"/>
    <w:rsid w:val="76DC1088"/>
    <w:rsid w:val="76EC0032"/>
    <w:rsid w:val="76EE6DA4"/>
    <w:rsid w:val="77005807"/>
    <w:rsid w:val="770411DA"/>
    <w:rsid w:val="77183689"/>
    <w:rsid w:val="771B7DCF"/>
    <w:rsid w:val="771D7F76"/>
    <w:rsid w:val="77247223"/>
    <w:rsid w:val="77261351"/>
    <w:rsid w:val="77295CB7"/>
    <w:rsid w:val="77336A28"/>
    <w:rsid w:val="77421CCB"/>
    <w:rsid w:val="774564D9"/>
    <w:rsid w:val="774646A6"/>
    <w:rsid w:val="77491AD3"/>
    <w:rsid w:val="774F166C"/>
    <w:rsid w:val="77505F85"/>
    <w:rsid w:val="775F7CAF"/>
    <w:rsid w:val="77697D4F"/>
    <w:rsid w:val="776D3126"/>
    <w:rsid w:val="77792925"/>
    <w:rsid w:val="778D09DD"/>
    <w:rsid w:val="779C3D69"/>
    <w:rsid w:val="77A8753C"/>
    <w:rsid w:val="77C63A9F"/>
    <w:rsid w:val="77CC07F4"/>
    <w:rsid w:val="77E432E5"/>
    <w:rsid w:val="77FD14E6"/>
    <w:rsid w:val="781629D8"/>
    <w:rsid w:val="782071CC"/>
    <w:rsid w:val="782458C7"/>
    <w:rsid w:val="78286F6E"/>
    <w:rsid w:val="783C460E"/>
    <w:rsid w:val="785B6F06"/>
    <w:rsid w:val="787A0601"/>
    <w:rsid w:val="787E124C"/>
    <w:rsid w:val="788F2F92"/>
    <w:rsid w:val="78B8750E"/>
    <w:rsid w:val="78BB1A9E"/>
    <w:rsid w:val="78BD6766"/>
    <w:rsid w:val="78C26359"/>
    <w:rsid w:val="78CA2856"/>
    <w:rsid w:val="78CA6C24"/>
    <w:rsid w:val="78ED5427"/>
    <w:rsid w:val="78EE5F43"/>
    <w:rsid w:val="79094F1F"/>
    <w:rsid w:val="790C3680"/>
    <w:rsid w:val="790E0FE8"/>
    <w:rsid w:val="790F7365"/>
    <w:rsid w:val="791B1558"/>
    <w:rsid w:val="79291DEE"/>
    <w:rsid w:val="792A0CE5"/>
    <w:rsid w:val="79502F31"/>
    <w:rsid w:val="795C5215"/>
    <w:rsid w:val="797A09B5"/>
    <w:rsid w:val="79851A9B"/>
    <w:rsid w:val="798633F2"/>
    <w:rsid w:val="798B79CA"/>
    <w:rsid w:val="79A373BF"/>
    <w:rsid w:val="79AA3810"/>
    <w:rsid w:val="79DB2631"/>
    <w:rsid w:val="7A143B20"/>
    <w:rsid w:val="7A424D92"/>
    <w:rsid w:val="7A49239E"/>
    <w:rsid w:val="7A5A6065"/>
    <w:rsid w:val="7A803E1F"/>
    <w:rsid w:val="7AAB6F3B"/>
    <w:rsid w:val="7AB07AB4"/>
    <w:rsid w:val="7AB521F8"/>
    <w:rsid w:val="7ADB7EC1"/>
    <w:rsid w:val="7AE64B7D"/>
    <w:rsid w:val="7AEC5E38"/>
    <w:rsid w:val="7AFF0985"/>
    <w:rsid w:val="7B0E5665"/>
    <w:rsid w:val="7B177705"/>
    <w:rsid w:val="7B1C27D9"/>
    <w:rsid w:val="7B213AA7"/>
    <w:rsid w:val="7B2A2595"/>
    <w:rsid w:val="7B2E5500"/>
    <w:rsid w:val="7B33585F"/>
    <w:rsid w:val="7B43590C"/>
    <w:rsid w:val="7B5D792F"/>
    <w:rsid w:val="7B5E3751"/>
    <w:rsid w:val="7B827FCE"/>
    <w:rsid w:val="7BD81D81"/>
    <w:rsid w:val="7BDA5FC3"/>
    <w:rsid w:val="7BEA45DA"/>
    <w:rsid w:val="7C011C65"/>
    <w:rsid w:val="7C1B4469"/>
    <w:rsid w:val="7C3958A2"/>
    <w:rsid w:val="7C440773"/>
    <w:rsid w:val="7C4B3404"/>
    <w:rsid w:val="7C5A7981"/>
    <w:rsid w:val="7C68556F"/>
    <w:rsid w:val="7C6A2A77"/>
    <w:rsid w:val="7C6B0869"/>
    <w:rsid w:val="7C85371C"/>
    <w:rsid w:val="7C9612DC"/>
    <w:rsid w:val="7C9B74B3"/>
    <w:rsid w:val="7CA25301"/>
    <w:rsid w:val="7CAD2191"/>
    <w:rsid w:val="7CAE724A"/>
    <w:rsid w:val="7CB075D3"/>
    <w:rsid w:val="7CB527ED"/>
    <w:rsid w:val="7CBA55F9"/>
    <w:rsid w:val="7CBC3EE7"/>
    <w:rsid w:val="7CDE5A03"/>
    <w:rsid w:val="7CE533B6"/>
    <w:rsid w:val="7CEB0FD9"/>
    <w:rsid w:val="7CF027BC"/>
    <w:rsid w:val="7CF40C29"/>
    <w:rsid w:val="7CF45368"/>
    <w:rsid w:val="7D2E4452"/>
    <w:rsid w:val="7D4214F0"/>
    <w:rsid w:val="7D4E3773"/>
    <w:rsid w:val="7D795BA3"/>
    <w:rsid w:val="7DA527B2"/>
    <w:rsid w:val="7DAC267F"/>
    <w:rsid w:val="7DB46401"/>
    <w:rsid w:val="7DCA4526"/>
    <w:rsid w:val="7DDD198B"/>
    <w:rsid w:val="7DE25423"/>
    <w:rsid w:val="7DE268BA"/>
    <w:rsid w:val="7DE33DB1"/>
    <w:rsid w:val="7E145B40"/>
    <w:rsid w:val="7E1B0927"/>
    <w:rsid w:val="7E21373B"/>
    <w:rsid w:val="7E4436FD"/>
    <w:rsid w:val="7E4F4A7A"/>
    <w:rsid w:val="7E583F84"/>
    <w:rsid w:val="7E5E26E9"/>
    <w:rsid w:val="7E885D76"/>
    <w:rsid w:val="7E93642F"/>
    <w:rsid w:val="7EA37ABE"/>
    <w:rsid w:val="7EB15435"/>
    <w:rsid w:val="7EB964EB"/>
    <w:rsid w:val="7EC679B0"/>
    <w:rsid w:val="7ECC6873"/>
    <w:rsid w:val="7EEF2E37"/>
    <w:rsid w:val="7EF30CE6"/>
    <w:rsid w:val="7F096515"/>
    <w:rsid w:val="7F0A1BD2"/>
    <w:rsid w:val="7F0A7F7E"/>
    <w:rsid w:val="7F0F2A88"/>
    <w:rsid w:val="7F104112"/>
    <w:rsid w:val="7F1D43AD"/>
    <w:rsid w:val="7F1E138C"/>
    <w:rsid w:val="7F222DAF"/>
    <w:rsid w:val="7F3727A5"/>
    <w:rsid w:val="7F3901CB"/>
    <w:rsid w:val="7F3A6E9B"/>
    <w:rsid w:val="7F3D33D1"/>
    <w:rsid w:val="7F3D4C5F"/>
    <w:rsid w:val="7F6F13AF"/>
    <w:rsid w:val="7F77544B"/>
    <w:rsid w:val="7F9E75DF"/>
    <w:rsid w:val="7FA9008A"/>
    <w:rsid w:val="7FB075EF"/>
    <w:rsid w:val="7FB218E5"/>
    <w:rsid w:val="7FBA1C2A"/>
    <w:rsid w:val="7FCB5DC9"/>
    <w:rsid w:val="7FF245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 w:type="paragraph" w:styleId="4">
    <w:name w:val="List Paragraph"/>
    <w:basedOn w:val="1"/>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4155</Words>
  <Characters>4451</Characters>
  <Lines>385</Lines>
  <Paragraphs>329</Paragraphs>
  <TotalTime>4</TotalTime>
  <ScaleCrop>false</ScaleCrop>
  <LinksUpToDate>false</LinksUpToDate>
  <CharactersWithSpaces>4527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2025-11-11T07:30:00Z</dcterms:created>
  <dc:creator>俞天皓</dc:creator>
  <cp:lastModifiedBy>冯天蔚</cp:lastModifiedBy>
  <cp:lastPrinted>2024-04-22T01:09:00Z</cp:lastPrinted>
  <dcterms:modified xsi:type="dcterms:W3CDTF">2026-09-23T09:20:38Z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80B17C29462A45B5A8F7C6774D70A4D6_13</vt:lpwstr>
  </property>
  <property fmtid="{D5CDD505-2E9C-101B-9397-08002B2CF9AE}" pid="4" name="KSOTemplateDocerSaveRecord">
    <vt:lpwstr>eyJoZGlkIjoiOTk5Y2FiOGJkOGUwNGRjZjc1MWJjZWFmNDAyODNmZTciLCJ1c2VySWQiOiIxNTg5MDA3ODAyIn0=</vt:lpwstr>
  </property>
</Properties>
</file>