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7A259476">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证券代码：</w:t>
      </w:r>
      <w:r>
        <w:rPr>
          <w:rFonts w:ascii="Times New Roman" w:cs="Times New Roman" w:hAnsi="Times New Roman"/>
          <w:sz w:val="24"/>
          <w:szCs w:val="24"/>
        </w:rPr>
        <w:t xml:space="preserve">603530                                 </w:t>
      </w:r>
      <w:r>
        <w:rPr>
          <w:rFonts w:ascii="Times New Roman" w:cs="Times New Roman" w:hAnsi="Times New Roman"/>
          <w:sz w:val="24"/>
          <w:szCs w:val="24"/>
        </w:rPr>
        <w:t>证券简称：神马电力</w:t>
      </w:r>
    </w:p>
    <w:p w14:paraId="39A4B1C0">
      <w:pPr>
        <w:pStyle w:val="style0"/>
        <w:spacing w:lineRule="auto" w:line="360"/>
        <w:rPr>
          <w:rFonts w:ascii="Arial" w:cs="Arial" w:hAnsi="Arial"/>
          <w:sz w:val="24"/>
          <w:szCs w:val="24"/>
        </w:rPr>
      </w:pPr>
    </w:p>
    <w:p w14:paraId="198A1CB9">
      <w:pPr>
        <w:pStyle w:val="style0"/>
        <w:spacing w:lineRule="auto" w:line="360"/>
        <w:jc w:val="center"/>
        <w:rPr>
          <w:rFonts w:ascii="Arial" w:cs="Arial" w:eastAsia="黑体" w:hAnsi="Arial"/>
          <w:b/>
          <w:sz w:val="32"/>
          <w:szCs w:val="32"/>
        </w:rPr>
      </w:pPr>
      <w:r>
        <w:rPr>
          <w:rFonts w:ascii="Arial" w:cs="Arial" w:eastAsia="黑体" w:hAnsi="Arial"/>
          <w:b/>
          <w:sz w:val="32"/>
          <w:szCs w:val="32"/>
        </w:rPr>
        <w:t>江苏神马电力股份有限公司</w:t>
      </w:r>
    </w:p>
    <w:p w14:paraId="3B6C03B3">
      <w:pPr>
        <w:pStyle w:val="style0"/>
        <w:spacing w:lineRule="auto" w:line="360"/>
        <w:jc w:val="center"/>
        <w:rPr>
          <w:rFonts w:ascii="Arial" w:cs="Arial" w:eastAsia="黑体" w:hAnsi="Arial"/>
          <w:b/>
          <w:sz w:val="32"/>
          <w:szCs w:val="32"/>
        </w:rPr>
      </w:pPr>
      <w:r>
        <w:rPr>
          <w:rFonts w:ascii="Arial" w:cs="Arial" w:eastAsia="黑体" w:hAnsi="Arial" w:hint="eastAsia"/>
          <w:b/>
          <w:sz w:val="32"/>
          <w:szCs w:val="32"/>
        </w:rPr>
        <w:t>投资者关系活动记录表</w:t>
      </w:r>
    </w:p>
    <w:p w14:paraId="5DE871E2">
      <w:pPr>
        <w:pStyle w:val="style0"/>
        <w:spacing w:lineRule="auto" w:line="360"/>
        <w:jc w:val="right"/>
        <w:rPr>
          <w:rFonts w:ascii="Arial" w:cs="Arial" w:eastAsia="黑体" w:hAnsi="Arial"/>
          <w:b/>
          <w:color w:val="ff0000"/>
          <w:sz w:val="32"/>
          <w:szCs w:val="32"/>
        </w:rPr>
      </w:pPr>
      <w:r>
        <w:rPr>
          <w:rFonts w:ascii="Times New Roman" w:cs="Times New Roman" w:hAnsi="Times New Roman"/>
          <w:sz w:val="24"/>
          <w:szCs w:val="24"/>
        </w:rPr>
        <w:t>编号：</w:t>
      </w:r>
      <w:r>
        <w:rPr>
          <w:rFonts w:ascii="Times New Roman" w:cs="Times New Roman" w:hAnsi="Times New Roman"/>
          <w:sz w:val="24"/>
          <w:szCs w:val="24"/>
        </w:rPr>
        <w:t>20</w:t>
      </w:r>
      <w:r>
        <w:rPr>
          <w:rFonts w:ascii="Times New Roman" w:cs="Times New Roman" w:hAnsi="Times New Roman" w:hint="eastAsia"/>
          <w:sz w:val="24"/>
          <w:szCs w:val="24"/>
        </w:rPr>
        <w:t>2</w:t>
      </w:r>
      <w:r>
        <w:rPr>
          <w:rFonts w:ascii="Times New Roman" w:cs="Times New Roman" w:hAnsi="Times New Roman"/>
          <w:sz w:val="24"/>
          <w:szCs w:val="24"/>
        </w:rPr>
        <w:t>6-01</w:t>
      </w:r>
      <w:r>
        <w:rPr>
          <w:rFonts w:ascii="Times New Roman" w:cs="Times New Roman" w:hAnsi="Times New Roman" w:hint="eastAsia"/>
          <w:sz w:val="24"/>
          <w:szCs w:val="24"/>
        </w:rPr>
        <w:t>9</w:t>
      </w:r>
    </w:p>
    <w:bookmarkStart w:id="0" w:name="OLE_LINK2"/>
    <w:bookmarkStart w:id="1" w:name="OLE_LINK1"/>
    <w:tbl>
      <w:tblPr>
        <w:tblStyle w:val="style154"/>
        <w:tblW w:w="8642" w:type="dxa"/>
        <w:jc w:val="center"/>
        <w:tblLook w:val="04A0" w:firstRow="1" w:lastRow="0" w:firstColumn="1" w:lastColumn="0" w:noHBand="0" w:noVBand="1"/>
      </w:tblPr>
      <w:tblGrid>
        <w:gridCol w:w="2405"/>
        <w:gridCol w:w="6237"/>
      </w:tblGrid>
      <w:tr w14:paraId="31C55DC2">
        <w:trPr>
          <w:jc w:val="center"/>
        </w:trPr>
        <w:tc>
          <w:tcPr>
            <w:tcW w:w="2405" w:type="dxa"/>
            <w:tcBorders/>
            <w:vAlign w:val="center"/>
          </w:tcPr>
          <w:p w14:paraId="215A647E">
            <w:pPr>
              <w:pStyle w:val="style0"/>
              <w:adjustRightInd w:val="false"/>
              <w:snapToGrid w:val="false"/>
              <w:rPr>
                <w:rFonts w:ascii="宋体" w:cs="Arial" w:hAnsi="宋体" w:hint="eastAsia"/>
                <w:sz w:val="24"/>
                <w:szCs w:val="24"/>
              </w:rPr>
            </w:pPr>
            <w:r>
              <w:rPr>
                <w:rFonts w:ascii="宋体" w:cs="Arial" w:hAnsi="宋体" w:hint="eastAsia"/>
                <w:sz w:val="24"/>
                <w:szCs w:val="24"/>
              </w:rPr>
              <w:t>投资者关系活动类别</w:t>
            </w:r>
          </w:p>
        </w:tc>
        <w:tc>
          <w:tcPr>
            <w:tcW w:w="6237" w:type="dxa"/>
            <w:tcBorders/>
            <w:vAlign w:val="center"/>
          </w:tcPr>
          <w:p w14:paraId="24F668B2">
            <w:pPr>
              <w:pStyle w:val="style0"/>
              <w:adjustRightInd w:val="false"/>
              <w:snapToGrid w:val="false"/>
              <w:rPr>
                <w:rFonts w:ascii="宋体" w:cs="Arial" w:hAnsi="宋体" w:hint="eastAsia"/>
                <w:sz w:val="24"/>
                <w:szCs w:val="24"/>
              </w:rPr>
            </w:pPr>
            <w:r>
              <w:rPr>
                <w:rFonts w:ascii="宋体" w:cs="Arial" w:hAnsi="宋体" w:hint="eastAsia"/>
                <w:sz w:val="24"/>
                <w:szCs w:val="24"/>
              </w:rPr>
              <w:t>特定对象调研</w:t>
            </w:r>
          </w:p>
        </w:tc>
      </w:tr>
      <w:tr w14:paraId="281EEB25">
        <w:tblPrEx/>
        <w:trPr>
          <w:jc w:val="center"/>
        </w:trPr>
        <w:tc>
          <w:tcPr>
            <w:tcW w:w="2405" w:type="dxa"/>
            <w:tcBorders/>
            <w:vAlign w:val="center"/>
          </w:tcPr>
          <w:p w14:paraId="7BA23A8B">
            <w:pPr>
              <w:pStyle w:val="style0"/>
              <w:adjustRightInd w:val="false"/>
              <w:snapToGrid w:val="false"/>
              <w:rPr>
                <w:rFonts w:ascii="Times New Roman" w:cs="Times New Roman" w:hAnsi="Times New Roman"/>
                <w:sz w:val="24"/>
                <w:szCs w:val="24"/>
              </w:rPr>
            </w:pPr>
            <w:r>
              <w:rPr>
                <w:rFonts w:ascii="Times New Roman" w:cs="Times New Roman" w:hAnsi="Times New Roman"/>
                <w:sz w:val="24"/>
                <w:szCs w:val="24"/>
              </w:rPr>
              <w:t>时间</w:t>
            </w:r>
          </w:p>
        </w:tc>
        <w:tc>
          <w:tcPr>
            <w:tcW w:w="6237" w:type="dxa"/>
            <w:tcBorders/>
            <w:vAlign w:val="center"/>
          </w:tcPr>
          <w:p w14:paraId="1D968DCE">
            <w:pPr>
              <w:pStyle w:val="style0"/>
              <w:adjustRightInd w:val="false"/>
              <w:snapToGrid w:val="false"/>
              <w:rPr>
                <w:rFonts w:ascii="Times New Roman" w:cs="Times New Roman" w:hAnsi="Times New Roman"/>
                <w:sz w:val="24"/>
                <w:szCs w:val="24"/>
              </w:rPr>
            </w:pPr>
            <w:r>
              <w:rPr>
                <w:rFonts w:ascii="Times New Roman" w:cs="Times New Roman" w:hAnsi="Times New Roman"/>
                <w:sz w:val="24"/>
                <w:szCs w:val="24"/>
              </w:rPr>
              <w:t>2026</w:t>
            </w:r>
            <w:r>
              <w:rPr>
                <w:rFonts w:ascii="Times New Roman" w:cs="Times New Roman" w:hAnsi="Times New Roman"/>
                <w:sz w:val="24"/>
                <w:szCs w:val="24"/>
              </w:rPr>
              <w:t>年</w:t>
            </w:r>
            <w:r>
              <w:rPr>
                <w:rFonts w:ascii="Times New Roman" w:cs="Times New Roman" w:hAnsi="Times New Roman"/>
                <w:sz w:val="24"/>
                <w:szCs w:val="24"/>
              </w:rPr>
              <w:t>9</w:t>
            </w:r>
            <w:r>
              <w:rPr>
                <w:rFonts w:ascii="Times New Roman" w:cs="Times New Roman" w:hAnsi="Times New Roman"/>
                <w:sz w:val="24"/>
                <w:szCs w:val="24"/>
              </w:rPr>
              <w:t>月</w:t>
            </w:r>
            <w:r>
              <w:rPr>
                <w:rFonts w:ascii="Times New Roman" w:cs="Times New Roman" w:hAnsi="Times New Roman" w:hint="eastAsia"/>
                <w:sz w:val="24"/>
                <w:szCs w:val="24"/>
              </w:rPr>
              <w:t>2</w:t>
            </w:r>
            <w:r>
              <w:rPr>
                <w:rFonts w:ascii="Times New Roman" w:cs="Times New Roman" w:hAnsi="Times New Roman" w:hint="eastAsia"/>
                <w:sz w:val="24"/>
                <w:szCs w:val="24"/>
              </w:rPr>
              <w:t>9</w:t>
            </w:r>
            <w:r>
              <w:rPr>
                <w:rFonts w:ascii="Times New Roman" w:cs="Times New Roman" w:hAnsi="Times New Roman" w:hint="eastAsia"/>
                <w:sz w:val="24"/>
                <w:szCs w:val="24"/>
              </w:rPr>
              <w:t>日</w:t>
            </w:r>
          </w:p>
        </w:tc>
      </w:tr>
      <w:tr w14:paraId="0629DB3A">
        <w:tblPrEx/>
        <w:trPr>
          <w:jc w:val="center"/>
        </w:trPr>
        <w:tc>
          <w:tcPr>
            <w:tcW w:w="2405" w:type="dxa"/>
            <w:tcBorders/>
            <w:vAlign w:val="center"/>
          </w:tcPr>
          <w:p w14:paraId="521C8F0A">
            <w:pPr>
              <w:pStyle w:val="style0"/>
              <w:adjustRightInd w:val="false"/>
              <w:snapToGrid w:val="false"/>
              <w:rPr>
                <w:rFonts w:ascii="宋体" w:cs="Arial" w:hAnsi="宋体" w:hint="eastAsia"/>
                <w:sz w:val="24"/>
                <w:szCs w:val="24"/>
              </w:rPr>
            </w:pPr>
            <w:r>
              <w:rPr>
                <w:rFonts w:ascii="宋体" w:cs="Arial" w:hAnsi="宋体" w:hint="eastAsia"/>
                <w:sz w:val="24"/>
                <w:szCs w:val="24"/>
              </w:rPr>
              <w:t>地点</w:t>
            </w:r>
          </w:p>
        </w:tc>
        <w:tc>
          <w:tcPr>
            <w:tcW w:w="6237" w:type="dxa"/>
            <w:tcBorders/>
            <w:vAlign w:val="center"/>
          </w:tcPr>
          <w:p w14:paraId="20F39A5C">
            <w:pPr>
              <w:pStyle w:val="style0"/>
              <w:adjustRightInd w:val="false"/>
              <w:snapToGrid w:val="false"/>
              <w:rPr>
                <w:rFonts w:ascii="Times New Roman" w:cs="Times New Roman" w:hAnsi="Times New Roman"/>
                <w:sz w:val="24"/>
                <w:szCs w:val="24"/>
              </w:rPr>
            </w:pPr>
            <w:r>
              <w:rPr>
                <w:rFonts w:ascii="Times New Roman" w:cs="Times New Roman" w:hAnsi="Times New Roman"/>
                <w:sz w:val="24"/>
                <w:szCs w:val="24"/>
              </w:rPr>
              <w:t>Z</w:t>
            </w:r>
            <w:r>
              <w:rPr>
                <w:rFonts w:ascii="Times New Roman" w:cs="Times New Roman" w:hAnsi="Times New Roman" w:hint="eastAsia"/>
                <w:sz w:val="24"/>
                <w:szCs w:val="24"/>
              </w:rPr>
              <w:t>oom</w:t>
            </w:r>
            <w:r>
              <w:rPr>
                <w:rFonts w:ascii="Times New Roman" w:cs="Times New Roman" w:hAnsi="Times New Roman" w:hint="eastAsia"/>
                <w:sz w:val="24"/>
                <w:szCs w:val="24"/>
              </w:rPr>
              <w:t>会议</w:t>
            </w:r>
          </w:p>
        </w:tc>
      </w:tr>
      <w:tr w14:paraId="3E195858">
        <w:tblPrEx/>
        <w:trPr>
          <w:jc w:val="center"/>
        </w:trPr>
        <w:tc>
          <w:tcPr>
            <w:tcW w:w="2405" w:type="dxa"/>
            <w:tcBorders/>
            <w:vAlign w:val="center"/>
          </w:tcPr>
          <w:p w14:paraId="2441008D">
            <w:pPr>
              <w:pStyle w:val="style0"/>
              <w:adjustRightInd w:val="false"/>
              <w:snapToGrid w:val="false"/>
              <w:rPr>
                <w:rFonts w:ascii="宋体" w:cs="Arial" w:hAnsi="宋体" w:hint="eastAsia"/>
                <w:sz w:val="24"/>
                <w:szCs w:val="24"/>
              </w:rPr>
            </w:pPr>
            <w:r>
              <w:rPr>
                <w:rFonts w:ascii="宋体" w:cs="Arial" w:hAnsi="宋体" w:hint="eastAsia"/>
                <w:sz w:val="24"/>
                <w:szCs w:val="24"/>
              </w:rPr>
              <w:t>公司接待人员姓名</w:t>
            </w:r>
          </w:p>
        </w:tc>
        <w:tc>
          <w:tcPr>
            <w:tcW w:w="6237" w:type="dxa"/>
            <w:tcBorders/>
            <w:vAlign w:val="center"/>
          </w:tcPr>
          <w:p w14:paraId="79429F24">
            <w:pPr>
              <w:pStyle w:val="style0"/>
              <w:adjustRightInd w:val="false"/>
              <w:snapToGrid w:val="false"/>
              <w:rPr>
                <w:rFonts w:ascii="宋体" w:cs="Arial" w:hAnsi="宋体" w:hint="eastAsia"/>
                <w:sz w:val="24"/>
                <w:szCs w:val="24"/>
              </w:rPr>
            </w:pPr>
            <w:r>
              <w:rPr>
                <w:rFonts w:ascii="宋体" w:cs="Arial" w:hAnsi="宋体" w:hint="eastAsia"/>
                <w:sz w:val="24"/>
                <w:szCs w:val="24"/>
              </w:rPr>
              <w:t>副总经理、财务总监、董事会秘书：翁茂森</w:t>
            </w:r>
          </w:p>
        </w:tc>
      </w:tr>
      <w:tr w14:paraId="750400A7">
        <w:tblPrEx/>
        <w:trPr>
          <w:jc w:val="center"/>
        </w:trPr>
        <w:tc>
          <w:tcPr>
            <w:tcW w:w="2405" w:type="dxa"/>
            <w:tcBorders/>
            <w:vAlign w:val="center"/>
          </w:tcPr>
          <w:p w14:paraId="38210804">
            <w:pPr>
              <w:pStyle w:val="style0"/>
              <w:adjustRightInd w:val="false"/>
              <w:snapToGrid w:val="false"/>
              <w:rPr>
                <w:rFonts w:ascii="Times New Roman" w:cs="Times New Roman" w:hAnsi="Times New Roman"/>
                <w:sz w:val="24"/>
                <w:szCs w:val="24"/>
              </w:rPr>
            </w:pPr>
            <w:r>
              <w:rPr>
                <w:rFonts w:ascii="Times New Roman" w:cs="Times New Roman" w:hAnsi="Times New Roman"/>
                <w:sz w:val="24"/>
                <w:szCs w:val="24"/>
              </w:rPr>
              <w:t>参会单位名称</w:t>
            </w:r>
          </w:p>
        </w:tc>
        <w:tc>
          <w:tcPr>
            <w:tcW w:w="6237" w:type="dxa"/>
            <w:tcBorders/>
            <w:vAlign w:val="center"/>
          </w:tcPr>
          <w:p w14:paraId="1768D7A9">
            <w:pPr>
              <w:pStyle w:val="style0"/>
              <w:adjustRightInd w:val="false"/>
              <w:snapToGrid w:val="false"/>
              <w:rPr>
                <w:rFonts w:ascii="Times New Roman" w:cs="Times New Roman" w:hAnsi="Times New Roman"/>
                <w:sz w:val="24"/>
                <w:szCs w:val="24"/>
              </w:rPr>
            </w:pPr>
            <w:r>
              <w:rPr>
                <w:rFonts w:ascii="Times New Roman" w:cs="Times New Roman" w:hAnsi="Times New Roman" w:hint="eastAsia"/>
                <w:sz w:val="24"/>
                <w:szCs w:val="24"/>
              </w:rPr>
              <w:t>按机构名称首字母排序：</w:t>
            </w:r>
          </w:p>
          <w:p w14:paraId="52F6CF5C">
            <w:pPr>
              <w:pStyle w:val="style0"/>
              <w:adjustRightInd w:val="false"/>
              <w:snapToGrid w:val="false"/>
              <w:rPr>
                <w:rFonts w:ascii="Times New Roman" w:cs="Times New Roman" w:hAnsi="Times New Roman"/>
                <w:sz w:val="24"/>
                <w:szCs w:val="24"/>
              </w:rPr>
            </w:pPr>
            <w:r>
              <w:rPr>
                <w:rFonts w:ascii="Times New Roman" w:cs="Times New Roman" w:hAnsi="Times New Roman"/>
                <w:sz w:val="24"/>
                <w:szCs w:val="24"/>
              </w:rPr>
              <w:t>Barings</w:t>
            </w:r>
            <w:r>
              <w:rPr>
                <w:rFonts w:ascii="Times New Roman" w:cs="Times New Roman" w:hAnsi="Times New Roman" w:hint="eastAsia"/>
                <w:sz w:val="24"/>
                <w:szCs w:val="24"/>
              </w:rPr>
              <w:t>：</w:t>
            </w:r>
            <w:r>
              <w:rPr>
                <w:rFonts w:ascii="Times New Roman" w:cs="Times New Roman" w:hAnsi="Times New Roman"/>
                <w:sz w:val="24"/>
                <w:szCs w:val="24"/>
              </w:rPr>
              <w:t>Baiding Rong</w:t>
            </w:r>
            <w:r>
              <w:rPr>
                <w:rFonts w:ascii="Times New Roman" w:cs="Times New Roman" w:hAnsi="Times New Roman" w:hint="eastAsia"/>
                <w:sz w:val="24"/>
                <w:szCs w:val="24"/>
              </w:rPr>
              <w:t>；</w:t>
            </w:r>
          </w:p>
          <w:p w14:paraId="3A13F80A">
            <w:pPr>
              <w:pStyle w:val="style0"/>
              <w:adjustRightInd w:val="false"/>
              <w:snapToGrid w:val="false"/>
              <w:rPr>
                <w:rFonts w:ascii="Times New Roman" w:cs="Times New Roman" w:hAnsi="Times New Roman"/>
                <w:sz w:val="24"/>
                <w:szCs w:val="24"/>
              </w:rPr>
            </w:pPr>
            <w:r>
              <w:rPr>
                <w:rFonts w:ascii="Times New Roman" w:cs="Times New Roman" w:hAnsi="Times New Roman"/>
                <w:sz w:val="24"/>
                <w:szCs w:val="24"/>
              </w:rPr>
              <w:t>Hel Ved Capital</w:t>
            </w:r>
            <w:r>
              <w:rPr>
                <w:rFonts w:ascii="Times New Roman" w:cs="Times New Roman" w:hAnsi="Times New Roman" w:hint="eastAsia"/>
                <w:sz w:val="24"/>
                <w:szCs w:val="24"/>
              </w:rPr>
              <w:t>：</w:t>
            </w:r>
            <w:r>
              <w:rPr>
                <w:rFonts w:ascii="Times New Roman" w:cs="Times New Roman" w:hAnsi="Times New Roman"/>
                <w:sz w:val="24"/>
                <w:szCs w:val="24"/>
              </w:rPr>
              <w:t>Marshall Yang</w:t>
            </w:r>
            <w:r>
              <w:rPr>
                <w:rFonts w:ascii="Times New Roman" w:cs="Times New Roman" w:hAnsi="Times New Roman" w:hint="eastAsia"/>
                <w:sz w:val="24"/>
                <w:szCs w:val="24"/>
              </w:rPr>
              <w:t>；</w:t>
            </w:r>
          </w:p>
          <w:p w14:paraId="6B178EC0">
            <w:pPr>
              <w:pStyle w:val="style0"/>
              <w:adjustRightInd w:val="false"/>
              <w:snapToGrid w:val="false"/>
              <w:rPr>
                <w:rFonts w:ascii="Times New Roman" w:cs="Times New Roman" w:hAnsi="Times New Roman" w:hint="eastAsia"/>
                <w:sz w:val="24"/>
                <w:szCs w:val="24"/>
              </w:rPr>
            </w:pPr>
            <w:r>
              <w:rPr>
                <w:rFonts w:ascii="Times New Roman" w:cs="Times New Roman" w:hAnsi="Times New Roman"/>
                <w:sz w:val="24"/>
                <w:szCs w:val="24"/>
              </w:rPr>
              <w:t>ODDO BHF Asset Management</w:t>
            </w:r>
            <w:r>
              <w:rPr>
                <w:rFonts w:ascii="Times New Roman" w:cs="Times New Roman" w:hAnsi="Times New Roman" w:hint="eastAsia"/>
                <w:sz w:val="24"/>
                <w:szCs w:val="24"/>
              </w:rPr>
              <w:t>：</w:t>
            </w:r>
            <w:r>
              <w:rPr>
                <w:rFonts w:ascii="Times New Roman" w:cs="Times New Roman" w:hAnsi="Times New Roman"/>
                <w:sz w:val="24"/>
                <w:szCs w:val="24"/>
              </w:rPr>
              <w:t>Yanxiu Gu</w:t>
            </w:r>
            <w:r>
              <w:rPr>
                <w:rFonts w:ascii="Times New Roman" w:cs="Times New Roman" w:hAnsi="Times New Roman" w:hint="eastAsia"/>
                <w:sz w:val="24"/>
                <w:szCs w:val="24"/>
              </w:rPr>
              <w:t>；</w:t>
            </w:r>
          </w:p>
          <w:p w14:paraId="62366C15">
            <w:pPr>
              <w:pStyle w:val="style0"/>
              <w:adjustRightInd w:val="false"/>
              <w:snapToGrid w:val="false"/>
              <w:rPr>
                <w:rFonts w:ascii="Times New Roman" w:cs="Times New Roman" w:hAnsi="Times New Roman" w:hint="eastAsia"/>
                <w:sz w:val="24"/>
                <w:szCs w:val="24"/>
              </w:rPr>
            </w:pPr>
            <w:r>
              <w:rPr>
                <w:rFonts w:ascii="Times New Roman" w:cs="Times New Roman" w:hAnsi="Times New Roman"/>
                <w:sz w:val="24"/>
                <w:szCs w:val="24"/>
              </w:rPr>
              <w:t>Protium Capital</w:t>
            </w:r>
            <w:r>
              <w:rPr>
                <w:rFonts w:ascii="Times New Roman" w:cs="Times New Roman" w:hAnsi="Times New Roman" w:hint="eastAsia"/>
                <w:sz w:val="24"/>
                <w:szCs w:val="24"/>
              </w:rPr>
              <w:t>：</w:t>
            </w:r>
            <w:r>
              <w:rPr>
                <w:rFonts w:ascii="Times New Roman" w:cs="Times New Roman" w:hAnsi="Times New Roman"/>
                <w:sz w:val="24"/>
                <w:szCs w:val="24"/>
              </w:rPr>
              <w:t>Gorlen Zhou</w:t>
            </w:r>
            <w:r>
              <w:rPr>
                <w:rFonts w:ascii="Times New Roman" w:cs="Times New Roman" w:hAnsi="Times New Roman" w:hint="eastAsia"/>
                <w:sz w:val="24"/>
                <w:szCs w:val="24"/>
              </w:rPr>
              <w:t>。</w:t>
            </w:r>
          </w:p>
        </w:tc>
      </w:tr>
      <w:tr w14:paraId="141E5458">
        <w:tblPrEx/>
        <w:trPr>
          <w:trHeight w:val="50" w:hRule="atLeast"/>
          <w:jc w:val="center"/>
        </w:trPr>
        <w:tc>
          <w:tcPr>
            <w:tcW w:w="2405" w:type="dxa"/>
            <w:tcBorders/>
            <w:vAlign w:val="center"/>
          </w:tcPr>
          <w:p w14:paraId="3372C98C">
            <w:pPr>
              <w:pStyle w:val="style0"/>
              <w:adjustRightInd w:val="false"/>
              <w:snapToGrid w:val="false"/>
              <w:rPr>
                <w:rFonts w:ascii="宋体" w:cs="Arial" w:hAnsi="宋体" w:hint="eastAsia"/>
                <w:sz w:val="24"/>
                <w:szCs w:val="24"/>
              </w:rPr>
            </w:pPr>
            <w:r>
              <w:rPr>
                <w:rFonts w:ascii="宋体" w:cs="Arial" w:hAnsi="宋体" w:hint="eastAsia"/>
                <w:sz w:val="24"/>
                <w:szCs w:val="24"/>
              </w:rPr>
              <w:t>投资者关系活动主要内容介绍</w:t>
            </w:r>
          </w:p>
        </w:tc>
        <w:tc>
          <w:tcPr>
            <w:tcW w:w="6237" w:type="dxa"/>
            <w:tcBorders/>
            <w:vAlign w:val="center"/>
          </w:tcPr>
          <w:p w14:paraId="072722DF">
            <w:pPr>
              <w:pStyle w:val="style0"/>
              <w:adjustRightInd w:val="false"/>
              <w:snapToGrid w:val="false"/>
              <w:spacing w:before="156" w:beforeLines="50" w:lineRule="auto" w:line="360"/>
              <w:rPr>
                <w:rFonts w:ascii="Times New Roman" w:cs="Times New Roman" w:hAnsi="Times New Roman"/>
                <w:sz w:val="24"/>
                <w:szCs w:val="24"/>
              </w:rPr>
            </w:pPr>
            <w:r>
              <w:rPr>
                <w:rFonts w:ascii="Times New Roman" w:cs="Times New Roman" w:hAnsi="Times New Roman"/>
                <w:sz w:val="24"/>
                <w:szCs w:val="24"/>
              </w:rPr>
              <w:t>本次调研不涉及应披露的重大信息。</w:t>
            </w:r>
          </w:p>
          <w:p w14:paraId="33C7F24A">
            <w:pPr>
              <w:pStyle w:val="style0"/>
              <w:adjustRightInd w:val="false"/>
              <w:snapToGrid w:val="false"/>
              <w:spacing w:lineRule="auto" w:line="360"/>
              <w:rPr>
                <w:rFonts w:ascii="Times New Roman" w:cs="Times New Roman" w:hAnsi="Times New Roman"/>
                <w:sz w:val="24"/>
                <w:szCs w:val="24"/>
              </w:rPr>
            </w:pPr>
            <w:r>
              <w:rPr>
                <w:rFonts w:ascii="Times New Roman" w:cs="Times New Roman" w:hAnsi="Times New Roman"/>
                <w:sz w:val="24"/>
                <w:szCs w:val="24"/>
              </w:rPr>
              <w:t>调研问题回复：</w:t>
            </w:r>
          </w:p>
          <w:bookmarkStart w:id="2" w:name="OLE_LINK5"/>
          <w:bookmarkStart w:id="3" w:name="OLE_LINK6"/>
          <w:p w14:paraId="6AC21F33">
            <w:pPr>
              <w:pStyle w:val="style0"/>
              <w:widowControl/>
              <w:adjustRightInd w:val="false"/>
              <w:snapToGrid w:val="false"/>
              <w:spacing w:lineRule="auto" w:line="360"/>
              <w:ind w:firstLine="482" w:firstLineChars="200"/>
              <w:rPr>
                <w:rFonts w:ascii="宋体" w:cs="宋体" w:eastAsia="宋体" w:hAnsi="宋体" w:hint="eastAsia"/>
                <w:b/>
                <w:kern w:val="0"/>
                <w:sz w:val="24"/>
                <w:szCs w:val="24"/>
              </w:rPr>
            </w:pPr>
            <w:r>
              <w:rPr>
                <w:rFonts w:ascii="宋体" w:cs="宋体" w:eastAsia="宋体" w:hAnsi="宋体" w:hint="eastAsia"/>
                <w:b/>
                <w:kern w:val="0"/>
                <w:sz w:val="24"/>
                <w:szCs w:val="24"/>
              </w:rPr>
              <w:t>1、</w:t>
            </w:r>
            <w:r>
              <w:rPr>
                <w:rFonts w:ascii="宋体" w:cs="宋体" w:eastAsia="宋体" w:hAnsi="宋体" w:hint="eastAsia"/>
                <w:b/>
                <w:kern w:val="0"/>
                <w:sz w:val="24"/>
                <w:szCs w:val="24"/>
              </w:rPr>
              <w:t>市场普遍将电网投资规模作为电网板块相关企业的主要业绩驱动因素，请问公司的业务增长逻辑与行业内传统企业存在哪些区别？</w:t>
            </w:r>
          </w:p>
          <w:p w14:paraId="38C4C1FA">
            <w:pPr>
              <w:pStyle w:val="style0"/>
              <w:widowControl/>
              <w:adjustRightInd w:val="false"/>
              <w:snapToGrid w:val="false"/>
              <w:spacing w:lineRule="auto" w:line="360"/>
              <w:ind w:firstLine="480" w:firstLineChars="200"/>
              <w:rPr>
                <w:rFonts w:ascii="宋体" w:cs="宋体" w:eastAsia="宋体" w:hAnsi="宋体" w:hint="eastAsia"/>
                <w:bCs/>
                <w:kern w:val="0"/>
                <w:sz w:val="24"/>
                <w:szCs w:val="24"/>
              </w:rPr>
            </w:pPr>
            <w:r>
              <w:rPr>
                <w:rFonts w:ascii="宋体" w:cs="宋体" w:eastAsia="宋体" w:hAnsi="宋体" w:hint="eastAsia"/>
                <w:bCs/>
                <w:kern w:val="0"/>
                <w:sz w:val="24"/>
                <w:szCs w:val="24"/>
              </w:rPr>
              <w:t>回复：公司立足“新材料重塑电网”的核心战略，形成区别于传统电网板块相关企业的成长路径。电网系统本质由密封、绝缘、结构三大核心子系统构成，传统瓷、玻璃、金属类材料产品在复杂工况下普遍存在老化快、可靠性弱、运维成本高、适配性不足等行业痛点。公司以高分子复合材料为核心，围绕上述三大子系统持续开展研发迭代，推出新一代密封、绝缘、结构类产品，着力破解行业长期存在的安全、寿命、运维、成本与低碳相关难题。</w:t>
            </w:r>
          </w:p>
          <w:p w14:paraId="4CF801C9">
            <w:pPr>
              <w:pStyle w:val="style0"/>
              <w:widowControl/>
              <w:adjustRightInd w:val="false"/>
              <w:snapToGrid w:val="false"/>
              <w:spacing w:lineRule="auto" w:line="360"/>
              <w:ind w:firstLine="480" w:firstLineChars="200"/>
              <w:rPr>
                <w:rFonts w:ascii="宋体" w:cs="宋体" w:eastAsia="宋体" w:hAnsi="宋体" w:hint="eastAsia"/>
                <w:bCs/>
                <w:kern w:val="0"/>
                <w:sz w:val="24"/>
                <w:szCs w:val="24"/>
              </w:rPr>
            </w:pPr>
            <w:r>
              <w:rPr>
                <w:rFonts w:ascii="宋体" w:cs="宋体" w:eastAsia="宋体" w:hAnsi="宋体" w:hint="eastAsia"/>
                <w:bCs/>
                <w:kern w:val="0"/>
                <w:sz w:val="24"/>
                <w:szCs w:val="24"/>
              </w:rPr>
              <w:t>经过多年技术沉淀，公司构建形成可复用的材料平台、工艺体系、试验验证及客户认证体系，相关技术能力可跨电压等级、跨应用场景迁移复用，支撑公司持续丰富区域适配型产品组合，推动经营模式向多产品协同配套升级。</w:t>
            </w:r>
          </w:p>
          <w:p w14:paraId="18ADE25B">
            <w:pPr>
              <w:pStyle w:val="style0"/>
              <w:widowControl/>
              <w:adjustRightInd w:val="false"/>
              <w:snapToGrid w:val="false"/>
              <w:spacing w:lineRule="auto" w:line="360"/>
              <w:ind w:firstLine="480" w:firstLineChars="200"/>
              <w:rPr>
                <w:rFonts w:ascii="宋体" w:cs="宋体" w:eastAsia="宋体" w:hAnsi="宋体" w:hint="eastAsia"/>
                <w:bCs/>
                <w:kern w:val="0"/>
                <w:sz w:val="24"/>
                <w:szCs w:val="24"/>
              </w:rPr>
            </w:pPr>
            <w:r>
              <w:rPr>
                <w:rFonts w:ascii="宋体" w:cs="宋体" w:eastAsia="宋体" w:hAnsi="宋体" w:hint="eastAsia"/>
                <w:bCs/>
                <w:kern w:val="0"/>
                <w:sz w:val="24"/>
                <w:szCs w:val="24"/>
              </w:rPr>
              <w:t>公司为客户创造的价值不限于零部件产品本身，还包括降低运维投入、减少事故风险、延长资产使用寿命等综合效益。</w:t>
            </w:r>
          </w:p>
          <w:p w14:paraId="4534F2AD">
            <w:pPr>
              <w:pStyle w:val="style0"/>
              <w:widowControl/>
              <w:adjustRightInd w:val="false"/>
              <w:snapToGrid w:val="false"/>
              <w:spacing w:lineRule="auto" w:line="360"/>
              <w:ind w:firstLine="482" w:firstLineChars="200"/>
              <w:rPr>
                <w:rFonts w:ascii="Times New Roman" w:cs="Times New Roman" w:hAnsi="Times New Roman"/>
                <w:b/>
                <w:sz w:val="24"/>
                <w:szCs w:val="24"/>
              </w:rPr>
            </w:pPr>
            <w:r>
              <w:rPr>
                <w:rFonts w:ascii="Times New Roman" w:cs="Times New Roman" w:hAnsi="Times New Roman" w:hint="eastAsia"/>
                <w:b/>
                <w:sz w:val="24"/>
                <w:szCs w:val="24"/>
              </w:rPr>
              <w:t>2</w:t>
            </w:r>
            <w:r>
              <w:rPr>
                <w:rFonts w:ascii="Times New Roman" w:cs="Times New Roman" w:hAnsi="Times New Roman" w:hint="eastAsia"/>
                <w:b/>
                <w:sz w:val="24"/>
                <w:szCs w:val="24"/>
              </w:rPr>
              <w:t>、</w:t>
            </w:r>
            <w:r>
              <w:rPr>
                <w:rFonts w:ascii="Times New Roman" w:cs="Times New Roman" w:hAnsi="Times New Roman" w:hint="eastAsia"/>
                <w:b/>
                <w:sz w:val="24"/>
                <w:szCs w:val="24"/>
              </w:rPr>
              <w:t>公司未来海外工厂投产后，对毛利率的影响及后续展望？</w:t>
            </w:r>
          </w:p>
          <w:p w14:paraId="5ABC55B1">
            <w:pPr>
              <w:pStyle w:val="style0"/>
              <w:widowControl/>
              <w:adjustRightInd w:val="false"/>
              <w:snapToGrid w:val="false"/>
              <w:spacing w:lineRule="auto" w:line="360"/>
              <w:ind w:firstLine="480" w:firstLineChars="200"/>
              <w:rPr>
                <w:rFonts w:ascii="Times New Roman" w:cs="Times New Roman" w:hAnsi="Times New Roman"/>
                <w:bCs/>
                <w:sz w:val="24"/>
                <w:szCs w:val="24"/>
              </w:rPr>
            </w:pPr>
            <w:r>
              <w:rPr>
                <w:rFonts w:ascii="Times New Roman" w:cs="Times New Roman" w:hAnsi="Times New Roman" w:hint="eastAsia"/>
                <w:bCs/>
                <w:sz w:val="24"/>
                <w:szCs w:val="24"/>
              </w:rPr>
              <w:t>回复：越南工厂可依托生产自动化水平提升、原产地规则应用、当地所得税税收优惠等多重有利因素，形成良好的盈利基础；美国工厂凭借高自动化生产配置，可享有本土生产免关税的竞争优势。此外，对于其他制造基地销往美国地区的业务，在满足海关合规要件前提下，进一步适用首次销售规则优化成本。综合来看，随着海外工厂逐步投产落地，公司综合毛利率有望实现进一步提升。</w:t>
            </w:r>
          </w:p>
          <w:p w14:paraId="387D73C7">
            <w:pPr>
              <w:pStyle w:val="style0"/>
              <w:adjustRightInd w:val="false"/>
              <w:snapToGrid w:val="false"/>
              <w:spacing w:lineRule="auto" w:line="360"/>
              <w:ind w:firstLine="482" w:firstLineChars="200"/>
              <w:rPr>
                <w:rFonts w:ascii="Times New Roman" w:cs="Times New Roman" w:hAnsi="Times New Roman"/>
                <w:b/>
                <w:sz w:val="24"/>
                <w:szCs w:val="24"/>
              </w:rPr>
            </w:pPr>
            <w:r>
              <w:rPr>
                <w:rFonts w:ascii="Times New Roman" w:cs="Times New Roman" w:hAnsi="Times New Roman" w:hint="eastAsia"/>
                <w:b/>
                <w:sz w:val="24"/>
                <w:szCs w:val="24"/>
              </w:rPr>
              <w:t>3</w:t>
            </w:r>
            <w:r>
              <w:rPr>
                <w:rFonts w:ascii="Times New Roman" w:cs="Times New Roman" w:hAnsi="Times New Roman" w:hint="eastAsia"/>
                <w:b/>
                <w:sz w:val="24"/>
                <w:szCs w:val="24"/>
              </w:rPr>
              <w:t>、</w:t>
            </w:r>
            <w:r>
              <w:rPr>
                <w:rFonts w:ascii="Times New Roman" w:cs="Times New Roman" w:hAnsi="Times New Roman" w:hint="eastAsia"/>
                <w:b/>
                <w:sz w:val="24"/>
                <w:szCs w:val="24"/>
              </w:rPr>
              <w:t>北美地区在输电基础设施领域对境外采购存在一定的政策审核与准入限制，请问公司对此有何战略布局与经营规划？</w:t>
            </w:r>
          </w:p>
          <w:p w14:paraId="2EAF3B3F">
            <w:pPr>
              <w:pStyle w:val="style0"/>
              <w:adjustRightInd w:val="false"/>
              <w:snapToGrid w:val="false"/>
              <w:spacing w:lineRule="auto" w:line="360"/>
              <w:ind w:firstLine="480" w:firstLineChars="200"/>
              <w:rPr>
                <w:rFonts w:ascii="Times New Roman" w:cs="Times New Roman" w:hAnsi="Times New Roman"/>
                <w:bCs/>
                <w:sz w:val="24"/>
                <w:szCs w:val="24"/>
              </w:rPr>
            </w:pPr>
            <w:r>
              <w:rPr>
                <w:rFonts w:ascii="Times New Roman" w:cs="Times New Roman" w:hAnsi="Times New Roman" w:hint="eastAsia"/>
                <w:bCs/>
                <w:sz w:val="24"/>
                <w:szCs w:val="24"/>
              </w:rPr>
              <w:t>回复：北美市场并非整体排斥输电业务，而是呈现明显的结构性分化。公司采用“越南</w:t>
            </w:r>
            <w:r>
              <w:rPr>
                <w:rFonts w:ascii="Times New Roman" w:cs="Times New Roman" w:hAnsi="Times New Roman" w:hint="eastAsia"/>
                <w:bCs/>
                <w:sz w:val="24"/>
                <w:szCs w:val="24"/>
              </w:rPr>
              <w:t>+</w:t>
            </w:r>
            <w:r>
              <w:rPr>
                <w:rFonts w:ascii="Times New Roman" w:cs="Times New Roman" w:hAnsi="Times New Roman" w:hint="eastAsia"/>
                <w:bCs/>
                <w:sz w:val="24"/>
                <w:szCs w:val="24"/>
              </w:rPr>
              <w:t>美国”双制造基地实施差异化分层经营，适配当地政策与市场特征。北美市场化竞争性电网项目，采购核心看重全生命周期综合成本、设备安全性能及低运维表现，不存在严格的产地准入限制；而联邦资金支持的</w:t>
            </w:r>
            <w:r>
              <w:rPr>
                <w:rFonts w:ascii="Times New Roman" w:cs="Times New Roman" w:hAnsi="Times New Roman" w:hint="eastAsia"/>
                <w:bCs/>
                <w:sz w:val="24"/>
                <w:szCs w:val="24"/>
              </w:rPr>
              <w:t>345kV</w:t>
            </w:r>
            <w:r>
              <w:rPr>
                <w:rFonts w:ascii="Times New Roman" w:cs="Times New Roman" w:hAnsi="Times New Roman" w:hint="eastAsia"/>
                <w:bCs/>
                <w:sz w:val="24"/>
                <w:szCs w:val="24"/>
              </w:rPr>
              <w:t>、</w:t>
            </w:r>
            <w:r>
              <w:rPr>
                <w:rFonts w:ascii="Times New Roman" w:cs="Times New Roman" w:hAnsi="Times New Roman" w:hint="eastAsia"/>
                <w:bCs/>
                <w:sz w:val="24"/>
                <w:szCs w:val="24"/>
              </w:rPr>
              <w:t>500kV</w:t>
            </w:r>
            <w:r>
              <w:rPr>
                <w:rFonts w:ascii="Times New Roman" w:cs="Times New Roman" w:hAnsi="Times New Roman" w:hint="eastAsia"/>
                <w:bCs/>
                <w:sz w:val="24"/>
                <w:szCs w:val="24"/>
              </w:rPr>
              <w:t>高压项目，受政策及关税约束，属地准入壁垒相对较高。现阶段公司北美在手订单电压等级主要覆盖</w:t>
            </w:r>
            <w:r>
              <w:rPr>
                <w:rFonts w:ascii="Times New Roman" w:cs="Times New Roman" w:hAnsi="Times New Roman" w:hint="eastAsia"/>
                <w:bCs/>
                <w:sz w:val="24"/>
                <w:szCs w:val="24"/>
              </w:rPr>
              <w:t xml:space="preserve"> 69kV</w:t>
            </w:r>
            <w:r>
              <w:rPr>
                <w:rFonts w:ascii="Times New Roman" w:cs="Times New Roman" w:hAnsi="Times New Roman" w:hint="eastAsia"/>
                <w:bCs/>
                <w:sz w:val="24"/>
                <w:szCs w:val="24"/>
              </w:rPr>
              <w:t>、</w:t>
            </w:r>
            <w:r>
              <w:rPr>
                <w:rFonts w:ascii="Times New Roman" w:cs="Times New Roman" w:hAnsi="Times New Roman" w:hint="eastAsia"/>
                <w:bCs/>
                <w:sz w:val="24"/>
                <w:szCs w:val="24"/>
              </w:rPr>
              <w:t>138kV</w:t>
            </w:r>
            <w:r>
              <w:rPr>
                <w:rFonts w:ascii="Times New Roman" w:cs="Times New Roman" w:hAnsi="Times New Roman" w:hint="eastAsia"/>
                <w:bCs/>
                <w:sz w:val="24"/>
                <w:szCs w:val="24"/>
              </w:rPr>
              <w:t>、</w:t>
            </w:r>
            <w:r>
              <w:rPr>
                <w:rFonts w:ascii="Times New Roman" w:cs="Times New Roman" w:hAnsi="Times New Roman" w:hint="eastAsia"/>
                <w:bCs/>
                <w:sz w:val="24"/>
                <w:szCs w:val="24"/>
              </w:rPr>
              <w:t>230kV</w:t>
            </w:r>
            <w:r>
              <w:rPr>
                <w:rFonts w:ascii="Times New Roman" w:cs="Times New Roman" w:hAnsi="Times New Roman" w:hint="eastAsia"/>
                <w:bCs/>
                <w:sz w:val="24"/>
                <w:szCs w:val="24"/>
              </w:rPr>
              <w:t>。面向高端增量市场，公司积极推进美国本土化产能布局，现已完成厂房租赁，正加速项目建设，力争尽快实现投产。该本土化工厂将为公司抢抓北美超高压电网建设周期机遇提供重要支撑。总体而言，公司通过越南产能稳固存量业务，依托美国本土产能攻坚政策型增量市场，着力化解区域市场壁垒，推动北美业务实现稳健可持续增长。</w:t>
            </w:r>
          </w:p>
          <w:p w14:paraId="55F342E9">
            <w:pPr>
              <w:pStyle w:val="style0"/>
              <w:adjustRightInd w:val="false"/>
              <w:snapToGrid w:val="false"/>
              <w:spacing w:lineRule="auto" w:line="360"/>
              <w:ind w:firstLine="482" w:firstLineChars="200"/>
              <w:rPr>
                <w:rFonts w:ascii="Times New Roman" w:cs="Times New Roman" w:hAnsi="Times New Roman"/>
                <w:b/>
                <w:sz w:val="24"/>
                <w:szCs w:val="24"/>
              </w:rPr>
            </w:pPr>
            <w:r>
              <w:rPr>
                <w:rFonts w:ascii="Times New Roman" w:cs="Times New Roman" w:hAnsi="Times New Roman" w:hint="eastAsia"/>
                <w:b/>
                <w:sz w:val="24"/>
                <w:szCs w:val="24"/>
              </w:rPr>
              <w:t>4</w:t>
            </w:r>
            <w:r>
              <w:rPr>
                <w:rFonts w:ascii="Times New Roman" w:cs="Times New Roman" w:hAnsi="Times New Roman"/>
                <w:b/>
                <w:sz w:val="24"/>
                <w:szCs w:val="24"/>
              </w:rPr>
              <w:t>、</w:t>
            </w:r>
            <w:r>
              <w:rPr>
                <w:rFonts w:ascii="Times New Roman" w:cs="Times New Roman" w:hAnsi="Times New Roman" w:hint="eastAsia"/>
                <w:b/>
                <w:sz w:val="24"/>
                <w:szCs w:val="24"/>
              </w:rPr>
              <w:t>从绝缘子向套管延伸的战略逻辑及价值增量？</w:t>
            </w:r>
          </w:p>
          <w:p w14:paraId="7DF19A55">
            <w:pPr>
              <w:pStyle w:val="style0"/>
              <w:adjustRightInd w:val="false"/>
              <w:snapToGrid w:val="false"/>
              <w:spacing w:lineRule="auto" w:line="360"/>
              <w:ind w:firstLine="480" w:firstLineChars="200"/>
              <w:rPr>
                <w:rFonts w:ascii="Times New Roman" w:cs="Times New Roman" w:hAnsi="Times New Roman"/>
                <w:bCs/>
                <w:sz w:val="24"/>
                <w:szCs w:val="24"/>
              </w:rPr>
            </w:pPr>
            <w:r>
              <w:rPr>
                <w:rFonts w:ascii="Times New Roman" w:cs="Times New Roman" w:hAnsi="Times New Roman" w:hint="eastAsia"/>
                <w:bCs/>
                <w:sz w:val="24"/>
                <w:szCs w:val="24"/>
              </w:rPr>
              <w:t>回复：公司依托变电站、输电线路及配网三大核心应用场景，持续丰富区域适配型产品组合，推动经营模式向多产品协同配套升级。</w:t>
            </w:r>
          </w:p>
          <w:p w14:paraId="6A493311">
            <w:pPr>
              <w:pStyle w:val="style0"/>
              <w:adjustRightInd w:val="false"/>
              <w:snapToGrid w:val="false"/>
              <w:spacing w:lineRule="auto" w:line="360"/>
              <w:ind w:firstLine="480" w:firstLineChars="200"/>
              <w:rPr>
                <w:rFonts w:ascii="Times New Roman" w:cs="Times New Roman" w:hAnsi="Times New Roman"/>
                <w:bCs/>
                <w:sz w:val="24"/>
                <w:szCs w:val="24"/>
              </w:rPr>
            </w:pPr>
            <w:r>
              <w:rPr>
                <w:rFonts w:ascii="Times New Roman" w:cs="Times New Roman" w:hAnsi="Times New Roman" w:hint="eastAsia"/>
                <w:bCs/>
                <w:sz w:val="24"/>
                <w:szCs w:val="24"/>
              </w:rPr>
              <w:t>从产品价值维度来看，同等电压等级下，套管产品单位价值量约为绝缘子产品的</w:t>
            </w:r>
            <w:r>
              <w:rPr>
                <w:rFonts w:ascii="Times New Roman" w:cs="Times New Roman" w:hAnsi="Times New Roman" w:hint="eastAsia"/>
                <w:bCs/>
                <w:sz w:val="24"/>
                <w:szCs w:val="24"/>
              </w:rPr>
              <w:t>1.5-2</w:t>
            </w:r>
            <w:r>
              <w:rPr>
                <w:rFonts w:ascii="Times New Roman" w:cs="Times New Roman" w:hAnsi="Times New Roman" w:hint="eastAsia"/>
                <w:bCs/>
                <w:sz w:val="24"/>
                <w:szCs w:val="24"/>
              </w:rPr>
              <w:t>倍，产品附加值显著提高。当前行业内主流成套设备厂商存在套管产能受限、自给率不足的供需缺口，为公司业务延伸创造有利的市场机遇。基于行业供需格局及自身技术与产业积淀，公司推进绝缘子业务向套管业务延伸拓展，依托新材料、新结构、新工艺完成新一代开关设备复合套管、变压器复合套管的研发，进一步完善公司新材料产品矩阵，推动经营模式向多产品协同配套升级。</w:t>
            </w:r>
          </w:p>
          <w:p w14:paraId="390234A4">
            <w:pPr>
              <w:pStyle w:val="style0"/>
              <w:widowControl/>
              <w:adjustRightInd w:val="false"/>
              <w:snapToGrid w:val="false"/>
              <w:spacing w:lineRule="auto" w:line="360"/>
              <w:ind w:firstLine="482" w:firstLineChars="200"/>
              <w:rPr>
                <w:rFonts w:ascii="Times New Roman" w:cs="Times New Roman" w:hAnsi="Times New Roman"/>
                <w:b/>
                <w:sz w:val="24"/>
                <w:szCs w:val="24"/>
              </w:rPr>
            </w:pPr>
            <w:r>
              <w:rPr>
                <w:rFonts w:ascii="Times New Roman" w:cs="Times New Roman" w:hAnsi="Times New Roman" w:hint="eastAsia"/>
                <w:b/>
                <w:sz w:val="24"/>
                <w:szCs w:val="24"/>
              </w:rPr>
              <w:t>5</w:t>
            </w:r>
            <w:r>
              <w:rPr>
                <w:rFonts w:ascii="Times New Roman" w:cs="Times New Roman" w:hAnsi="Times New Roman" w:hint="eastAsia"/>
                <w:b/>
                <w:sz w:val="24"/>
                <w:szCs w:val="24"/>
              </w:rPr>
              <w:t>、</w:t>
            </w:r>
            <w:r>
              <w:rPr>
                <w:rFonts w:ascii="Times New Roman" w:cs="Times New Roman" w:hAnsi="Times New Roman" w:hint="eastAsia"/>
                <w:b/>
                <w:sz w:val="24"/>
                <w:szCs w:val="24"/>
              </w:rPr>
              <w:t>公司内绝缘产品进展及竞争格局如何？</w:t>
            </w:r>
          </w:p>
          <w:p w14:paraId="24AA54B7">
            <w:pPr>
              <w:pStyle w:val="style0"/>
              <w:widowControl/>
              <w:adjustRightInd w:val="false"/>
              <w:snapToGrid w:val="false"/>
              <w:spacing w:lineRule="auto" w:line="360"/>
              <w:ind w:firstLine="480" w:firstLineChars="200"/>
              <w:rPr>
                <w:rFonts w:ascii="Times New Roman" w:cs="Times New Roman" w:hAnsi="Times New Roman"/>
                <w:sz w:val="24"/>
                <w:szCs w:val="24"/>
              </w:rPr>
            </w:pPr>
            <w:r>
              <w:rPr>
                <w:rFonts w:ascii="Times New Roman" w:cs="Times New Roman" w:hAnsi="Times New Roman" w:hint="eastAsia"/>
                <w:sz w:val="24"/>
                <w:szCs w:val="24"/>
              </w:rPr>
              <w:t>回</w:t>
            </w:r>
            <w:r>
              <w:rPr>
                <w:rFonts w:ascii="Times New Roman" w:cs="Times New Roman" w:hAnsi="Times New Roman" w:hint="eastAsia"/>
                <w:sz w:val="24"/>
                <w:szCs w:val="24"/>
              </w:rPr>
              <w:t>复：公司持续推进盆式绝缘子等内绝缘件新产品的研发及产业化工作，该类产品主要配套</w:t>
            </w:r>
            <w:r>
              <w:rPr>
                <w:rFonts w:ascii="Times New Roman" w:cs="Times New Roman" w:hAnsi="Times New Roman" w:hint="eastAsia"/>
                <w:sz w:val="24"/>
                <w:szCs w:val="24"/>
              </w:rPr>
              <w:t>GIS/GIL</w:t>
            </w:r>
            <w:r>
              <w:rPr>
                <w:rFonts w:ascii="Times New Roman" w:cs="Times New Roman" w:hAnsi="Times New Roman" w:hint="eastAsia"/>
                <w:sz w:val="24"/>
                <w:szCs w:val="24"/>
              </w:rPr>
              <w:t>设备，承担设备内部支撑及绝缘功能，是公司由外绝缘业务向内绝缘领域拓展的重要战略布局。产品采用新型材料替代传统材料，按设备同寿命目标开展产品设计，目前相关产品正处于产线搭建及客户认证阶段。</w:t>
            </w:r>
          </w:p>
          <w:p w14:paraId="3580C1DB">
            <w:pPr>
              <w:pStyle w:val="style0"/>
              <w:widowControl/>
              <w:adjustRightInd w:val="false"/>
              <w:snapToGrid w:val="false"/>
              <w:spacing w:lineRule="auto" w:line="360"/>
              <w:ind w:firstLine="480" w:firstLineChars="200"/>
              <w:rPr>
                <w:rFonts w:ascii="Times New Roman" w:cs="Times New Roman" w:hAnsi="Times New Roman"/>
                <w:sz w:val="24"/>
                <w:szCs w:val="24"/>
              </w:rPr>
            </w:pPr>
            <w:r>
              <w:rPr>
                <w:rFonts w:ascii="Times New Roman" w:cs="Times New Roman" w:hAnsi="Times New Roman" w:hint="eastAsia"/>
                <w:sz w:val="24"/>
                <w:szCs w:val="24"/>
              </w:rPr>
              <w:t>内绝缘产品行业竞争主要围绕材料配方、结构设计、制造工艺、长期运行可靠性及认证周期等维度展开。公司凭借稳定的规模化交付能力、差异化工艺路线以及同寿命一体化设计方案，在客户认证过程中形成自身竞争优势。后续商业化落地节奏将取决于客户认证进度、行业复合化技术路线渗透率等多重因素影响，公司将积极推进相关业务的产业化应用。</w:t>
            </w:r>
          </w:p>
          <w:p w14:paraId="24A44B53">
            <w:pPr>
              <w:pStyle w:val="style0"/>
              <w:widowControl/>
              <w:adjustRightInd w:val="false"/>
              <w:snapToGrid w:val="false"/>
              <w:spacing w:lineRule="auto" w:line="360"/>
              <w:ind w:firstLine="482" w:firstLineChars="200"/>
              <w:rPr>
                <w:rFonts w:ascii="Times New Roman" w:cs="Times New Roman" w:hAnsi="Times New Roman"/>
                <w:b/>
                <w:sz w:val="24"/>
                <w:szCs w:val="24"/>
              </w:rPr>
            </w:pPr>
            <w:r>
              <w:rPr>
                <w:rFonts w:ascii="Times New Roman" w:cs="Times New Roman" w:hAnsi="Times New Roman" w:hint="eastAsia"/>
                <w:b/>
                <w:sz w:val="24"/>
                <w:szCs w:val="24"/>
              </w:rPr>
              <w:t>6</w:t>
            </w:r>
            <w:bookmarkEnd w:id="2"/>
            <w:bookmarkEnd w:id="3"/>
            <w:r>
              <w:rPr>
                <w:rFonts w:ascii="Times New Roman" w:cs="Times New Roman" w:hAnsi="Times New Roman" w:hint="eastAsia"/>
                <w:b/>
                <w:sz w:val="24"/>
                <w:szCs w:val="24"/>
              </w:rPr>
              <w:t>、</w:t>
            </w:r>
            <w:r>
              <w:rPr>
                <w:rFonts w:ascii="Times New Roman" w:cs="Times New Roman" w:hAnsi="Times New Roman" w:hint="eastAsia"/>
                <w:b/>
                <w:sz w:val="24"/>
                <w:szCs w:val="24"/>
              </w:rPr>
              <w:t>公司如何管理外汇风险？</w:t>
            </w:r>
          </w:p>
          <w:p w14:paraId="28C1E12A">
            <w:pPr>
              <w:pStyle w:val="style0"/>
              <w:widowControl/>
              <w:adjustRightInd w:val="false"/>
              <w:snapToGrid w:val="false"/>
              <w:spacing w:lineRule="auto" w:line="360"/>
              <w:ind w:firstLine="480" w:firstLineChars="200"/>
              <w:rPr>
                <w:rFonts w:ascii="Times New Roman" w:cs="Times New Roman" w:hAnsi="Times New Roman"/>
                <w:bCs/>
                <w:sz w:val="24"/>
                <w:szCs w:val="24"/>
              </w:rPr>
            </w:pPr>
            <w:r>
              <w:rPr>
                <w:rFonts w:ascii="Times New Roman" w:cs="Times New Roman" w:hAnsi="Times New Roman" w:hint="eastAsia"/>
                <w:bCs/>
                <w:sz w:val="24"/>
                <w:szCs w:val="24"/>
              </w:rPr>
              <w:t>回复：公司境外业务结算以美元、欧元为主，同时涉及英镑等其他币种。结合全球化业务布局，公司搭建了多维度外汇风险管理体系，主动做好汇率相关风险的前置管控。公司根据经营实际，合理运用远期外汇合约、外汇期权等衍生金融工具开展套期保值；同步开展外币资金理财配置；结合海外生产基地资本投入，匹配外币收支实现自然对冲，并辅以跨币种互换等工具优化币种结构。</w:t>
            </w:r>
          </w:p>
          <w:p w14:paraId="55AACA43">
            <w:pPr>
              <w:pStyle w:val="style0"/>
              <w:widowControl/>
              <w:adjustRightInd w:val="false"/>
              <w:snapToGrid w:val="false"/>
              <w:spacing w:lineRule="auto" w:line="360"/>
              <w:ind w:firstLine="480" w:firstLineChars="200"/>
              <w:rPr>
                <w:rFonts w:ascii="Times New Roman" w:cs="Times New Roman" w:hAnsi="Times New Roman"/>
                <w:sz w:val="24"/>
                <w:szCs w:val="24"/>
              </w:rPr>
            </w:pPr>
            <w:r>
              <w:rPr>
                <w:rFonts w:ascii="Times New Roman" w:cs="Times New Roman" w:hAnsi="Times New Roman" w:hint="eastAsia"/>
                <w:bCs/>
                <w:sz w:val="24"/>
                <w:szCs w:val="24"/>
              </w:rPr>
              <w:t>通过上述多元化的组合管理手段，公司汇兑损益整体保持在可控水平，对经营成果的影响有限。后续公司也将持续跟踪全球汇率市场走势，结合业务发展动态优化外汇风险管理策略，保障整体业务平稳运营。</w:t>
            </w:r>
          </w:p>
        </w:tc>
      </w:tr>
      <w:bookmarkEnd w:id="0"/>
      <w:bookmarkEnd w:id="1"/>
    </w:tbl>
    <w:p w14:paraId="19B02557">
      <w:pPr>
        <w:pStyle w:val="style0"/>
        <w:tabs>
          <w:tab w:val="left" w:leader="none" w:pos="4875"/>
        </w:tabs>
        <w:spacing w:after="50" w:lineRule="auto" w:line="360"/>
        <w:ind w:firstLine="480" w:firstLineChars="200"/>
        <w:jc w:val="right"/>
        <w:rPr>
          <w:rFonts w:ascii="Times New Roman" w:cs="Times New Roman" w:hAnsi="Times New Roman"/>
          <w:sz w:val="24"/>
          <w:szCs w:val="24"/>
        </w:rPr>
      </w:pPr>
    </w:p>
    <w:sectPr>
      <w:footerReference w:type="default" r:id="rId2"/>
      <w:pgSz w:w="11906" w:h="16838" w:orient="portrait"/>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宋体">
    <w:altName w:val="SimSun"/>
    <w:panose1 w:val="02010600030001010101"/>
    <w:charset w:val="86"/>
    <w:family w:val="auto"/>
    <w:pitch w:val="variable"/>
    <w:sig w:usb0="00000203" w:usb1="288F0000" w:usb2="00000016" w:usb3="00000000" w:csb0="00040001" w:csb1="00000000"/>
  </w:font>
  <w:font w:name="Calibri">
    <w:altName w:val="Calibri"/>
    <w:panose1 w:val="020f0502020002030204"/>
    <w:charset w:val="00"/>
    <w:family w:val="swiss"/>
    <w:pitch w:val="variable"/>
    <w:sig w:usb0="E4002EFF" w:usb1="C0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黑体">
    <w:altName w:val="SimHei"/>
    <w:panose1 w:val="02010609060001010101"/>
    <w:charset w:val="86"/>
    <w:family w:val="modern"/>
    <w:pitch w:val="fixed"/>
    <w:sig w:usb0="800002BF" w:usb1="38CF7CFA" w:usb2="00000016" w:usb3="00000000" w:csb0="00040001" w:csb1="00000000"/>
  </w:font>
  <w:font w:name="Cambria">
    <w:altName w:val="Cambria"/>
    <w:panose1 w:val="02040503050004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272E320C">
    <w:pPr>
      <w:pStyle w:val="style32"/>
      <w:jc w:val="center"/>
      <w:rPr>
        <w:rFonts w:ascii="Times New Roman" w:cs="Times New Roman" w:hAnsi="Times New Roman"/>
      </w:rPr>
    </w:pPr>
    <w:r>
      <w:rPr>
        <w:rFonts w:ascii="Times New Roman" w:cs="Times New Roman" w:hAnsi="Times New Roman"/>
      </w:rPr>
      <w:fldChar w:fldCharType="begin"/>
    </w:r>
    <w:r>
      <w:rPr>
        <w:rFonts w:ascii="Times New Roman" w:cs="Times New Roman" w:hAnsi="Times New Roman"/>
      </w:rPr>
      <w:instrText>PAGE   \* MERGEFORMAT</w:instrText>
    </w:r>
    <w:r>
      <w:rPr>
        <w:rFonts w:ascii="Times New Roman" w:cs="Times New Roman" w:hAnsi="Times New Roman"/>
      </w:rPr>
      <w:fldChar w:fldCharType="separate"/>
    </w:r>
    <w:r>
      <w:rPr>
        <w:rFonts w:ascii="Times New Roman" w:cs="Times New Roman" w:hAnsi="Times New Roman"/>
        <w:noProof/>
        <w:lang w:val="zh-CN"/>
      </w:rPr>
      <w:t>5</w:t>
    </w:r>
    <w:r>
      <w:rPr>
        <w:rFonts w:ascii="Times New Roman" w:cs="Times New Roman" w:hAnsi="Times New Roman"/>
      </w:rPr>
      <w:fldChar w:fldCharType="end"/>
    </w:r>
  </w:p>
  <w:p w14:paraId="09C95F38">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B5E306ED"/>
    <w:lvl w:ilvl="0">
      <w:start w:val="1"/>
      <w:numFmt w:val="bullet"/>
      <w:lvlText w:val="￮"/>
      <w:lvlJc w:val="left"/>
      <w:pPr/>
      <w:rPr>
        <w:color w:val="3370ff"/>
      </w:rPr>
    </w:lvl>
  </w:abstractNum>
  <w:abstractNum w:abstractNumId="1">
    <w:nsid w:val="00000001"/>
    <w:multiLevelType w:val="singleLevel"/>
    <w:tmpl w:val="BF205925"/>
    <w:lvl w:ilvl="0">
      <w:start w:val="1"/>
      <w:numFmt w:val="bullet"/>
      <w:lvlText w:val="￮"/>
      <w:lvlJc w:val="left"/>
      <w:pPr/>
      <w:rPr>
        <w:color w:val="3370ff"/>
      </w:rPr>
    </w:lvl>
  </w:abstractNum>
  <w:abstractNum w:abstractNumId="2">
    <w:nsid w:val="00000002"/>
    <w:multiLevelType w:val="singleLevel"/>
    <w:tmpl w:val="CF092B84"/>
    <w:lvl w:ilvl="0">
      <w:start w:val="2"/>
      <w:numFmt w:val="decimal"/>
      <w:lvlText w:val="%1."/>
      <w:lvlJc w:val="left"/>
      <w:pPr/>
      <w:rPr>
        <w:color w:val="3370ff"/>
      </w:rPr>
    </w:lvl>
  </w:abstractNum>
  <w:abstractNum w:abstractNumId="3">
    <w:nsid w:val="00000003"/>
    <w:multiLevelType w:val="singleLevel"/>
    <w:tmpl w:val="0053208E"/>
    <w:lvl w:ilvl="0">
      <w:start w:val="1"/>
      <w:numFmt w:val="decimal"/>
      <w:lvlText w:val="%1."/>
      <w:lvlJc w:val="left"/>
      <w:pPr/>
      <w:rPr>
        <w:color w:val="3370ff"/>
      </w:rPr>
    </w:lvl>
  </w:abstractNum>
  <w:abstractNum w:abstractNumId="4">
    <w:nsid w:val="00000004"/>
    <w:multiLevelType w:val="hybridMultilevel"/>
    <w:tmpl w:val="282C864A"/>
    <w:lvl w:ilvl="0" w:tplc="653E8960">
      <w:start w:val="1"/>
      <w:numFmt w:val="decimalEnclosedCircle"/>
      <w:lvlText w:val="%1"/>
      <w:lvlJc w:val="left"/>
      <w:pPr>
        <w:ind w:left="840" w:hanging="360"/>
      </w:pPr>
      <w:rPr>
        <w:rFonts w:ascii="宋体" w:cs="宋体" w:eastAsia="宋体" w:hAnsi="宋体"/>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nsid w:val="00000005"/>
    <w:multiLevelType w:val="singleLevel"/>
    <w:tmpl w:val="03D62ECE"/>
    <w:lvl w:ilvl="0">
      <w:start w:val="3"/>
      <w:numFmt w:val="decimal"/>
      <w:lvlText w:val="%1."/>
      <w:lvlJc w:val="left"/>
      <w:pPr/>
      <w:rPr>
        <w:color w:val="3370ff"/>
      </w:rPr>
    </w:lvl>
  </w:abstractNum>
  <w:abstractNum w:abstractNumId="6">
    <w:nsid w:val="00000006"/>
    <w:multiLevelType w:val="hybridMultilevel"/>
    <w:tmpl w:val="98A0B650"/>
    <w:lvl w:ilvl="0" w:tplc="F40ABBAE">
      <w:start w:val="1"/>
      <w:numFmt w:val="decimalEnclosedCircle"/>
      <w:lvlText w:val="%1"/>
      <w:lvlJc w:val="left"/>
      <w:pPr>
        <w:ind w:left="840" w:hanging="360"/>
      </w:pPr>
      <w:rPr>
        <w:rFonts w:ascii="宋体" w:cs="宋体" w:eastAsia="宋体" w:hAnsi="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nsid w:val="00000007"/>
    <w:multiLevelType w:val="hybridMultilevel"/>
    <w:tmpl w:val="11007358"/>
    <w:lvl w:ilvl="0" w:tplc="6602DC04">
      <w:start w:val="1"/>
      <w:numFmt w:val="decimalEnclosedCircle"/>
      <w:lvlText w:val="%1"/>
      <w:lvlJc w:val="left"/>
      <w:pPr>
        <w:ind w:left="840" w:hanging="360"/>
      </w:pPr>
      <w:rPr>
        <w:rFonts w:ascii="宋体" w:cs="宋体" w:eastAsia="宋体" w:hAnsi="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8">
    <w:nsid w:val="00000008"/>
    <w:multiLevelType w:val="hybridMultilevel"/>
    <w:tmpl w:val="868633E8"/>
    <w:lvl w:ilvl="0" w:tplc="6240B00E">
      <w:start w:val="1"/>
      <w:numFmt w:val="decimal"/>
      <w:lvlText w:val="%1、"/>
      <w:lvlJc w:val="left"/>
      <w:pPr>
        <w:ind w:left="852" w:hanging="37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9">
    <w:nsid w:val="00000009"/>
    <w:multiLevelType w:val="hybridMultilevel"/>
    <w:tmpl w:val="DDD6F9FE"/>
    <w:lvl w:ilvl="0" w:tplc="485ED174">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
    <w:nsid w:val="0000000A"/>
    <w:multiLevelType w:val="hybridMultilevel"/>
    <w:tmpl w:val="EC66AA38"/>
    <w:lvl w:ilvl="0" w:tplc="E6A4A9F6">
      <w:start w:val="1"/>
      <w:numFmt w:val="decimalEnclosedCircle"/>
      <w:lvlText w:val="%1"/>
      <w:lvlJc w:val="left"/>
      <w:pPr>
        <w:ind w:left="840" w:hanging="360"/>
      </w:pPr>
      <w:rPr>
        <w:rFonts w:ascii="宋体" w:cs="宋体" w:eastAsia="宋体" w:hAnsi="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1">
    <w:nsid w:val="0000000B"/>
    <w:multiLevelType w:val="hybridMultilevel"/>
    <w:tmpl w:val="95F8D2E6"/>
    <w:lvl w:ilvl="0" w:tplc="B39E3D28">
      <w:start w:val="1"/>
      <w:numFmt w:val="decimalEnclosedCircle"/>
      <w:lvlText w:val="%1"/>
      <w:lvlJc w:val="left"/>
      <w:pPr>
        <w:ind w:left="360" w:hanging="360"/>
      </w:pPr>
      <w:rPr>
        <w:rFonts w:ascii="宋体" w:cs="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0000000C"/>
    <w:multiLevelType w:val="hybridMultilevel"/>
    <w:tmpl w:val="393ABE1C"/>
    <w:lvl w:ilvl="0" w:tplc="24DC4F58">
      <w:start w:val="1"/>
      <w:numFmt w:val="decimalEnclosedCircle"/>
      <w:lvlText w:val="%1"/>
      <w:lvlJc w:val="left"/>
      <w:pPr>
        <w:ind w:left="840" w:hanging="360"/>
      </w:pPr>
      <w:rPr>
        <w:rFonts w:ascii="宋体" w:cs="宋体" w:eastAsia="宋体" w:hAnsi="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nsid w:val="0000000D"/>
    <w:multiLevelType w:val="hybridMultilevel"/>
    <w:tmpl w:val="5BAC30BA"/>
    <w:lvl w:ilvl="0" w:tplc="AE14BADE">
      <w:start w:val="1"/>
      <w:numFmt w:val="decimalEnclosedCircle"/>
      <w:lvlText w:val="%1"/>
      <w:lvlJc w:val="left"/>
      <w:pPr>
        <w:ind w:left="360" w:hanging="360"/>
      </w:pPr>
      <w:rPr>
        <w:rFonts w:ascii="宋体" w:cs="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0000000E"/>
    <w:multiLevelType w:val="hybridMultilevel"/>
    <w:tmpl w:val="825A42F4"/>
    <w:lvl w:ilvl="0" w:tplc="8B10609A">
      <w:start w:val="1"/>
      <w:numFmt w:val="decimal"/>
      <w:lvlText w:val="%1、"/>
      <w:lvlJc w:val="left"/>
      <w:pPr>
        <w:ind w:left="842" w:hanging="36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5">
    <w:nsid w:val="0000000F"/>
    <w:multiLevelType w:val="hybridMultilevel"/>
    <w:tmpl w:val="13506A5A"/>
    <w:lvl w:ilvl="0" w:tplc="08BA10FC">
      <w:start w:val="1"/>
      <w:numFmt w:val="decimalEnclosedCircle"/>
      <w:lvlText w:val="%1"/>
      <w:lvlJc w:val="left"/>
      <w:pPr>
        <w:ind w:left="360" w:hanging="360"/>
      </w:pPr>
      <w:rPr>
        <w:rFonts w:ascii="宋体" w:cs="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00000010"/>
    <w:multiLevelType w:val="hybridMultilevel"/>
    <w:tmpl w:val="09541610"/>
    <w:lvl w:ilvl="0" w:tplc="CE9A6E4E">
      <w:start w:val="1"/>
      <w:numFmt w:val="decimalEnclosedCircle"/>
      <w:lvlText w:val="%1"/>
      <w:lvlJc w:val="left"/>
      <w:pPr>
        <w:ind w:left="842" w:hanging="36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7">
    <w:nsid w:val="00000011"/>
    <w:multiLevelType w:val="singleLevel"/>
    <w:tmpl w:val="59ADCABA"/>
    <w:lvl w:ilvl="0">
      <w:start w:val="1"/>
      <w:numFmt w:val="bullet"/>
      <w:lvlText w:val="￮"/>
      <w:lvlJc w:val="left"/>
      <w:pPr/>
      <w:rPr>
        <w:color w:val="3370ff"/>
      </w:rPr>
    </w:lvl>
  </w:abstractNum>
  <w:abstractNum w:abstractNumId="18">
    <w:nsid w:val="00000012"/>
    <w:multiLevelType w:val="hybridMultilevel"/>
    <w:tmpl w:val="F5D6C4F8"/>
    <w:lvl w:ilvl="0" w:tplc="72B882CA">
      <w:start w:val="1"/>
      <w:numFmt w:val="decimalEnclosedCircle"/>
      <w:lvlText w:val="%1"/>
      <w:lvlJc w:val="left"/>
      <w:pPr>
        <w:ind w:left="840" w:hanging="360"/>
      </w:pPr>
      <w:rPr>
        <w:rFonts w:ascii="宋体" w:cs="宋体" w:eastAsia="宋体" w:hAnsi="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9">
    <w:nsid w:val="00000013"/>
    <w:multiLevelType w:val="hybridMultilevel"/>
    <w:tmpl w:val="4BA686E4"/>
    <w:lvl w:ilvl="0" w:tplc="BB262B62">
      <w:start w:val="2"/>
      <w:numFmt w:val="decimal"/>
      <w:lvlText w:val="%1、"/>
      <w:lvlJc w:val="left"/>
      <w:pPr>
        <w:ind w:left="852" w:hanging="370"/>
      </w:pPr>
      <w:rPr>
        <w:rFonts w:hint="default"/>
      </w:rPr>
    </w:lvl>
    <w:lvl w:ilvl="1" w:tplc="81E80344">
      <w:start w:val="1"/>
      <w:numFmt w:val="decimalEnclosedCircle"/>
      <w:lvlText w:val="%2"/>
      <w:lvlJc w:val="left"/>
      <w:pPr>
        <w:ind w:left="1262" w:hanging="360"/>
      </w:pPr>
      <w:rPr>
        <w:rFonts w:ascii="宋体" w:cs="宋体" w:eastAsia="宋体" w:hAnsi="宋体" w:hint="default"/>
        <w:b w:val="false"/>
      </w:r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20">
    <w:nsid w:val="00000014"/>
    <w:multiLevelType w:val="hybridMultilevel"/>
    <w:tmpl w:val="E7C8A2D8"/>
    <w:lvl w:ilvl="0" w:tplc="36CCBE3E">
      <w:start w:val="1"/>
      <w:numFmt w:val="decimalEnclosedCircle"/>
      <w:lvlText w:val="%1"/>
      <w:lvlJc w:val="left"/>
      <w:pPr>
        <w:ind w:left="360" w:hanging="360"/>
      </w:pPr>
      <w:rPr>
        <w:rFonts w:ascii="宋体" w:cs="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00000015"/>
    <w:multiLevelType w:val="hybridMultilevel"/>
    <w:tmpl w:val="129E77A2"/>
    <w:lvl w:ilvl="0" w:tplc="96CC8BB4">
      <w:start w:val="2"/>
      <w:numFmt w:val="decimalEnclosedCircle"/>
      <w:lvlText w:val="%1"/>
      <w:lvlJc w:val="left"/>
      <w:pPr>
        <w:ind w:left="360" w:hanging="360"/>
      </w:pPr>
      <w:rPr>
        <w:rFonts w:ascii="宋体" w:cs="宋体" w:hAnsi="宋体" w:hint="default"/>
        <w:b/>
        <w:sz w:val="2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11"/>
  </w:num>
  <w:num w:numId="3">
    <w:abstractNumId w:val="7"/>
  </w:num>
  <w:num w:numId="4">
    <w:abstractNumId w:val="15"/>
  </w:num>
  <w:num w:numId="5">
    <w:abstractNumId w:val="9"/>
  </w:num>
  <w:num w:numId="6">
    <w:abstractNumId w:val="18"/>
  </w:num>
  <w:num w:numId="7">
    <w:abstractNumId w:val="13"/>
  </w:num>
  <w:num w:numId="8">
    <w:abstractNumId w:val="10"/>
  </w:num>
  <w:num w:numId="9">
    <w:abstractNumId w:val="4"/>
  </w:num>
  <w:num w:numId="10">
    <w:abstractNumId w:val="12"/>
  </w:num>
  <w:num w:numId="11">
    <w:abstractNumId w:val="20"/>
  </w:num>
  <w:num w:numId="12">
    <w:abstractNumId w:val="14"/>
  </w:num>
  <w:num w:numId="13">
    <w:abstractNumId w:val="16"/>
  </w:num>
  <w:num w:numId="14">
    <w:abstractNumId w:val="3"/>
  </w:num>
  <w:num w:numId="15">
    <w:abstractNumId w:val="2"/>
  </w:num>
  <w:num w:numId="16">
    <w:abstractNumId w:val="17"/>
  </w:num>
  <w:num w:numId="17">
    <w:abstractNumId w:val="1"/>
  </w:num>
  <w:num w:numId="18">
    <w:abstractNumId w:val="0"/>
  </w:num>
  <w:num w:numId="19">
    <w:abstractNumId w:val="5"/>
  </w:num>
  <w:num w:numId="20">
    <w:abstractNumId w:val="19"/>
  </w:num>
  <w:num w:numId="21">
    <w:abstractNumId w:val="21"/>
  </w:num>
  <w:num w:numId="2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lang w:val="en-US" w:bidi="ar-SA" w:eastAsia="zh-CN"/>
      </w:rPr>
    </w:rPrDefault>
    <w:pPrDefault>
      <w:pPr/>
    </w:pPrDefault>
  </w:docDefaults>
  <w:style w:type="paragraph" w:default="1" w:styleId="style0">
    <w:name w:val="Normal"/>
    <w:next w:val="style0"/>
    <w:qFormat/>
    <w:pPr>
      <w:widowControl w:val="false"/>
      <w:jc w:val="both"/>
    </w:pPr>
    <w:rPr>
      <w:kern w:val="2"/>
      <w:sz w:val="21"/>
      <w:szCs w:val="2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0">
    <w:name w:val="annotation text"/>
    <w:basedOn w:val="style0"/>
    <w:next w:val="style30"/>
    <w:link w:val="style4100"/>
    <w:qFormat/>
    <w:uiPriority w:val="99"/>
    <w:pPr>
      <w:jc w:val="left"/>
    </w:pPr>
    <w:rPr/>
  </w:style>
  <w:style w:type="paragraph" w:styleId="style153">
    <w:name w:val="Balloon Text"/>
    <w:basedOn w:val="style0"/>
    <w:next w:val="style153"/>
    <w:link w:val="style4099"/>
    <w:qFormat/>
    <w:uiPriority w:val="99"/>
    <w:pPr/>
    <w:rPr>
      <w:sz w:val="18"/>
      <w:szCs w:val="18"/>
    </w:rPr>
  </w:style>
  <w:style w:type="paragraph" w:styleId="style32">
    <w:name w:val="footer"/>
    <w:basedOn w:val="style0"/>
    <w:next w:val="style32"/>
    <w:link w:val="style4098"/>
    <w:qFormat/>
    <w:uiPriority w:val="99"/>
    <w:pPr>
      <w:tabs>
        <w:tab w:val="center" w:leader="none" w:pos="4153"/>
        <w:tab w:val="right" w:leader="none" w:pos="8306"/>
      </w:tabs>
      <w:snapToGrid w:val="false"/>
      <w:jc w:val="left"/>
    </w:pPr>
    <w:rPr>
      <w:sz w:val="18"/>
      <w:szCs w:val="18"/>
    </w:rPr>
  </w:style>
  <w:style w:type="paragraph" w:styleId="style31">
    <w:name w:val="header"/>
    <w:basedOn w:val="style0"/>
    <w:next w:val="style31"/>
    <w:link w:val="style4097"/>
    <w:qFormat/>
    <w:uiPriority w:val="99"/>
    <w:pPr>
      <w:pBdr>
        <w:bottom w:val="single" w:sz="6" w:space="1" w:color="auto"/>
      </w:pBdr>
      <w:tabs>
        <w:tab w:val="center" w:leader="none" w:pos="4153"/>
        <w:tab w:val="right" w:leader="none" w:pos="8306"/>
      </w:tabs>
      <w:snapToGrid w:val="false"/>
      <w:jc w:val="center"/>
    </w:pPr>
    <w:rPr>
      <w:sz w:val="18"/>
      <w:szCs w:val="18"/>
    </w:rPr>
  </w:style>
  <w:style w:type="paragraph" w:styleId="style106">
    <w:name w:val="annotation subject"/>
    <w:basedOn w:val="style30"/>
    <w:next w:val="style30"/>
    <w:link w:val="style4101"/>
    <w:qFormat/>
    <w:uiPriority w:val="99"/>
    <w:pPr/>
    <w:rPr>
      <w:b/>
      <w:bCs/>
    </w:rPr>
  </w:style>
  <w:style w:type="table" w:styleId="style154">
    <w:name w:val="Table Grid"/>
    <w:basedOn w:val="style105"/>
    <w:next w:val="style154"/>
    <w:qFormat/>
    <w:uiPriority w:val="39"/>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styleId="style87">
    <w:name w:val="Strong"/>
    <w:basedOn w:val="style65"/>
    <w:next w:val="style87"/>
    <w:qFormat/>
    <w:uiPriority w:val="22"/>
    <w:rPr>
      <w:b/>
      <w:bCs/>
    </w:rPr>
  </w:style>
  <w:style w:type="character" w:styleId="style39">
    <w:name w:val="annotation reference"/>
    <w:basedOn w:val="style65"/>
    <w:next w:val="style39"/>
    <w:qFormat/>
    <w:uiPriority w:val="99"/>
    <w:rPr>
      <w:sz w:val="21"/>
      <w:szCs w:val="21"/>
    </w:rPr>
  </w:style>
  <w:style w:type="character" w:customStyle="1" w:styleId="style4097">
    <w:name w:val="页眉 字符"/>
    <w:basedOn w:val="style65"/>
    <w:next w:val="style4097"/>
    <w:link w:val="style31"/>
    <w:qFormat/>
    <w:uiPriority w:val="99"/>
    <w:rPr>
      <w:sz w:val="18"/>
      <w:szCs w:val="18"/>
    </w:rPr>
  </w:style>
  <w:style w:type="character" w:customStyle="1" w:styleId="style4098">
    <w:name w:val="页脚 字符"/>
    <w:basedOn w:val="style65"/>
    <w:next w:val="style4098"/>
    <w:link w:val="style32"/>
    <w:qFormat/>
    <w:uiPriority w:val="99"/>
    <w:rPr>
      <w:sz w:val="18"/>
      <w:szCs w:val="18"/>
    </w:rPr>
  </w:style>
  <w:style w:type="paragraph" w:styleId="style179">
    <w:name w:val="List Paragraph"/>
    <w:basedOn w:val="style0"/>
    <w:next w:val="style179"/>
    <w:qFormat/>
    <w:uiPriority w:val="34"/>
    <w:pPr>
      <w:ind w:firstLine="420" w:firstLineChars="200"/>
    </w:pPr>
    <w:rPr/>
  </w:style>
  <w:style w:type="character" w:customStyle="1" w:styleId="style4099">
    <w:name w:val="批注框文本 字符"/>
    <w:basedOn w:val="style65"/>
    <w:next w:val="style4099"/>
    <w:link w:val="style153"/>
    <w:qFormat/>
    <w:uiPriority w:val="99"/>
    <w:rPr>
      <w:sz w:val="18"/>
      <w:szCs w:val="18"/>
    </w:rPr>
  </w:style>
  <w:style w:type="character" w:customStyle="1" w:styleId="style4100">
    <w:name w:val="批注文字 字符"/>
    <w:basedOn w:val="style65"/>
    <w:next w:val="style4100"/>
    <w:link w:val="style30"/>
    <w:qFormat/>
    <w:uiPriority w:val="99"/>
    <w:rPr>
      <w:kern w:val="2"/>
      <w:sz w:val="21"/>
      <w:szCs w:val="22"/>
    </w:rPr>
  </w:style>
  <w:style w:type="character" w:customStyle="1" w:styleId="style4101">
    <w:name w:val="批注主题 字符"/>
    <w:basedOn w:val="style4100"/>
    <w:next w:val="style4101"/>
    <w:link w:val="style106"/>
    <w:qFormat/>
    <w:uiPriority w:val="99"/>
    <w:rPr>
      <w:b/>
      <w:bCs/>
      <w:kern w:val="2"/>
      <w:sz w:val="21"/>
      <w:szCs w:val="22"/>
    </w:rPr>
  </w:style>
  <w:style w:type="character" w:customStyle="1" w:styleId="style4102">
    <w:name w:val="ybc-li-component_content"/>
    <w:basedOn w:val="style65"/>
    <w:next w:val="style4102"/>
  </w:style>
  <w:style w:type="character" w:customStyle="1" w:styleId="style4103">
    <w:name w:val="hyc-common-markdown__replace-meeting-chat"/>
    <w:basedOn w:val="style65"/>
    <w:next w:val="style4103"/>
  </w:style>
  <w:style w:type="character" w:customStyle="1" w:styleId="style4104">
    <w:name w:val="ybc-li-component_dot"/>
    <w:basedOn w:val="style65"/>
    <w:next w:val="style4104"/>
  </w:style>
  <w:style w:type="paragraph" w:styleId="style94">
    <w:name w:val="Normal (Web)"/>
    <w:basedOn w:val="style0"/>
    <w:next w:val="style94"/>
    <w:uiPriority w:val="99"/>
    <w:pPr>
      <w:widowControl/>
      <w:spacing w:before="100" w:beforeAutospacing="true" w:after="100" w:afterAutospacing="true"/>
      <w:jc w:val="left"/>
    </w:pPr>
    <w:rPr>
      <w:rFonts w:ascii="宋体" w:cs="宋体" w:eastAsia="宋体" w:hAnsi="宋体"/>
      <w:kern w:val="0"/>
      <w:sz w:val="24"/>
      <w:szCs w:val="24"/>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3388</TotalTime>
  <Words>2036</Words>
  <Pages>4</Pages>
  <Characters>2163</Characters>
  <Application>WPS Office</Application>
  <DocSecurity>0</DocSecurity>
  <Paragraphs>49</Paragraphs>
  <ScaleCrop>false</ScaleCrop>
  <Company>Microsoft</Company>
  <LinksUpToDate>false</LinksUpToDate>
  <CharactersWithSpaces>2207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2025-04-29T03:54:00Z</dcterms:created>
  <dc:creator>Xhyu 向洪玉</dc:creator>
  <lastModifiedBy>OPPO R11t</lastModifiedBy>
  <lastPrinted>2022-01-30T03:37:00Z</lastPrinted>
  <dcterms:modified xsi:type="dcterms:W3CDTF">2026-09-29T09:45:19Z</dcterms:modified>
  <revision>693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38A99732B699426ABDE2C8E368D154C9_12</vt:lpwstr>
  </property>
  <property fmtid="{D5CDD505-2E9C-101B-9397-08002B2CF9AE}" pid="4" name="KSOTemplateDocerSaveRecord">
    <vt:lpwstr>eyJoZGlkIjoiYzExNDVmZjYyYWE0NTc3NGYyNTFiYTMxMjJiZTQ4ZjciLCJ1c2VySWQiOiI3NjA0NjQ3NzIifQ==</vt:lpwstr>
  </property>
</Properties>
</file>