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19068">
      <w:pPr>
        <w:spacing w:line="360" w:lineRule="auto"/>
        <w:rPr>
          <w:bCs/>
          <w:iCs/>
          <w:color w:val="000000"/>
          <w:sz w:val="24"/>
        </w:rPr>
      </w:pPr>
      <w:r>
        <w:rPr>
          <w:rFonts w:hAnsi="宋体"/>
          <w:bCs/>
          <w:iCs/>
          <w:color w:val="000000"/>
          <w:sz w:val="24"/>
        </w:rPr>
        <w:t>证券代码：</w:t>
      </w:r>
      <w:r>
        <w:rPr>
          <w:rFonts w:hint="eastAsia" w:hAnsi="宋体"/>
          <w:bCs/>
          <w:iCs/>
          <w:color w:val="000000"/>
          <w:sz w:val="24"/>
        </w:rPr>
        <w:t>6</w:t>
      </w:r>
      <w:r>
        <w:rPr>
          <w:rFonts w:hAnsi="宋体"/>
          <w:bCs/>
          <w:iCs/>
          <w:color w:val="000000"/>
          <w:sz w:val="24"/>
        </w:rPr>
        <w:t xml:space="preserve">88655     </w:t>
      </w:r>
      <w:r>
        <w:rPr>
          <w:bCs/>
          <w:iCs/>
          <w:color w:val="000000"/>
          <w:sz w:val="24"/>
        </w:rPr>
        <w:t xml:space="preserve">                                 </w:t>
      </w:r>
      <w:r>
        <w:rPr>
          <w:rFonts w:hint="eastAsia"/>
          <w:bCs/>
          <w:iCs/>
          <w:color w:val="000000"/>
          <w:sz w:val="24"/>
        </w:rPr>
        <w:t xml:space="preserve">  </w:t>
      </w:r>
      <w:r>
        <w:rPr>
          <w:rFonts w:hAnsi="宋体"/>
          <w:bCs/>
          <w:iCs/>
          <w:color w:val="000000"/>
          <w:sz w:val="24"/>
        </w:rPr>
        <w:t>证券简称：</w:t>
      </w:r>
      <w:r>
        <w:rPr>
          <w:rFonts w:hint="eastAsia" w:hAnsi="宋体"/>
          <w:bCs/>
          <w:iCs/>
          <w:color w:val="000000"/>
          <w:sz w:val="24"/>
        </w:rPr>
        <w:t>迅捷兴</w:t>
      </w:r>
    </w:p>
    <w:p w14:paraId="228DC205">
      <w:pPr>
        <w:jc w:val="center"/>
        <w:rPr>
          <w:rFonts w:hAnsi="宋体"/>
          <w:b/>
          <w:bCs/>
          <w:iCs/>
          <w:color w:val="000000"/>
          <w:sz w:val="32"/>
          <w:szCs w:val="32"/>
        </w:rPr>
      </w:pPr>
      <w:r>
        <w:rPr>
          <w:rFonts w:hint="eastAsia" w:hAnsi="宋体"/>
          <w:b/>
          <w:bCs/>
          <w:iCs/>
          <w:color w:val="000000"/>
          <w:sz w:val="32"/>
          <w:szCs w:val="32"/>
        </w:rPr>
        <w:t>深圳市迅捷兴科技股份有限公司</w:t>
      </w:r>
    </w:p>
    <w:p w14:paraId="3359044C">
      <w:pPr>
        <w:spacing w:after="156" w:afterLines="50"/>
        <w:jc w:val="center"/>
        <w:rPr>
          <w:bCs/>
          <w:iCs/>
          <w:color w:val="000000"/>
          <w:sz w:val="24"/>
          <w:szCs w:val="32"/>
        </w:rPr>
      </w:pPr>
      <w:r>
        <w:rPr>
          <w:rFonts w:hint="eastAsia" w:hAnsi="宋体"/>
          <w:b/>
          <w:bCs/>
          <w:iCs/>
          <w:color w:val="000000"/>
          <w:sz w:val="32"/>
          <w:szCs w:val="32"/>
        </w:rPr>
        <w:t xml:space="preserve">2026年9月投资者关系活动记录表 </w:t>
      </w:r>
      <w:r>
        <w:rPr>
          <w:rFonts w:hAnsi="宋体"/>
          <w:b/>
          <w:bCs/>
          <w:iCs/>
          <w:color w:val="000000"/>
          <w:sz w:val="32"/>
          <w:szCs w:val="32"/>
        </w:rPr>
        <w:t xml:space="preserve">                                          </w:t>
      </w:r>
      <w:r>
        <w:rPr>
          <w:rFonts w:hAnsi="宋体"/>
          <w:bCs/>
          <w:iCs/>
          <w:color w:val="000000"/>
          <w:sz w:val="24"/>
          <w:szCs w:val="32"/>
        </w:rPr>
        <w:t xml:space="preserve"> </w:t>
      </w:r>
      <w:r>
        <w:rPr>
          <w:rFonts w:hint="eastAsia" w:hAnsi="宋体"/>
          <w:bCs/>
          <w:iCs/>
          <w:color w:val="000000"/>
          <w:sz w:val="24"/>
          <w:szCs w:val="32"/>
        </w:rPr>
        <w:t>编号：</w:t>
      </w:r>
      <w:r>
        <w:rPr>
          <w:rFonts w:hAnsi="宋体"/>
          <w:bCs/>
          <w:iCs/>
          <w:color w:val="000000"/>
          <w:sz w:val="24"/>
          <w:szCs w:val="32"/>
        </w:rPr>
        <w:t>202</w:t>
      </w:r>
      <w:r>
        <w:rPr>
          <w:rFonts w:hint="eastAsia" w:hAnsi="宋体"/>
          <w:bCs/>
          <w:iCs/>
          <w:color w:val="000000"/>
          <w:sz w:val="24"/>
          <w:szCs w:val="32"/>
        </w:rPr>
        <w:t>608</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7376"/>
      </w:tblGrid>
      <w:tr w14:paraId="16289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Align w:val="center"/>
          </w:tcPr>
          <w:p w14:paraId="7906A036">
            <w:pPr>
              <w:spacing w:line="360" w:lineRule="auto"/>
              <w:jc w:val="center"/>
              <w:rPr>
                <w:b/>
                <w:bCs/>
                <w:iCs/>
                <w:color w:val="000000"/>
                <w:sz w:val="24"/>
              </w:rPr>
            </w:pPr>
            <w:r>
              <w:rPr>
                <w:rFonts w:hAnsi="宋体"/>
                <w:b/>
                <w:bCs/>
                <w:iCs/>
                <w:color w:val="000000"/>
                <w:sz w:val="24"/>
              </w:rPr>
              <w:t>投资者关系活动类别</w:t>
            </w:r>
          </w:p>
        </w:tc>
        <w:tc>
          <w:tcPr>
            <w:tcW w:w="7376" w:type="dxa"/>
          </w:tcPr>
          <w:p w14:paraId="0E3D3833">
            <w:pPr>
              <w:spacing w:line="360" w:lineRule="auto"/>
              <w:rPr>
                <w:bCs/>
                <w:iCs/>
                <w:color w:val="000000"/>
                <w:sz w:val="24"/>
                <w:szCs w:val="24"/>
              </w:rPr>
            </w:pPr>
            <w:r>
              <w:rPr>
                <w:rFonts w:hint="eastAsia" w:ascii="Segoe UI Symbol" w:hAnsi="Segoe UI Symbol" w:cs="Segoe UI Symbol"/>
                <w:bCs/>
                <w:iCs/>
                <w:color w:val="000000"/>
                <w:sz w:val="24"/>
                <w:szCs w:val="24"/>
              </w:rPr>
              <w:sym w:font="Wingdings 2" w:char="0052"/>
            </w:r>
            <w:r>
              <w:rPr>
                <w:rFonts w:hAnsi="宋体"/>
                <w:bCs/>
                <w:iCs/>
                <w:color w:val="000000"/>
                <w:sz w:val="24"/>
                <w:szCs w:val="24"/>
              </w:rPr>
              <w:t>特定对象调研</w:t>
            </w:r>
            <w:r>
              <w:rPr>
                <w:bCs/>
                <w:iCs/>
                <w:color w:val="000000"/>
                <w:sz w:val="24"/>
                <w:szCs w:val="24"/>
              </w:rPr>
              <w:t xml:space="preserve">       </w:t>
            </w:r>
            <w:r>
              <w:rPr>
                <w:rFonts w:hint="eastAsia" w:ascii="宋体" w:hAnsi="宋体"/>
                <w:bCs/>
                <w:iCs/>
                <w:color w:val="000000"/>
                <w:sz w:val="24"/>
                <w:szCs w:val="24"/>
              </w:rPr>
              <w:t>□</w:t>
            </w:r>
            <w:r>
              <w:rPr>
                <w:rFonts w:hAnsi="宋体"/>
                <w:bCs/>
                <w:iCs/>
                <w:color w:val="000000"/>
                <w:sz w:val="24"/>
                <w:szCs w:val="24"/>
              </w:rPr>
              <w:t>分析师会议</w:t>
            </w:r>
          </w:p>
          <w:p w14:paraId="5DA1A450">
            <w:pPr>
              <w:spacing w:line="360" w:lineRule="auto"/>
              <w:rPr>
                <w:bCs/>
                <w:iCs/>
                <w:color w:val="000000"/>
                <w:sz w:val="24"/>
                <w:szCs w:val="24"/>
              </w:rPr>
            </w:pPr>
            <w:r>
              <w:rPr>
                <w:rFonts w:hint="eastAsia" w:ascii="宋体" w:hAnsi="宋体"/>
                <w:bCs/>
                <w:iCs/>
                <w:color w:val="000000"/>
                <w:sz w:val="24"/>
                <w:szCs w:val="24"/>
              </w:rPr>
              <w:t>□</w:t>
            </w:r>
            <w:r>
              <w:rPr>
                <w:rFonts w:hAnsi="宋体"/>
                <w:bCs/>
                <w:iCs/>
                <w:color w:val="000000"/>
                <w:sz w:val="24"/>
                <w:szCs w:val="24"/>
              </w:rPr>
              <w:t>媒体采访</w:t>
            </w:r>
            <w:r>
              <w:rPr>
                <w:bCs/>
                <w:iCs/>
                <w:color w:val="000000"/>
                <w:sz w:val="24"/>
                <w:szCs w:val="24"/>
              </w:rPr>
              <w:t xml:space="preserve">            </w:t>
            </w:r>
            <w:r>
              <w:rPr>
                <w:rFonts w:hint="eastAsia" w:ascii="Segoe UI Symbol" w:hAnsi="Segoe UI Symbol" w:cs="Segoe UI Symbol"/>
                <w:bCs/>
                <w:iCs/>
                <w:color w:val="000000"/>
                <w:sz w:val="24"/>
                <w:szCs w:val="24"/>
              </w:rPr>
              <w:sym w:font="Wingdings 2" w:char="0052"/>
            </w:r>
            <w:r>
              <w:rPr>
                <w:rFonts w:hAnsi="宋体"/>
                <w:bCs/>
                <w:iCs/>
                <w:color w:val="000000"/>
                <w:sz w:val="24"/>
                <w:szCs w:val="24"/>
              </w:rPr>
              <w:t>业绩说明会</w:t>
            </w:r>
          </w:p>
          <w:p w14:paraId="1D297C36">
            <w:pPr>
              <w:spacing w:line="360" w:lineRule="auto"/>
              <w:rPr>
                <w:bCs/>
                <w:iCs/>
                <w:color w:val="000000"/>
                <w:sz w:val="24"/>
                <w:szCs w:val="24"/>
              </w:rPr>
            </w:pPr>
            <w:r>
              <w:rPr>
                <w:rFonts w:hint="eastAsia" w:ascii="宋体" w:hAnsi="宋体"/>
                <w:bCs/>
                <w:iCs/>
                <w:color w:val="000000"/>
                <w:sz w:val="24"/>
                <w:szCs w:val="24"/>
              </w:rPr>
              <w:t>□</w:t>
            </w:r>
            <w:r>
              <w:rPr>
                <w:rFonts w:hAnsi="宋体"/>
                <w:bCs/>
                <w:iCs/>
                <w:color w:val="000000"/>
                <w:sz w:val="24"/>
                <w:szCs w:val="24"/>
              </w:rPr>
              <w:t>新闻发布会</w:t>
            </w:r>
            <w:r>
              <w:rPr>
                <w:bCs/>
                <w:iCs/>
                <w:color w:val="000000"/>
                <w:sz w:val="24"/>
                <w:szCs w:val="24"/>
              </w:rPr>
              <w:t xml:space="preserve">         </w:t>
            </w:r>
            <w:r>
              <w:rPr>
                <w:rFonts w:hint="eastAsia"/>
                <w:bCs/>
                <w:iCs/>
                <w:color w:val="000000"/>
                <w:sz w:val="24"/>
                <w:szCs w:val="24"/>
              </w:rPr>
              <w:t xml:space="preserve"> </w:t>
            </w:r>
            <w:r>
              <w:rPr>
                <w:rFonts w:hint="eastAsia" w:ascii="宋体" w:hAnsi="宋体"/>
                <w:bCs/>
                <w:iCs/>
                <w:color w:val="000000"/>
                <w:sz w:val="24"/>
                <w:szCs w:val="24"/>
              </w:rPr>
              <w:t>□</w:t>
            </w:r>
            <w:r>
              <w:rPr>
                <w:rFonts w:hAnsi="宋体"/>
                <w:bCs/>
                <w:iCs/>
                <w:color w:val="000000"/>
                <w:sz w:val="24"/>
                <w:szCs w:val="24"/>
              </w:rPr>
              <w:t>路演活动</w:t>
            </w:r>
          </w:p>
          <w:p w14:paraId="5B8EF3B7">
            <w:pPr>
              <w:spacing w:line="360" w:lineRule="auto"/>
              <w:rPr>
                <w:rFonts w:hAnsi="宋体"/>
                <w:bCs/>
                <w:iCs/>
                <w:color w:val="000000"/>
                <w:sz w:val="24"/>
                <w:szCs w:val="24"/>
              </w:rPr>
            </w:pPr>
            <w:r>
              <w:rPr>
                <w:rFonts w:hint="eastAsia" w:ascii="宋体" w:hAnsi="宋体"/>
                <w:bCs/>
                <w:iCs/>
                <w:color w:val="000000"/>
                <w:sz w:val="24"/>
                <w:szCs w:val="24"/>
              </w:rPr>
              <w:t>□</w:t>
            </w:r>
            <w:r>
              <w:rPr>
                <w:rFonts w:hAnsi="宋体"/>
                <w:bCs/>
                <w:iCs/>
                <w:color w:val="000000"/>
                <w:sz w:val="24"/>
                <w:szCs w:val="24"/>
              </w:rPr>
              <w:t>现场参观</w:t>
            </w:r>
            <w:r>
              <w:rPr>
                <w:rFonts w:hint="eastAsia" w:hAnsi="宋体"/>
                <w:bCs/>
                <w:iCs/>
                <w:color w:val="000000"/>
                <w:sz w:val="24"/>
                <w:szCs w:val="24"/>
              </w:rPr>
              <w:t xml:space="preserve">            </w:t>
            </w:r>
            <w:r>
              <w:rPr>
                <w:rFonts w:hint="eastAsia" w:ascii="Segoe UI Symbol" w:hAnsi="Segoe UI Symbol" w:cs="Segoe UI Symbol"/>
                <w:bCs/>
                <w:iCs/>
                <w:color w:val="000000"/>
                <w:sz w:val="24"/>
                <w:szCs w:val="24"/>
              </w:rPr>
              <w:sym w:font="Wingdings 2" w:char="0052"/>
            </w:r>
            <w:r>
              <w:rPr>
                <w:rFonts w:hAnsi="宋体"/>
                <w:bCs/>
                <w:iCs/>
                <w:color w:val="000000"/>
                <w:sz w:val="24"/>
                <w:szCs w:val="24"/>
              </w:rPr>
              <w:t>其他</w:t>
            </w:r>
            <w:r>
              <w:rPr>
                <w:rFonts w:hint="eastAsia" w:hAnsi="宋体"/>
                <w:bCs/>
                <w:iCs/>
                <w:color w:val="000000"/>
                <w:sz w:val="24"/>
                <w:szCs w:val="24"/>
              </w:rPr>
              <w:t>：券商策略会</w:t>
            </w:r>
            <w:r>
              <w:rPr>
                <w:rFonts w:hAnsi="宋体"/>
                <w:bCs/>
                <w:iCs/>
                <w:color w:val="000000"/>
                <w:sz w:val="24"/>
                <w:szCs w:val="24"/>
              </w:rPr>
              <w:t xml:space="preserve"> </w:t>
            </w:r>
          </w:p>
        </w:tc>
      </w:tr>
      <w:tr w14:paraId="6B7DF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Align w:val="center"/>
          </w:tcPr>
          <w:p w14:paraId="2DC228F4">
            <w:pPr>
              <w:spacing w:line="360" w:lineRule="auto"/>
              <w:jc w:val="center"/>
              <w:rPr>
                <w:b/>
                <w:bCs/>
                <w:iCs/>
                <w:color w:val="000000"/>
                <w:sz w:val="24"/>
              </w:rPr>
            </w:pPr>
            <w:r>
              <w:rPr>
                <w:rFonts w:hAnsi="宋体"/>
                <w:b/>
                <w:bCs/>
                <w:iCs/>
                <w:color w:val="000000"/>
                <w:sz w:val="24"/>
              </w:rPr>
              <w:t>参与单位名称</w:t>
            </w:r>
          </w:p>
        </w:tc>
        <w:tc>
          <w:tcPr>
            <w:tcW w:w="7376" w:type="dxa"/>
            <w:vAlign w:val="center"/>
          </w:tcPr>
          <w:p w14:paraId="0CA9DC87">
            <w:pPr>
              <w:widowControl/>
              <w:tabs>
                <w:tab w:val="left" w:pos="2940"/>
              </w:tabs>
              <w:spacing w:line="360" w:lineRule="auto"/>
              <w:rPr>
                <w:sz w:val="24"/>
                <w:szCs w:val="24"/>
                <w:highlight w:val="yellow"/>
              </w:rPr>
            </w:pPr>
            <w:r>
              <w:rPr>
                <w:rFonts w:hint="eastAsia"/>
                <w:sz w:val="24"/>
                <w:szCs w:val="24"/>
              </w:rPr>
              <w:t>见附件清单</w:t>
            </w:r>
            <w:bookmarkStart w:id="0" w:name="_GoBack"/>
            <w:bookmarkEnd w:id="0"/>
          </w:p>
        </w:tc>
      </w:tr>
      <w:tr w14:paraId="566C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Align w:val="center"/>
          </w:tcPr>
          <w:p w14:paraId="59768C7C">
            <w:pPr>
              <w:spacing w:line="360" w:lineRule="auto"/>
              <w:jc w:val="center"/>
              <w:rPr>
                <w:b/>
                <w:bCs/>
                <w:iCs/>
                <w:color w:val="000000"/>
                <w:sz w:val="24"/>
              </w:rPr>
            </w:pPr>
            <w:r>
              <w:rPr>
                <w:rFonts w:hAnsi="宋体"/>
                <w:b/>
                <w:bCs/>
                <w:iCs/>
                <w:color w:val="000000"/>
                <w:sz w:val="24"/>
              </w:rPr>
              <w:t>时</w:t>
            </w:r>
            <w:r>
              <w:rPr>
                <w:b/>
                <w:bCs/>
                <w:iCs/>
                <w:color w:val="000000"/>
                <w:sz w:val="24"/>
              </w:rPr>
              <w:t xml:space="preserve">  </w:t>
            </w:r>
            <w:r>
              <w:rPr>
                <w:rFonts w:hAnsi="宋体"/>
                <w:b/>
                <w:bCs/>
                <w:iCs/>
                <w:color w:val="000000"/>
                <w:sz w:val="24"/>
              </w:rPr>
              <w:t>间</w:t>
            </w:r>
          </w:p>
        </w:tc>
        <w:tc>
          <w:tcPr>
            <w:tcW w:w="7376" w:type="dxa"/>
          </w:tcPr>
          <w:p w14:paraId="33F84498">
            <w:pPr>
              <w:spacing w:line="360" w:lineRule="auto"/>
              <w:rPr>
                <w:bCs/>
                <w:iCs/>
                <w:color w:val="000000"/>
                <w:sz w:val="24"/>
                <w:szCs w:val="24"/>
              </w:rPr>
            </w:pPr>
            <w:r>
              <w:rPr>
                <w:rFonts w:hint="eastAsia"/>
                <w:bCs/>
                <w:iCs/>
                <w:color w:val="000000"/>
                <w:sz w:val="24"/>
                <w:szCs w:val="24"/>
              </w:rPr>
              <w:t>2026年9月4日、2026年9月7日、2026年9月8日、2026年9月9日、2026年9月10日、2026年9月15日、2026年9月18日、2026年9月22日、2026年9月24日</w:t>
            </w:r>
          </w:p>
        </w:tc>
      </w:tr>
      <w:tr w14:paraId="5D441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Align w:val="center"/>
          </w:tcPr>
          <w:p w14:paraId="1253314B">
            <w:pPr>
              <w:spacing w:line="360" w:lineRule="auto"/>
              <w:jc w:val="center"/>
              <w:rPr>
                <w:b/>
                <w:bCs/>
                <w:iCs/>
                <w:color w:val="000000"/>
                <w:sz w:val="24"/>
              </w:rPr>
            </w:pPr>
            <w:r>
              <w:rPr>
                <w:rFonts w:hAnsi="宋体"/>
                <w:b/>
                <w:bCs/>
                <w:iCs/>
                <w:color w:val="000000"/>
                <w:sz w:val="24"/>
              </w:rPr>
              <w:t>地</w:t>
            </w:r>
            <w:r>
              <w:rPr>
                <w:b/>
                <w:bCs/>
                <w:iCs/>
                <w:color w:val="000000"/>
                <w:sz w:val="24"/>
              </w:rPr>
              <w:t xml:space="preserve">  </w:t>
            </w:r>
            <w:r>
              <w:rPr>
                <w:rFonts w:hAnsi="宋体"/>
                <w:b/>
                <w:bCs/>
                <w:iCs/>
                <w:color w:val="000000"/>
                <w:sz w:val="24"/>
              </w:rPr>
              <w:t>点</w:t>
            </w:r>
          </w:p>
        </w:tc>
        <w:tc>
          <w:tcPr>
            <w:tcW w:w="7376" w:type="dxa"/>
          </w:tcPr>
          <w:p w14:paraId="1C96B901">
            <w:pPr>
              <w:spacing w:line="360" w:lineRule="auto"/>
              <w:rPr>
                <w:bCs/>
                <w:iCs/>
                <w:color w:val="000000"/>
                <w:sz w:val="24"/>
                <w:szCs w:val="24"/>
              </w:rPr>
            </w:pPr>
            <w:r>
              <w:rPr>
                <w:rFonts w:hint="eastAsia"/>
                <w:bCs/>
                <w:iCs/>
                <w:color w:val="000000"/>
                <w:sz w:val="24"/>
                <w:szCs w:val="24"/>
              </w:rPr>
              <w:t>上证路演中心（网址：http://roadshow.sseinfo.com/）、公司会议室、深圳、杭州</w:t>
            </w:r>
          </w:p>
        </w:tc>
      </w:tr>
      <w:tr w14:paraId="67C5A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Align w:val="center"/>
          </w:tcPr>
          <w:p w14:paraId="18F40905">
            <w:pPr>
              <w:spacing w:line="360" w:lineRule="auto"/>
              <w:jc w:val="center"/>
              <w:rPr>
                <w:b/>
                <w:bCs/>
                <w:iCs/>
                <w:color w:val="000000"/>
                <w:sz w:val="24"/>
              </w:rPr>
            </w:pPr>
            <w:r>
              <w:rPr>
                <w:rFonts w:hAnsi="宋体"/>
                <w:b/>
                <w:bCs/>
                <w:iCs/>
                <w:color w:val="000000"/>
                <w:sz w:val="24"/>
              </w:rPr>
              <w:t>上市公司接待人员姓名</w:t>
            </w:r>
          </w:p>
        </w:tc>
        <w:tc>
          <w:tcPr>
            <w:tcW w:w="7376" w:type="dxa"/>
            <w:vAlign w:val="center"/>
          </w:tcPr>
          <w:p w14:paraId="650ABB70">
            <w:pPr>
              <w:widowControl/>
              <w:tabs>
                <w:tab w:val="left" w:pos="2940"/>
              </w:tabs>
              <w:spacing w:line="360" w:lineRule="auto"/>
              <w:rPr>
                <w:bCs/>
                <w:iCs/>
                <w:color w:val="000000"/>
                <w:sz w:val="24"/>
                <w:szCs w:val="24"/>
              </w:rPr>
            </w:pPr>
            <w:r>
              <w:rPr>
                <w:rFonts w:hint="eastAsia"/>
                <w:sz w:val="24"/>
                <w:szCs w:val="24"/>
              </w:rPr>
              <w:t>董事长兼总经理：马卓；董事会秘书：吴玉梅；财务总监：刘望兰；独立董事：洪芳</w:t>
            </w:r>
          </w:p>
        </w:tc>
      </w:tr>
      <w:tr w14:paraId="6D7AF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Align w:val="center"/>
          </w:tcPr>
          <w:p w14:paraId="23D0FE2C">
            <w:pPr>
              <w:spacing w:line="360" w:lineRule="auto"/>
              <w:jc w:val="center"/>
              <w:rPr>
                <w:b/>
                <w:bCs/>
                <w:iCs/>
                <w:color w:val="000000"/>
                <w:sz w:val="24"/>
              </w:rPr>
            </w:pPr>
            <w:r>
              <w:rPr>
                <w:rFonts w:hAnsi="宋体"/>
                <w:b/>
                <w:bCs/>
                <w:iCs/>
                <w:color w:val="000000"/>
                <w:sz w:val="24"/>
              </w:rPr>
              <w:t>投资者关系活动主要内容介绍</w:t>
            </w:r>
          </w:p>
        </w:tc>
        <w:tc>
          <w:tcPr>
            <w:tcW w:w="7376" w:type="dxa"/>
          </w:tcPr>
          <w:p w14:paraId="23B39595">
            <w:pPr>
              <w:autoSpaceDE w:val="0"/>
              <w:autoSpaceDN w:val="0"/>
              <w:spacing w:line="360" w:lineRule="auto"/>
              <w:outlineLvl w:val="0"/>
              <w:rPr>
                <w:kern w:val="0"/>
                <w:sz w:val="24"/>
                <w:szCs w:val="24"/>
              </w:rPr>
            </w:pPr>
            <w:r>
              <w:rPr>
                <w:kern w:val="0"/>
                <w:sz w:val="24"/>
                <w:szCs w:val="24"/>
              </w:rPr>
              <w:t>主要内容整理如下：</w:t>
            </w:r>
          </w:p>
          <w:p w14:paraId="2463DA58">
            <w:pPr>
              <w:autoSpaceDE w:val="0"/>
              <w:autoSpaceDN w:val="0"/>
              <w:spacing w:line="360" w:lineRule="auto"/>
              <w:outlineLvl w:val="0"/>
              <w:rPr>
                <w:b/>
                <w:kern w:val="0"/>
                <w:sz w:val="24"/>
                <w:szCs w:val="24"/>
              </w:rPr>
            </w:pPr>
            <w:r>
              <w:rPr>
                <w:rFonts w:hint="eastAsia"/>
                <w:b/>
                <w:kern w:val="0"/>
                <w:sz w:val="24"/>
                <w:szCs w:val="24"/>
              </w:rPr>
              <w:t>1、上半年珠海智慧样板厂折旧压力逐步缓解，请问珠海基地下半年产能利用率目标以及预计何时可以实现盈利贡献？</w:t>
            </w:r>
          </w:p>
          <w:p w14:paraId="35437E29">
            <w:pPr>
              <w:autoSpaceDE w:val="0"/>
              <w:autoSpaceDN w:val="0"/>
              <w:spacing w:line="360" w:lineRule="auto"/>
              <w:outlineLvl w:val="0"/>
              <w:rPr>
                <w:bCs/>
                <w:kern w:val="0"/>
                <w:sz w:val="24"/>
                <w:szCs w:val="24"/>
              </w:rPr>
            </w:pPr>
            <w:r>
              <w:rPr>
                <w:rFonts w:hint="eastAsia"/>
                <w:bCs/>
                <w:kern w:val="0"/>
                <w:sz w:val="24"/>
                <w:szCs w:val="24"/>
              </w:rPr>
              <w:t>答:尊敬的投资者，您好！珠海基地一期智慧样板厂兼具样板和批量板生产特性，致力于通过多个订单合拼生产的样板批量化生产新模式。为把握市场机遇和加快产能爬升，珠海基地上半年主要以批量订单为主，伴随产能利用率提升，对利润负面影响持续减弱。未来公司将通过网上商城线上销售和与大客户建立研发样板订单战略合作以优化产品结构，持续改善盈利水平。同时，加快珠海HDI项目建设，布局高端产能。感谢您的关注！</w:t>
            </w:r>
          </w:p>
          <w:p w14:paraId="675F75C2">
            <w:pPr>
              <w:autoSpaceDE w:val="0"/>
              <w:autoSpaceDN w:val="0"/>
              <w:spacing w:line="360" w:lineRule="auto"/>
              <w:outlineLvl w:val="0"/>
              <w:rPr>
                <w:b/>
                <w:kern w:val="0"/>
                <w:sz w:val="24"/>
                <w:szCs w:val="24"/>
              </w:rPr>
            </w:pPr>
            <w:r>
              <w:rPr>
                <w:b/>
                <w:kern w:val="0"/>
                <w:sz w:val="24"/>
                <w:szCs w:val="24"/>
              </w:rPr>
              <w:t>2</w:t>
            </w:r>
            <w:r>
              <w:rPr>
                <w:rFonts w:hint="eastAsia"/>
                <w:b/>
                <w:kern w:val="0"/>
                <w:sz w:val="24"/>
                <w:szCs w:val="24"/>
              </w:rPr>
              <w:t>、公司领导好，想了解一下问题 问题一：请介绍一下珠海一期和二期厂房建设和设备投入的情况，一期已经投入的设备产能是否达到了36万㎡/年的能力 问题二：信丰一厂和二厂产能5万㎡/月的基础上有没有增加，目前稼动率多少 问题三：富士康和中际旭创800g光模块PCB导入情况，分别是使用什么工艺，在哪个工厂生产 问题四：立讯精密都有哪些方面合作，是否有高速光模块对接 问题五：800G光模块PCB制作时，是不是使用HDI的减成法工艺 问题六：采用减成法的pcb二阶板是否属于HDI工艺，能不能转换成加成法或半加成法 问题七：珠海一期有没有800g光模块PCB产能 问题八：半年报显示计提840万，其中资产减值500万，在料持续涨价的情况系啊，存货为什么会跌价，下半年会不会有类似情况发生的可能</w:t>
            </w:r>
          </w:p>
          <w:p w14:paraId="233384FA">
            <w:pPr>
              <w:autoSpaceDE w:val="0"/>
              <w:autoSpaceDN w:val="0"/>
              <w:spacing w:line="360" w:lineRule="auto"/>
              <w:outlineLvl w:val="0"/>
              <w:rPr>
                <w:bCs/>
                <w:kern w:val="0"/>
                <w:sz w:val="24"/>
                <w:szCs w:val="24"/>
              </w:rPr>
            </w:pPr>
            <w:r>
              <w:rPr>
                <w:rFonts w:hint="eastAsia"/>
                <w:bCs/>
                <w:kern w:val="0"/>
                <w:sz w:val="24"/>
                <w:szCs w:val="24"/>
              </w:rPr>
              <w:t>答:</w:t>
            </w:r>
            <w:r>
              <w:rPr>
                <w:rFonts w:hint="eastAsia"/>
              </w:rPr>
              <w:t xml:space="preserve"> </w:t>
            </w:r>
            <w:r>
              <w:rPr>
                <w:rFonts w:hint="eastAsia"/>
                <w:bCs/>
                <w:kern w:val="0"/>
                <w:sz w:val="24"/>
                <w:szCs w:val="24"/>
              </w:rPr>
              <w:t>尊敬的投资者，您好！ 1、珠海一期智慧型样板厂2025年上半年投产，现有产能36万平米/年。 2、2026年，信丰工厂首要任务是以服务大客户为主，通过导入批量订单把产能填满，发挥规模效应。同时，聚焦AI核心赛道，将HDI发展为公司业绩增长的核心支柱产品。同时，公司还将加快优化现有产能结构，持续投入高端产能瓶颈设备，进一步扩充高多层、HDI产能，从而提升高附加值产品占比。 3、为把握行业发展机遇，扩大应用于服务器、光模块、网络通信等算力基础设施领域的生产规模，公司在珠海迅捷兴一期基地建设HDI产线，布局新技术路径，快速扩充高端产能。为把握AI算力时代发展机遇，公司采用NPCF RCC新材料结合FPS细线路减成法等新工艺技术路径，布局微米级细线路产品。目前新技术还在技术交流和送样阶段。 4、受原材料涨价推高在产品、产成品加工成本，叠加前期新工厂固定成本尚未充分摊薄影响，存货跌价增加，公司将持续推进降本增效与技术迭代，加快高多层、HDI 等高附加值订单导入，提供产品附加值。 具体相关业务进展请以公司公告为准，感谢您的关注！</w:t>
            </w:r>
          </w:p>
          <w:p w14:paraId="02320B66">
            <w:pPr>
              <w:autoSpaceDE w:val="0"/>
              <w:autoSpaceDN w:val="0"/>
              <w:spacing w:line="360" w:lineRule="auto"/>
              <w:outlineLvl w:val="0"/>
              <w:rPr>
                <w:b/>
                <w:kern w:val="0"/>
                <w:sz w:val="24"/>
                <w:szCs w:val="24"/>
              </w:rPr>
            </w:pPr>
            <w:r>
              <w:rPr>
                <w:rFonts w:hint="eastAsia"/>
                <w:b/>
                <w:kern w:val="0"/>
                <w:sz w:val="24"/>
                <w:szCs w:val="24"/>
              </w:rPr>
              <w:t>3、您好马总，请问800G光模块PCB验证进度怎么样了，什么时候开始送样的，每批次的验证周期多长，计划的大批量出货时间是在哪个季度？</w:t>
            </w:r>
          </w:p>
          <w:p w14:paraId="54EC0AAA">
            <w:pPr>
              <w:autoSpaceDE w:val="0"/>
              <w:autoSpaceDN w:val="0"/>
              <w:spacing w:line="360" w:lineRule="auto"/>
              <w:outlineLvl w:val="0"/>
              <w:rPr>
                <w:bCs/>
                <w:kern w:val="0"/>
                <w:sz w:val="24"/>
                <w:szCs w:val="24"/>
              </w:rPr>
            </w:pPr>
            <w:r>
              <w:rPr>
                <w:rFonts w:hint="eastAsia"/>
                <w:bCs/>
                <w:kern w:val="0"/>
                <w:sz w:val="24"/>
                <w:szCs w:val="24"/>
              </w:rPr>
              <w:t>答:尊敬的投资者您好！公司相关业务进展情况，请以公司公开披露的信息为准。感谢您的关注！</w:t>
            </w:r>
          </w:p>
          <w:p w14:paraId="7E6207F4">
            <w:pPr>
              <w:autoSpaceDE w:val="0"/>
              <w:autoSpaceDN w:val="0"/>
              <w:spacing w:line="360" w:lineRule="auto"/>
              <w:outlineLvl w:val="0"/>
              <w:rPr>
                <w:b/>
                <w:kern w:val="0"/>
                <w:sz w:val="24"/>
                <w:szCs w:val="24"/>
              </w:rPr>
            </w:pPr>
            <w:r>
              <w:rPr>
                <w:rFonts w:hint="eastAsia"/>
                <w:b/>
                <w:kern w:val="0"/>
                <w:sz w:val="24"/>
                <w:szCs w:val="24"/>
              </w:rPr>
              <w:t>4、公司已布局 AI 服务器、高速光模块相关 PCB 研发送样，目前该板块客户拓展与订单落地进度如何，下半年有无明确的收入预期？</w:t>
            </w:r>
          </w:p>
          <w:p w14:paraId="11D81793">
            <w:pPr>
              <w:autoSpaceDE w:val="0"/>
              <w:autoSpaceDN w:val="0"/>
              <w:spacing w:line="360" w:lineRule="auto"/>
              <w:outlineLvl w:val="0"/>
              <w:rPr>
                <w:bCs/>
                <w:kern w:val="0"/>
                <w:sz w:val="24"/>
                <w:szCs w:val="24"/>
              </w:rPr>
            </w:pPr>
            <w:r>
              <w:rPr>
                <w:rFonts w:hint="eastAsia"/>
                <w:bCs/>
                <w:kern w:val="0"/>
                <w:sz w:val="24"/>
                <w:szCs w:val="24"/>
              </w:rPr>
              <w:t>答:尊敬的投资者，您好！公司围绕高速光模块、卫星通信、厚铜电源、高端消费电子、汽车电子等重点应用领域，开展新产品及PCB新工艺技术的研发工作，涵盖高多层、高密度互连（HDI）、软硬结合板及特种板等方向。感谢您的关注！</w:t>
            </w:r>
          </w:p>
          <w:p w14:paraId="2A0D26AA">
            <w:pPr>
              <w:autoSpaceDE w:val="0"/>
              <w:autoSpaceDN w:val="0"/>
              <w:spacing w:line="360" w:lineRule="auto"/>
              <w:outlineLvl w:val="0"/>
              <w:rPr>
                <w:b/>
                <w:kern w:val="0"/>
                <w:sz w:val="24"/>
                <w:szCs w:val="24"/>
              </w:rPr>
            </w:pPr>
            <w:r>
              <w:rPr>
                <w:rFonts w:hint="eastAsia"/>
                <w:b/>
                <w:kern w:val="0"/>
                <w:sz w:val="24"/>
                <w:szCs w:val="24"/>
              </w:rPr>
              <w:t>5、您好马总，请问半年报显示计提840万，其中资产减值500万，在料持续涨价的情况系啊，存货为什么会跌价，下半年会不会有类似情况发生的可能</w:t>
            </w:r>
          </w:p>
          <w:p w14:paraId="55910D71">
            <w:pPr>
              <w:autoSpaceDE w:val="0"/>
              <w:autoSpaceDN w:val="0"/>
              <w:spacing w:line="360" w:lineRule="auto"/>
              <w:outlineLvl w:val="0"/>
              <w:rPr>
                <w:bCs/>
                <w:kern w:val="0"/>
                <w:sz w:val="24"/>
                <w:szCs w:val="24"/>
              </w:rPr>
            </w:pPr>
            <w:r>
              <w:rPr>
                <w:rFonts w:hint="eastAsia"/>
                <w:bCs/>
                <w:kern w:val="0"/>
                <w:sz w:val="24"/>
                <w:szCs w:val="24"/>
              </w:rPr>
              <w:t>答:尊敬的投资者，您好！受原材料涨价推高在产品、产成品加工成本，叠加前期新工厂固定成本尚未充分摊薄影响。公司将持续推进降本增效与技术迭代，加快高多层、HDI 等高附加值订单导入，改善盈利水平。感谢您对公司的关注。</w:t>
            </w:r>
          </w:p>
          <w:p w14:paraId="38BD7F0B">
            <w:pPr>
              <w:autoSpaceDE w:val="0"/>
              <w:autoSpaceDN w:val="0"/>
              <w:spacing w:line="360" w:lineRule="auto"/>
              <w:outlineLvl w:val="0"/>
              <w:rPr>
                <w:b/>
                <w:kern w:val="0"/>
                <w:sz w:val="24"/>
                <w:szCs w:val="24"/>
              </w:rPr>
            </w:pPr>
            <w:r>
              <w:rPr>
                <w:rFonts w:hint="eastAsia"/>
                <w:b/>
                <w:kern w:val="0"/>
                <w:sz w:val="24"/>
                <w:szCs w:val="24"/>
              </w:rPr>
              <w:t>6、您好马总，我看汇川技术在8月份对我们公司进行过调研，请问目前和汇川技术的合作都有哪些方面的产品，体量大概多大，有没有可能对我们进行财务上的投资</w:t>
            </w:r>
          </w:p>
          <w:p w14:paraId="58BF9E6A">
            <w:pPr>
              <w:autoSpaceDE w:val="0"/>
              <w:autoSpaceDN w:val="0"/>
              <w:spacing w:line="360" w:lineRule="auto"/>
              <w:outlineLvl w:val="0"/>
              <w:rPr>
                <w:bCs/>
                <w:kern w:val="0"/>
                <w:sz w:val="24"/>
                <w:szCs w:val="24"/>
              </w:rPr>
            </w:pPr>
            <w:r>
              <w:rPr>
                <w:rFonts w:hint="eastAsia"/>
                <w:bCs/>
                <w:kern w:val="0"/>
                <w:sz w:val="24"/>
                <w:szCs w:val="24"/>
              </w:rPr>
              <w:t>答:尊敬的投资者，您好！公司产品广泛应用于汽车电子、计算机与通信、智能消费设备、智能安防、工业控制、医疗器械、新能源（光伏储能）、轨道交通等多个领域。感谢您的关注！</w:t>
            </w:r>
          </w:p>
          <w:p w14:paraId="4A2D250B">
            <w:pPr>
              <w:autoSpaceDE w:val="0"/>
              <w:autoSpaceDN w:val="0"/>
              <w:spacing w:line="360" w:lineRule="auto"/>
              <w:outlineLvl w:val="0"/>
              <w:rPr>
                <w:b/>
                <w:kern w:val="0"/>
                <w:sz w:val="24"/>
                <w:szCs w:val="24"/>
              </w:rPr>
            </w:pPr>
            <w:r>
              <w:rPr>
                <w:rFonts w:hint="eastAsia"/>
                <w:b/>
                <w:kern w:val="0"/>
                <w:sz w:val="24"/>
                <w:szCs w:val="24"/>
              </w:rPr>
              <w:t>7、您好马总，比如pp和厚铜等等原材料方面，我们公司未来会不会出现紧缺情况，如果有，预计什么时候可以缓解</w:t>
            </w:r>
          </w:p>
          <w:p w14:paraId="1A52224A">
            <w:pPr>
              <w:autoSpaceDE w:val="0"/>
              <w:autoSpaceDN w:val="0"/>
              <w:spacing w:line="360" w:lineRule="auto"/>
              <w:outlineLvl w:val="0"/>
              <w:rPr>
                <w:bCs/>
                <w:kern w:val="0"/>
                <w:sz w:val="24"/>
                <w:szCs w:val="24"/>
              </w:rPr>
            </w:pPr>
            <w:r>
              <w:rPr>
                <w:rFonts w:hint="eastAsia"/>
                <w:bCs/>
                <w:kern w:val="0"/>
                <w:sz w:val="24"/>
                <w:szCs w:val="24"/>
              </w:rPr>
              <w:t>答:尊敬的投资者，您好！公司将持续优化原材料管理，感谢您的关注！</w:t>
            </w:r>
          </w:p>
          <w:p w14:paraId="3744C9DF">
            <w:pPr>
              <w:spacing w:line="360" w:lineRule="auto"/>
              <w:rPr>
                <w:b/>
                <w:kern w:val="0"/>
                <w:sz w:val="24"/>
                <w:szCs w:val="24"/>
              </w:rPr>
            </w:pPr>
            <w:r>
              <w:rPr>
                <w:rFonts w:hint="eastAsia"/>
                <w:b/>
                <w:kern w:val="0"/>
                <w:sz w:val="24"/>
                <w:szCs w:val="24"/>
              </w:rPr>
              <w:t>8、请简单介绍下公司推行新技术路径？</w:t>
            </w:r>
          </w:p>
          <w:p w14:paraId="5D770A45">
            <w:pPr>
              <w:spacing w:line="360" w:lineRule="auto"/>
              <w:rPr>
                <w:kern w:val="0"/>
                <w:sz w:val="24"/>
                <w:szCs w:val="24"/>
              </w:rPr>
            </w:pPr>
            <w:r>
              <w:rPr>
                <w:rFonts w:hint="eastAsia"/>
                <w:kern w:val="0"/>
                <w:sz w:val="24"/>
                <w:szCs w:val="24"/>
              </w:rPr>
              <w:t>答，尊敬的投资者，您好！当前，全球PCB产业正由规模扩张向结构优化转型，低端产品需求趋弱，高端化进程持续加速，其中HDI板已成为引领行业增长的核心品类，而UHDI（超高密度互连）作为HDI技术的高阶演进形态，更是全球PCB行业中长期确定性较高的发展方向。为把握AI算力时代发展机遇，公司采用NPCF RCC新材料结合FPS细线路减成法等新工艺技术路径，布局微米级细线路产品。目前新技术还在技术交流和送样阶段。感谢您的关注！</w:t>
            </w:r>
          </w:p>
          <w:p w14:paraId="771A3FA2">
            <w:pPr>
              <w:spacing w:line="360" w:lineRule="auto"/>
              <w:rPr>
                <w:b/>
                <w:bCs/>
                <w:kern w:val="0"/>
                <w:sz w:val="24"/>
                <w:szCs w:val="24"/>
              </w:rPr>
            </w:pPr>
            <w:r>
              <w:rPr>
                <w:rFonts w:hint="eastAsia"/>
                <w:b/>
                <w:bCs/>
                <w:kern w:val="0"/>
                <w:sz w:val="24"/>
                <w:szCs w:val="24"/>
              </w:rPr>
              <w:t>9、公司业绩情况如何，如何展望？</w:t>
            </w:r>
          </w:p>
          <w:p w14:paraId="386DF5C9">
            <w:pPr>
              <w:spacing w:line="360" w:lineRule="auto"/>
              <w:rPr>
                <w:rFonts w:hint="eastAsia"/>
                <w:kern w:val="0"/>
                <w:sz w:val="24"/>
                <w:szCs w:val="24"/>
              </w:rPr>
            </w:pPr>
            <w:r>
              <w:rPr>
                <w:rFonts w:hint="eastAsia"/>
                <w:kern w:val="0"/>
                <w:sz w:val="24"/>
                <w:szCs w:val="24"/>
              </w:rPr>
              <w:t>答：尊敬的投资者，您好！2</w:t>
            </w:r>
            <w:r>
              <w:rPr>
                <w:kern w:val="0"/>
                <w:sz w:val="24"/>
                <w:szCs w:val="24"/>
              </w:rPr>
              <w:t>026</w:t>
            </w:r>
            <w:r>
              <w:rPr>
                <w:rFonts w:hint="eastAsia"/>
                <w:kern w:val="0"/>
                <w:sz w:val="24"/>
                <w:szCs w:val="24"/>
              </w:rPr>
              <w:t>年上半年，受益于AI需求驱动，下游市场需求持续旺盛，带动公司产能利用率提升叠加产品结构优化，助推公司实现营业收入51,879.54万元，同比增长77.46%；归属于母公司所有者的净利润实现1,426.35万元，同比扭亏为盈。</w:t>
            </w:r>
          </w:p>
        </w:tc>
      </w:tr>
      <w:tr w14:paraId="4E6B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Align w:val="center"/>
          </w:tcPr>
          <w:p w14:paraId="2203FC45">
            <w:pPr>
              <w:spacing w:line="360" w:lineRule="auto"/>
              <w:rPr>
                <w:b/>
                <w:bCs/>
                <w:iCs/>
                <w:color w:val="000000"/>
                <w:sz w:val="24"/>
              </w:rPr>
            </w:pPr>
            <w:r>
              <w:rPr>
                <w:rFonts w:hAnsi="宋体"/>
                <w:b/>
                <w:bCs/>
                <w:iCs/>
                <w:color w:val="000000"/>
                <w:sz w:val="24"/>
              </w:rPr>
              <w:t>附件清单（如有）</w:t>
            </w:r>
          </w:p>
        </w:tc>
        <w:tc>
          <w:tcPr>
            <w:tcW w:w="7376" w:type="dxa"/>
          </w:tcPr>
          <w:p w14:paraId="3D10F3F3">
            <w:pPr>
              <w:spacing w:line="360" w:lineRule="auto"/>
              <w:rPr>
                <w:bCs/>
                <w:iCs/>
                <w:color w:val="000000"/>
                <w:sz w:val="24"/>
                <w:szCs w:val="24"/>
              </w:rPr>
            </w:pPr>
            <w:r>
              <w:rPr>
                <w:rFonts w:hint="eastAsia"/>
                <w:bCs/>
                <w:iCs/>
                <w:color w:val="000000"/>
                <w:sz w:val="24"/>
                <w:szCs w:val="24"/>
              </w:rPr>
              <w:t>通过上证路演中心网络互动平台参与公司2026年半年度业绩说明会的投资者、时代伯乐、博时基金、宝盈基金、南方基金、安信基金、东北证券、鹏华基金、信达澳亚基金、前海开源基金、方正机械、长城证券、国联民生证券、方正证券、鸿途私募、博善资产、融通基金、诺安基金、水璞基金、盘京投资、江苏瑞华、固禾基金、源乘投资、云杉常青、基明资本、国金证券、广发证券、中安江富、硕丰基金、岭南资本等机构及个人投资者</w:t>
            </w:r>
          </w:p>
        </w:tc>
      </w:tr>
    </w:tbl>
    <w:p w14:paraId="0E99B183"/>
    <w:sectPr>
      <w:footerReference r:id="rId3" w:type="default"/>
      <w:pgSz w:w="11906" w:h="16838"/>
      <w:pgMar w:top="1276" w:right="1558"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A9D0C">
    <w:pPr>
      <w:pStyle w:val="5"/>
      <w:jc w:val="center"/>
    </w:pPr>
    <w:r>
      <w:rPr>
        <w:rStyle w:val="11"/>
      </w:rPr>
      <w:fldChar w:fldCharType="begin"/>
    </w:r>
    <w:r>
      <w:rPr>
        <w:rStyle w:val="11"/>
      </w:rPr>
      <w:instrText xml:space="preserve"> PAGE </w:instrText>
    </w:r>
    <w:r>
      <w:rPr>
        <w:rStyle w:val="11"/>
      </w:rPr>
      <w:fldChar w:fldCharType="separate"/>
    </w:r>
    <w:r>
      <w:rPr>
        <w:rStyle w:val="11"/>
      </w:rPr>
      <w:t>1</w:t>
    </w:r>
    <w:r>
      <w:rPr>
        <w:rStyle w:val="11"/>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I2MjVlZTAyOGY1OTk3MTc2YjJmNmQ4NzAzMWQ1ZmMifQ=="/>
  </w:docVars>
  <w:rsids>
    <w:rsidRoot w:val="00871698"/>
    <w:rsid w:val="00004FEE"/>
    <w:rsid w:val="00005F89"/>
    <w:rsid w:val="00006857"/>
    <w:rsid w:val="00006AD1"/>
    <w:rsid w:val="00006EA6"/>
    <w:rsid w:val="000107CB"/>
    <w:rsid w:val="00011612"/>
    <w:rsid w:val="00011794"/>
    <w:rsid w:val="000128FD"/>
    <w:rsid w:val="00012BC9"/>
    <w:rsid w:val="0001387F"/>
    <w:rsid w:val="00013FA5"/>
    <w:rsid w:val="00016B31"/>
    <w:rsid w:val="00017C87"/>
    <w:rsid w:val="000239C7"/>
    <w:rsid w:val="00023F4E"/>
    <w:rsid w:val="000240A7"/>
    <w:rsid w:val="0002497F"/>
    <w:rsid w:val="00024B19"/>
    <w:rsid w:val="0003072B"/>
    <w:rsid w:val="00030A8F"/>
    <w:rsid w:val="00032B0C"/>
    <w:rsid w:val="00034D3A"/>
    <w:rsid w:val="0003738B"/>
    <w:rsid w:val="00037F88"/>
    <w:rsid w:val="00041A1D"/>
    <w:rsid w:val="000504E6"/>
    <w:rsid w:val="00052611"/>
    <w:rsid w:val="00052C6F"/>
    <w:rsid w:val="00053498"/>
    <w:rsid w:val="000539F9"/>
    <w:rsid w:val="00056EF7"/>
    <w:rsid w:val="0005798B"/>
    <w:rsid w:val="000616FB"/>
    <w:rsid w:val="00062E78"/>
    <w:rsid w:val="00062F4D"/>
    <w:rsid w:val="000633CE"/>
    <w:rsid w:val="000648BA"/>
    <w:rsid w:val="0006749C"/>
    <w:rsid w:val="00067F8F"/>
    <w:rsid w:val="00072FBC"/>
    <w:rsid w:val="00073120"/>
    <w:rsid w:val="0007321A"/>
    <w:rsid w:val="00073755"/>
    <w:rsid w:val="00076191"/>
    <w:rsid w:val="000778DD"/>
    <w:rsid w:val="000800D2"/>
    <w:rsid w:val="00080545"/>
    <w:rsid w:val="0008496E"/>
    <w:rsid w:val="0008582C"/>
    <w:rsid w:val="00086443"/>
    <w:rsid w:val="0009254C"/>
    <w:rsid w:val="0009789D"/>
    <w:rsid w:val="000A064C"/>
    <w:rsid w:val="000A0F00"/>
    <w:rsid w:val="000A13AA"/>
    <w:rsid w:val="000A1D56"/>
    <w:rsid w:val="000A253D"/>
    <w:rsid w:val="000A3F1F"/>
    <w:rsid w:val="000A5634"/>
    <w:rsid w:val="000A6778"/>
    <w:rsid w:val="000A73CD"/>
    <w:rsid w:val="000B46A8"/>
    <w:rsid w:val="000B4A14"/>
    <w:rsid w:val="000B5985"/>
    <w:rsid w:val="000B5BDC"/>
    <w:rsid w:val="000B63B2"/>
    <w:rsid w:val="000C0BE3"/>
    <w:rsid w:val="000C1DAE"/>
    <w:rsid w:val="000C1E5B"/>
    <w:rsid w:val="000C629F"/>
    <w:rsid w:val="000C6F1D"/>
    <w:rsid w:val="000C7786"/>
    <w:rsid w:val="000D1350"/>
    <w:rsid w:val="000D1605"/>
    <w:rsid w:val="000D2A25"/>
    <w:rsid w:val="000D72D5"/>
    <w:rsid w:val="000E4283"/>
    <w:rsid w:val="000F3C28"/>
    <w:rsid w:val="000F4EC0"/>
    <w:rsid w:val="000F61F5"/>
    <w:rsid w:val="000F63EC"/>
    <w:rsid w:val="000F6C3F"/>
    <w:rsid w:val="0010441F"/>
    <w:rsid w:val="001056E9"/>
    <w:rsid w:val="00111867"/>
    <w:rsid w:val="001164FC"/>
    <w:rsid w:val="0011739B"/>
    <w:rsid w:val="00117A68"/>
    <w:rsid w:val="0012087A"/>
    <w:rsid w:val="00125905"/>
    <w:rsid w:val="001259F8"/>
    <w:rsid w:val="001262DE"/>
    <w:rsid w:val="001333F6"/>
    <w:rsid w:val="00134B60"/>
    <w:rsid w:val="00134BD2"/>
    <w:rsid w:val="00135BE2"/>
    <w:rsid w:val="00136AA8"/>
    <w:rsid w:val="00140FB2"/>
    <w:rsid w:val="001426B8"/>
    <w:rsid w:val="00143FC6"/>
    <w:rsid w:val="0014513A"/>
    <w:rsid w:val="00150A17"/>
    <w:rsid w:val="001513CE"/>
    <w:rsid w:val="00152939"/>
    <w:rsid w:val="001570B1"/>
    <w:rsid w:val="00157688"/>
    <w:rsid w:val="00157769"/>
    <w:rsid w:val="00157C77"/>
    <w:rsid w:val="001615A3"/>
    <w:rsid w:val="0016485A"/>
    <w:rsid w:val="0016535B"/>
    <w:rsid w:val="00165A9F"/>
    <w:rsid w:val="00166454"/>
    <w:rsid w:val="00167625"/>
    <w:rsid w:val="001705B6"/>
    <w:rsid w:val="00171EF3"/>
    <w:rsid w:val="001744AF"/>
    <w:rsid w:val="00180373"/>
    <w:rsid w:val="00182564"/>
    <w:rsid w:val="00182619"/>
    <w:rsid w:val="00182F04"/>
    <w:rsid w:val="001836C9"/>
    <w:rsid w:val="00185524"/>
    <w:rsid w:val="00193BF7"/>
    <w:rsid w:val="00193DEE"/>
    <w:rsid w:val="0019515C"/>
    <w:rsid w:val="0019579B"/>
    <w:rsid w:val="00196388"/>
    <w:rsid w:val="001A3197"/>
    <w:rsid w:val="001A3C5B"/>
    <w:rsid w:val="001B2803"/>
    <w:rsid w:val="001C03D3"/>
    <w:rsid w:val="001C0A54"/>
    <w:rsid w:val="001C241E"/>
    <w:rsid w:val="001C44D8"/>
    <w:rsid w:val="001C4891"/>
    <w:rsid w:val="001C54FA"/>
    <w:rsid w:val="001C5E51"/>
    <w:rsid w:val="001C765B"/>
    <w:rsid w:val="001D1627"/>
    <w:rsid w:val="001D34D7"/>
    <w:rsid w:val="001E16CF"/>
    <w:rsid w:val="001E305A"/>
    <w:rsid w:val="001E4203"/>
    <w:rsid w:val="001F1334"/>
    <w:rsid w:val="001F4525"/>
    <w:rsid w:val="001F66AA"/>
    <w:rsid w:val="00200465"/>
    <w:rsid w:val="002012E1"/>
    <w:rsid w:val="00203987"/>
    <w:rsid w:val="002040BF"/>
    <w:rsid w:val="00207EE7"/>
    <w:rsid w:val="00210740"/>
    <w:rsid w:val="00213F1F"/>
    <w:rsid w:val="002142E0"/>
    <w:rsid w:val="002147C4"/>
    <w:rsid w:val="002168D3"/>
    <w:rsid w:val="00217345"/>
    <w:rsid w:val="00220683"/>
    <w:rsid w:val="002226F7"/>
    <w:rsid w:val="00222CB0"/>
    <w:rsid w:val="00224BF5"/>
    <w:rsid w:val="00230F76"/>
    <w:rsid w:val="00231306"/>
    <w:rsid w:val="00235B92"/>
    <w:rsid w:val="002362EF"/>
    <w:rsid w:val="002368DC"/>
    <w:rsid w:val="00236D48"/>
    <w:rsid w:val="00236D93"/>
    <w:rsid w:val="00240325"/>
    <w:rsid w:val="00240C58"/>
    <w:rsid w:val="0024137F"/>
    <w:rsid w:val="00241B3E"/>
    <w:rsid w:val="00245B97"/>
    <w:rsid w:val="00246050"/>
    <w:rsid w:val="00250BF4"/>
    <w:rsid w:val="00253038"/>
    <w:rsid w:val="00253B0E"/>
    <w:rsid w:val="00261B1D"/>
    <w:rsid w:val="00262309"/>
    <w:rsid w:val="002626CC"/>
    <w:rsid w:val="002632E0"/>
    <w:rsid w:val="0027286A"/>
    <w:rsid w:val="00273464"/>
    <w:rsid w:val="00274C7F"/>
    <w:rsid w:val="00275497"/>
    <w:rsid w:val="00280D92"/>
    <w:rsid w:val="00281D81"/>
    <w:rsid w:val="00282924"/>
    <w:rsid w:val="00282FB7"/>
    <w:rsid w:val="00283F5E"/>
    <w:rsid w:val="00285033"/>
    <w:rsid w:val="002856BF"/>
    <w:rsid w:val="0029297E"/>
    <w:rsid w:val="00293685"/>
    <w:rsid w:val="00294B13"/>
    <w:rsid w:val="00295A45"/>
    <w:rsid w:val="00295BED"/>
    <w:rsid w:val="00295F91"/>
    <w:rsid w:val="002A03A6"/>
    <w:rsid w:val="002A152D"/>
    <w:rsid w:val="002A2257"/>
    <w:rsid w:val="002A2761"/>
    <w:rsid w:val="002A64DE"/>
    <w:rsid w:val="002A6B19"/>
    <w:rsid w:val="002B0995"/>
    <w:rsid w:val="002B15A1"/>
    <w:rsid w:val="002B19D3"/>
    <w:rsid w:val="002B3F39"/>
    <w:rsid w:val="002C176B"/>
    <w:rsid w:val="002C2A4E"/>
    <w:rsid w:val="002C4A4C"/>
    <w:rsid w:val="002C58DE"/>
    <w:rsid w:val="002C6628"/>
    <w:rsid w:val="002C767D"/>
    <w:rsid w:val="002D2389"/>
    <w:rsid w:val="002D391E"/>
    <w:rsid w:val="002D570A"/>
    <w:rsid w:val="002D6E39"/>
    <w:rsid w:val="002E1E3C"/>
    <w:rsid w:val="002E23B4"/>
    <w:rsid w:val="002E3BC6"/>
    <w:rsid w:val="002E5518"/>
    <w:rsid w:val="002F1B2C"/>
    <w:rsid w:val="002F3F69"/>
    <w:rsid w:val="002F4D7D"/>
    <w:rsid w:val="002F56C2"/>
    <w:rsid w:val="002F7859"/>
    <w:rsid w:val="003003C7"/>
    <w:rsid w:val="00302887"/>
    <w:rsid w:val="003044B8"/>
    <w:rsid w:val="0030690C"/>
    <w:rsid w:val="003071FF"/>
    <w:rsid w:val="00307723"/>
    <w:rsid w:val="00310AA5"/>
    <w:rsid w:val="00311026"/>
    <w:rsid w:val="00312B1B"/>
    <w:rsid w:val="00316781"/>
    <w:rsid w:val="0031709D"/>
    <w:rsid w:val="0032048C"/>
    <w:rsid w:val="0032227F"/>
    <w:rsid w:val="003225D0"/>
    <w:rsid w:val="003249F4"/>
    <w:rsid w:val="0032507D"/>
    <w:rsid w:val="00326570"/>
    <w:rsid w:val="00326669"/>
    <w:rsid w:val="003271E7"/>
    <w:rsid w:val="003305C0"/>
    <w:rsid w:val="00333AE8"/>
    <w:rsid w:val="003342E6"/>
    <w:rsid w:val="00341E6A"/>
    <w:rsid w:val="003446D4"/>
    <w:rsid w:val="003447B0"/>
    <w:rsid w:val="00344D1B"/>
    <w:rsid w:val="003519F2"/>
    <w:rsid w:val="00352D87"/>
    <w:rsid w:val="00355C4F"/>
    <w:rsid w:val="00355DEE"/>
    <w:rsid w:val="00356F08"/>
    <w:rsid w:val="003579E1"/>
    <w:rsid w:val="0036208C"/>
    <w:rsid w:val="003644C8"/>
    <w:rsid w:val="003679B2"/>
    <w:rsid w:val="00371ED2"/>
    <w:rsid w:val="00372002"/>
    <w:rsid w:val="003738FB"/>
    <w:rsid w:val="0037399E"/>
    <w:rsid w:val="0038095E"/>
    <w:rsid w:val="00383454"/>
    <w:rsid w:val="0038775A"/>
    <w:rsid w:val="003923AA"/>
    <w:rsid w:val="00392BFC"/>
    <w:rsid w:val="0039676D"/>
    <w:rsid w:val="00396C52"/>
    <w:rsid w:val="003A3127"/>
    <w:rsid w:val="003B1398"/>
    <w:rsid w:val="003B4127"/>
    <w:rsid w:val="003C0372"/>
    <w:rsid w:val="003C0F8F"/>
    <w:rsid w:val="003C1FBA"/>
    <w:rsid w:val="003C266A"/>
    <w:rsid w:val="003C4060"/>
    <w:rsid w:val="003C5143"/>
    <w:rsid w:val="003C5F23"/>
    <w:rsid w:val="003C665D"/>
    <w:rsid w:val="003D18DB"/>
    <w:rsid w:val="003D284C"/>
    <w:rsid w:val="003D2A45"/>
    <w:rsid w:val="003D2D46"/>
    <w:rsid w:val="003D5FC4"/>
    <w:rsid w:val="003D7CF9"/>
    <w:rsid w:val="003E02A4"/>
    <w:rsid w:val="003E0CC0"/>
    <w:rsid w:val="003E3C6A"/>
    <w:rsid w:val="003E47DF"/>
    <w:rsid w:val="003E7013"/>
    <w:rsid w:val="003F50F8"/>
    <w:rsid w:val="003F59AF"/>
    <w:rsid w:val="00400BB8"/>
    <w:rsid w:val="00403B30"/>
    <w:rsid w:val="0040444A"/>
    <w:rsid w:val="00406D18"/>
    <w:rsid w:val="00410C9F"/>
    <w:rsid w:val="00416199"/>
    <w:rsid w:val="004172A2"/>
    <w:rsid w:val="004238EB"/>
    <w:rsid w:val="00425F4F"/>
    <w:rsid w:val="00430273"/>
    <w:rsid w:val="00430A5B"/>
    <w:rsid w:val="004343BE"/>
    <w:rsid w:val="00434E09"/>
    <w:rsid w:val="00436649"/>
    <w:rsid w:val="00440DDE"/>
    <w:rsid w:val="00447F77"/>
    <w:rsid w:val="004512BA"/>
    <w:rsid w:val="00452387"/>
    <w:rsid w:val="0045267E"/>
    <w:rsid w:val="004526C8"/>
    <w:rsid w:val="0046254F"/>
    <w:rsid w:val="00465B7C"/>
    <w:rsid w:val="00466A29"/>
    <w:rsid w:val="004710E9"/>
    <w:rsid w:val="00471CE2"/>
    <w:rsid w:val="00473EC2"/>
    <w:rsid w:val="00475FBF"/>
    <w:rsid w:val="00484DFB"/>
    <w:rsid w:val="004902E8"/>
    <w:rsid w:val="004912A4"/>
    <w:rsid w:val="0049283E"/>
    <w:rsid w:val="004963EE"/>
    <w:rsid w:val="004A11FB"/>
    <w:rsid w:val="004A25A8"/>
    <w:rsid w:val="004A345F"/>
    <w:rsid w:val="004A58EA"/>
    <w:rsid w:val="004A796A"/>
    <w:rsid w:val="004A7CD3"/>
    <w:rsid w:val="004B1501"/>
    <w:rsid w:val="004B32C0"/>
    <w:rsid w:val="004B42CF"/>
    <w:rsid w:val="004B5AB9"/>
    <w:rsid w:val="004B5BE7"/>
    <w:rsid w:val="004B64BE"/>
    <w:rsid w:val="004C0B8F"/>
    <w:rsid w:val="004C1776"/>
    <w:rsid w:val="004C46E3"/>
    <w:rsid w:val="004C57C7"/>
    <w:rsid w:val="004C7054"/>
    <w:rsid w:val="004C795E"/>
    <w:rsid w:val="004D0827"/>
    <w:rsid w:val="004D25C7"/>
    <w:rsid w:val="004D3142"/>
    <w:rsid w:val="004D47C8"/>
    <w:rsid w:val="004D53F3"/>
    <w:rsid w:val="004D7CC5"/>
    <w:rsid w:val="004D7F19"/>
    <w:rsid w:val="004E02BC"/>
    <w:rsid w:val="004E0A98"/>
    <w:rsid w:val="004E3F13"/>
    <w:rsid w:val="004E537D"/>
    <w:rsid w:val="004E65FF"/>
    <w:rsid w:val="004E7CD6"/>
    <w:rsid w:val="004F073D"/>
    <w:rsid w:val="004F095D"/>
    <w:rsid w:val="004F1984"/>
    <w:rsid w:val="004F2B1B"/>
    <w:rsid w:val="004F600D"/>
    <w:rsid w:val="004F7B18"/>
    <w:rsid w:val="00501D93"/>
    <w:rsid w:val="00503378"/>
    <w:rsid w:val="00505D58"/>
    <w:rsid w:val="0050732A"/>
    <w:rsid w:val="00510BF4"/>
    <w:rsid w:val="00511A51"/>
    <w:rsid w:val="00513376"/>
    <w:rsid w:val="00514F62"/>
    <w:rsid w:val="00515A28"/>
    <w:rsid w:val="005174D2"/>
    <w:rsid w:val="005216ED"/>
    <w:rsid w:val="00522EF9"/>
    <w:rsid w:val="005231E3"/>
    <w:rsid w:val="00527544"/>
    <w:rsid w:val="00531060"/>
    <w:rsid w:val="005312C0"/>
    <w:rsid w:val="00532F04"/>
    <w:rsid w:val="0053432D"/>
    <w:rsid w:val="005367C0"/>
    <w:rsid w:val="005402C2"/>
    <w:rsid w:val="005424DE"/>
    <w:rsid w:val="005433CE"/>
    <w:rsid w:val="0054365C"/>
    <w:rsid w:val="00543947"/>
    <w:rsid w:val="005451C4"/>
    <w:rsid w:val="0054573B"/>
    <w:rsid w:val="00550FED"/>
    <w:rsid w:val="00551768"/>
    <w:rsid w:val="005534A2"/>
    <w:rsid w:val="00553A11"/>
    <w:rsid w:val="00554181"/>
    <w:rsid w:val="00554884"/>
    <w:rsid w:val="00561690"/>
    <w:rsid w:val="00563608"/>
    <w:rsid w:val="0056518C"/>
    <w:rsid w:val="0056595B"/>
    <w:rsid w:val="00566AA5"/>
    <w:rsid w:val="005702F4"/>
    <w:rsid w:val="0057491E"/>
    <w:rsid w:val="00577959"/>
    <w:rsid w:val="00577E90"/>
    <w:rsid w:val="00587FB2"/>
    <w:rsid w:val="00590467"/>
    <w:rsid w:val="00592401"/>
    <w:rsid w:val="00592A16"/>
    <w:rsid w:val="00593522"/>
    <w:rsid w:val="0059427E"/>
    <w:rsid w:val="00595242"/>
    <w:rsid w:val="005960B0"/>
    <w:rsid w:val="00596CDB"/>
    <w:rsid w:val="00597BA4"/>
    <w:rsid w:val="005A0DBA"/>
    <w:rsid w:val="005A169B"/>
    <w:rsid w:val="005A318C"/>
    <w:rsid w:val="005A3A6A"/>
    <w:rsid w:val="005A6C95"/>
    <w:rsid w:val="005B56DE"/>
    <w:rsid w:val="005C2146"/>
    <w:rsid w:val="005C272B"/>
    <w:rsid w:val="005C4EFB"/>
    <w:rsid w:val="005D460B"/>
    <w:rsid w:val="005D62FE"/>
    <w:rsid w:val="005D6DAF"/>
    <w:rsid w:val="005D7C2B"/>
    <w:rsid w:val="005E06AB"/>
    <w:rsid w:val="005E1A14"/>
    <w:rsid w:val="005E300F"/>
    <w:rsid w:val="005E3587"/>
    <w:rsid w:val="005E41C1"/>
    <w:rsid w:val="005E5A05"/>
    <w:rsid w:val="005E641E"/>
    <w:rsid w:val="005F15B7"/>
    <w:rsid w:val="005F1BB0"/>
    <w:rsid w:val="005F23DC"/>
    <w:rsid w:val="005F4927"/>
    <w:rsid w:val="005F54F9"/>
    <w:rsid w:val="005F645A"/>
    <w:rsid w:val="00601357"/>
    <w:rsid w:val="0060163F"/>
    <w:rsid w:val="00604FD6"/>
    <w:rsid w:val="0061035F"/>
    <w:rsid w:val="00611C3A"/>
    <w:rsid w:val="006130F1"/>
    <w:rsid w:val="00616C67"/>
    <w:rsid w:val="00617019"/>
    <w:rsid w:val="00620BCC"/>
    <w:rsid w:val="00620F6C"/>
    <w:rsid w:val="006223A7"/>
    <w:rsid w:val="00625AF4"/>
    <w:rsid w:val="0062668A"/>
    <w:rsid w:val="00627C44"/>
    <w:rsid w:val="006301D9"/>
    <w:rsid w:val="006315F3"/>
    <w:rsid w:val="00634980"/>
    <w:rsid w:val="00635625"/>
    <w:rsid w:val="0063730A"/>
    <w:rsid w:val="00637426"/>
    <w:rsid w:val="006401C6"/>
    <w:rsid w:val="006413AE"/>
    <w:rsid w:val="006421FD"/>
    <w:rsid w:val="006428ED"/>
    <w:rsid w:val="00642E45"/>
    <w:rsid w:val="0064697F"/>
    <w:rsid w:val="006517B8"/>
    <w:rsid w:val="00651B0D"/>
    <w:rsid w:val="006548F8"/>
    <w:rsid w:val="006573E2"/>
    <w:rsid w:val="00660866"/>
    <w:rsid w:val="0066204C"/>
    <w:rsid w:val="00663EFA"/>
    <w:rsid w:val="00664D37"/>
    <w:rsid w:val="00664EB9"/>
    <w:rsid w:val="0066552F"/>
    <w:rsid w:val="00665E06"/>
    <w:rsid w:val="00666B25"/>
    <w:rsid w:val="00667D70"/>
    <w:rsid w:val="00667DEA"/>
    <w:rsid w:val="00673E96"/>
    <w:rsid w:val="0067475F"/>
    <w:rsid w:val="00677213"/>
    <w:rsid w:val="00681449"/>
    <w:rsid w:val="00684B8A"/>
    <w:rsid w:val="006875B0"/>
    <w:rsid w:val="0069011D"/>
    <w:rsid w:val="00690CDE"/>
    <w:rsid w:val="00690DB9"/>
    <w:rsid w:val="0069134C"/>
    <w:rsid w:val="00693328"/>
    <w:rsid w:val="006945AE"/>
    <w:rsid w:val="006A076E"/>
    <w:rsid w:val="006A2437"/>
    <w:rsid w:val="006A277F"/>
    <w:rsid w:val="006A3063"/>
    <w:rsid w:val="006A37E3"/>
    <w:rsid w:val="006A4772"/>
    <w:rsid w:val="006A4A92"/>
    <w:rsid w:val="006A5781"/>
    <w:rsid w:val="006A6209"/>
    <w:rsid w:val="006A6385"/>
    <w:rsid w:val="006B139F"/>
    <w:rsid w:val="006B5979"/>
    <w:rsid w:val="006C0FE3"/>
    <w:rsid w:val="006C15C3"/>
    <w:rsid w:val="006C1A26"/>
    <w:rsid w:val="006C3C14"/>
    <w:rsid w:val="006D086D"/>
    <w:rsid w:val="006D1B92"/>
    <w:rsid w:val="006D383F"/>
    <w:rsid w:val="006D725B"/>
    <w:rsid w:val="006D7B92"/>
    <w:rsid w:val="006E060B"/>
    <w:rsid w:val="006E0F9F"/>
    <w:rsid w:val="006E21C1"/>
    <w:rsid w:val="006E3EDD"/>
    <w:rsid w:val="006E6384"/>
    <w:rsid w:val="006E6A94"/>
    <w:rsid w:val="006E76D5"/>
    <w:rsid w:val="006E77BA"/>
    <w:rsid w:val="006F0497"/>
    <w:rsid w:val="006F4890"/>
    <w:rsid w:val="006F6E6C"/>
    <w:rsid w:val="006F7442"/>
    <w:rsid w:val="006F7548"/>
    <w:rsid w:val="0070363F"/>
    <w:rsid w:val="0070488B"/>
    <w:rsid w:val="00712018"/>
    <w:rsid w:val="00714639"/>
    <w:rsid w:val="00714AEF"/>
    <w:rsid w:val="007151F5"/>
    <w:rsid w:val="007163BF"/>
    <w:rsid w:val="00722D82"/>
    <w:rsid w:val="00724B29"/>
    <w:rsid w:val="00724BB4"/>
    <w:rsid w:val="00724E53"/>
    <w:rsid w:val="007277AF"/>
    <w:rsid w:val="00727EDF"/>
    <w:rsid w:val="0073128B"/>
    <w:rsid w:val="00731EB8"/>
    <w:rsid w:val="0073265D"/>
    <w:rsid w:val="007344DF"/>
    <w:rsid w:val="00735880"/>
    <w:rsid w:val="00736666"/>
    <w:rsid w:val="00736E13"/>
    <w:rsid w:val="00737CE0"/>
    <w:rsid w:val="0074001A"/>
    <w:rsid w:val="0074305B"/>
    <w:rsid w:val="0074313B"/>
    <w:rsid w:val="007448E8"/>
    <w:rsid w:val="007478A3"/>
    <w:rsid w:val="007530B8"/>
    <w:rsid w:val="00753B47"/>
    <w:rsid w:val="00753E8A"/>
    <w:rsid w:val="007574D8"/>
    <w:rsid w:val="007659FF"/>
    <w:rsid w:val="00767336"/>
    <w:rsid w:val="007755CA"/>
    <w:rsid w:val="00781934"/>
    <w:rsid w:val="00790F36"/>
    <w:rsid w:val="00792163"/>
    <w:rsid w:val="00792B9F"/>
    <w:rsid w:val="007948C8"/>
    <w:rsid w:val="0079525D"/>
    <w:rsid w:val="007A0800"/>
    <w:rsid w:val="007A0F7A"/>
    <w:rsid w:val="007A12A4"/>
    <w:rsid w:val="007B0230"/>
    <w:rsid w:val="007B08AB"/>
    <w:rsid w:val="007B28BC"/>
    <w:rsid w:val="007B47AA"/>
    <w:rsid w:val="007C3479"/>
    <w:rsid w:val="007C4564"/>
    <w:rsid w:val="007C58E1"/>
    <w:rsid w:val="007C6E19"/>
    <w:rsid w:val="007D0305"/>
    <w:rsid w:val="007D114E"/>
    <w:rsid w:val="007D4CC6"/>
    <w:rsid w:val="007D6837"/>
    <w:rsid w:val="007E3F5C"/>
    <w:rsid w:val="007E6186"/>
    <w:rsid w:val="007E7E36"/>
    <w:rsid w:val="007F0F39"/>
    <w:rsid w:val="007F45C5"/>
    <w:rsid w:val="007F7E77"/>
    <w:rsid w:val="008009FA"/>
    <w:rsid w:val="00801F0E"/>
    <w:rsid w:val="008029DE"/>
    <w:rsid w:val="0080355A"/>
    <w:rsid w:val="00803C0C"/>
    <w:rsid w:val="0080456F"/>
    <w:rsid w:val="00804C67"/>
    <w:rsid w:val="008067DA"/>
    <w:rsid w:val="00807501"/>
    <w:rsid w:val="00807D39"/>
    <w:rsid w:val="00810B49"/>
    <w:rsid w:val="00817407"/>
    <w:rsid w:val="008176CF"/>
    <w:rsid w:val="00820947"/>
    <w:rsid w:val="00821E7B"/>
    <w:rsid w:val="00822CBB"/>
    <w:rsid w:val="00822CC3"/>
    <w:rsid w:val="008246D5"/>
    <w:rsid w:val="008252A9"/>
    <w:rsid w:val="0082543B"/>
    <w:rsid w:val="00825B56"/>
    <w:rsid w:val="00825FE9"/>
    <w:rsid w:val="008312C6"/>
    <w:rsid w:val="0083162D"/>
    <w:rsid w:val="00833CFD"/>
    <w:rsid w:val="00834E52"/>
    <w:rsid w:val="008357C9"/>
    <w:rsid w:val="008373E0"/>
    <w:rsid w:val="00841410"/>
    <w:rsid w:val="00845634"/>
    <w:rsid w:val="00845B39"/>
    <w:rsid w:val="00847CA9"/>
    <w:rsid w:val="00850703"/>
    <w:rsid w:val="00855234"/>
    <w:rsid w:val="00856168"/>
    <w:rsid w:val="0085623A"/>
    <w:rsid w:val="008569C4"/>
    <w:rsid w:val="00856B23"/>
    <w:rsid w:val="00860804"/>
    <w:rsid w:val="00862C49"/>
    <w:rsid w:val="008631D3"/>
    <w:rsid w:val="008666E0"/>
    <w:rsid w:val="00870278"/>
    <w:rsid w:val="00871698"/>
    <w:rsid w:val="00872E91"/>
    <w:rsid w:val="00872EB9"/>
    <w:rsid w:val="00874787"/>
    <w:rsid w:val="00874A00"/>
    <w:rsid w:val="0087567C"/>
    <w:rsid w:val="00876268"/>
    <w:rsid w:val="00877D75"/>
    <w:rsid w:val="0088196C"/>
    <w:rsid w:val="00881CFD"/>
    <w:rsid w:val="00884361"/>
    <w:rsid w:val="0088509F"/>
    <w:rsid w:val="008854C6"/>
    <w:rsid w:val="00887F75"/>
    <w:rsid w:val="00891B7A"/>
    <w:rsid w:val="008A048A"/>
    <w:rsid w:val="008A1A75"/>
    <w:rsid w:val="008A5968"/>
    <w:rsid w:val="008A66EA"/>
    <w:rsid w:val="008B1380"/>
    <w:rsid w:val="008B200B"/>
    <w:rsid w:val="008B2034"/>
    <w:rsid w:val="008B46EC"/>
    <w:rsid w:val="008C2498"/>
    <w:rsid w:val="008C2EFA"/>
    <w:rsid w:val="008C5428"/>
    <w:rsid w:val="008D02D9"/>
    <w:rsid w:val="008D07CB"/>
    <w:rsid w:val="008D0933"/>
    <w:rsid w:val="008D1B7D"/>
    <w:rsid w:val="008D5C9E"/>
    <w:rsid w:val="008E14DE"/>
    <w:rsid w:val="008E1AF4"/>
    <w:rsid w:val="008E234F"/>
    <w:rsid w:val="008E58FD"/>
    <w:rsid w:val="008E7DAD"/>
    <w:rsid w:val="008F5C8C"/>
    <w:rsid w:val="008F6AE1"/>
    <w:rsid w:val="008F7A3A"/>
    <w:rsid w:val="00901739"/>
    <w:rsid w:val="009018B5"/>
    <w:rsid w:val="00901C0C"/>
    <w:rsid w:val="0090473B"/>
    <w:rsid w:val="009055C1"/>
    <w:rsid w:val="00905F98"/>
    <w:rsid w:val="009071AB"/>
    <w:rsid w:val="00910A52"/>
    <w:rsid w:val="009110EB"/>
    <w:rsid w:val="00914CC7"/>
    <w:rsid w:val="00920207"/>
    <w:rsid w:val="009204AF"/>
    <w:rsid w:val="00920AB7"/>
    <w:rsid w:val="00920FB9"/>
    <w:rsid w:val="00921AA3"/>
    <w:rsid w:val="00933CAC"/>
    <w:rsid w:val="00935CD3"/>
    <w:rsid w:val="009369FF"/>
    <w:rsid w:val="00937240"/>
    <w:rsid w:val="00940AAE"/>
    <w:rsid w:val="0094173C"/>
    <w:rsid w:val="00942F96"/>
    <w:rsid w:val="00943598"/>
    <w:rsid w:val="00944DCE"/>
    <w:rsid w:val="009455CB"/>
    <w:rsid w:val="00947CB9"/>
    <w:rsid w:val="00951095"/>
    <w:rsid w:val="00955AF2"/>
    <w:rsid w:val="00957D21"/>
    <w:rsid w:val="0096260B"/>
    <w:rsid w:val="00964104"/>
    <w:rsid w:val="0096502A"/>
    <w:rsid w:val="009678A8"/>
    <w:rsid w:val="009723BE"/>
    <w:rsid w:val="00972D69"/>
    <w:rsid w:val="00975416"/>
    <w:rsid w:val="00977BAB"/>
    <w:rsid w:val="00981C62"/>
    <w:rsid w:val="00983B1E"/>
    <w:rsid w:val="00985982"/>
    <w:rsid w:val="0099002D"/>
    <w:rsid w:val="009928E2"/>
    <w:rsid w:val="00993848"/>
    <w:rsid w:val="00994E5B"/>
    <w:rsid w:val="00995008"/>
    <w:rsid w:val="009A0301"/>
    <w:rsid w:val="009A042E"/>
    <w:rsid w:val="009A0604"/>
    <w:rsid w:val="009A14DA"/>
    <w:rsid w:val="009A26D4"/>
    <w:rsid w:val="009A43F3"/>
    <w:rsid w:val="009A7093"/>
    <w:rsid w:val="009B3ABB"/>
    <w:rsid w:val="009C01F2"/>
    <w:rsid w:val="009C040E"/>
    <w:rsid w:val="009C3431"/>
    <w:rsid w:val="009C4EDB"/>
    <w:rsid w:val="009C555A"/>
    <w:rsid w:val="009C6C52"/>
    <w:rsid w:val="009D05C8"/>
    <w:rsid w:val="009D2747"/>
    <w:rsid w:val="009D34DB"/>
    <w:rsid w:val="009D6096"/>
    <w:rsid w:val="009D614D"/>
    <w:rsid w:val="009D6E04"/>
    <w:rsid w:val="009D7A11"/>
    <w:rsid w:val="009E11AF"/>
    <w:rsid w:val="009E6453"/>
    <w:rsid w:val="009E7005"/>
    <w:rsid w:val="009E76A0"/>
    <w:rsid w:val="009F111B"/>
    <w:rsid w:val="009F46C7"/>
    <w:rsid w:val="009F62C8"/>
    <w:rsid w:val="009F6DE8"/>
    <w:rsid w:val="00A0049B"/>
    <w:rsid w:val="00A01AEB"/>
    <w:rsid w:val="00A04F06"/>
    <w:rsid w:val="00A06481"/>
    <w:rsid w:val="00A07751"/>
    <w:rsid w:val="00A10703"/>
    <w:rsid w:val="00A10EF8"/>
    <w:rsid w:val="00A117B9"/>
    <w:rsid w:val="00A1398C"/>
    <w:rsid w:val="00A13D94"/>
    <w:rsid w:val="00A17ABC"/>
    <w:rsid w:val="00A20ECE"/>
    <w:rsid w:val="00A23E4D"/>
    <w:rsid w:val="00A24CC9"/>
    <w:rsid w:val="00A256B6"/>
    <w:rsid w:val="00A26B25"/>
    <w:rsid w:val="00A3123D"/>
    <w:rsid w:val="00A322EA"/>
    <w:rsid w:val="00A329E5"/>
    <w:rsid w:val="00A3395B"/>
    <w:rsid w:val="00A33F57"/>
    <w:rsid w:val="00A34310"/>
    <w:rsid w:val="00A36869"/>
    <w:rsid w:val="00A40CF3"/>
    <w:rsid w:val="00A41042"/>
    <w:rsid w:val="00A42F49"/>
    <w:rsid w:val="00A43A61"/>
    <w:rsid w:val="00A45810"/>
    <w:rsid w:val="00A53F07"/>
    <w:rsid w:val="00A55434"/>
    <w:rsid w:val="00A5577D"/>
    <w:rsid w:val="00A55B67"/>
    <w:rsid w:val="00A61179"/>
    <w:rsid w:val="00A6194D"/>
    <w:rsid w:val="00A70652"/>
    <w:rsid w:val="00A70A1A"/>
    <w:rsid w:val="00A713BC"/>
    <w:rsid w:val="00A7502F"/>
    <w:rsid w:val="00A75E9B"/>
    <w:rsid w:val="00A76746"/>
    <w:rsid w:val="00A77A13"/>
    <w:rsid w:val="00A8037D"/>
    <w:rsid w:val="00A810A2"/>
    <w:rsid w:val="00A81AD3"/>
    <w:rsid w:val="00A81F39"/>
    <w:rsid w:val="00A83023"/>
    <w:rsid w:val="00A83E1B"/>
    <w:rsid w:val="00A86BA7"/>
    <w:rsid w:val="00A91D2E"/>
    <w:rsid w:val="00A91E29"/>
    <w:rsid w:val="00AA2201"/>
    <w:rsid w:val="00AA6C85"/>
    <w:rsid w:val="00AB15BD"/>
    <w:rsid w:val="00AB2DCF"/>
    <w:rsid w:val="00AB4A85"/>
    <w:rsid w:val="00AB51A4"/>
    <w:rsid w:val="00AC2EF1"/>
    <w:rsid w:val="00AC7546"/>
    <w:rsid w:val="00AD0DB5"/>
    <w:rsid w:val="00AD50B4"/>
    <w:rsid w:val="00AD7218"/>
    <w:rsid w:val="00AE1341"/>
    <w:rsid w:val="00AE2F5E"/>
    <w:rsid w:val="00AE3B25"/>
    <w:rsid w:val="00AE50E5"/>
    <w:rsid w:val="00AE5144"/>
    <w:rsid w:val="00AE71AC"/>
    <w:rsid w:val="00AE79E5"/>
    <w:rsid w:val="00AF2810"/>
    <w:rsid w:val="00AF38E5"/>
    <w:rsid w:val="00AF4663"/>
    <w:rsid w:val="00AF676B"/>
    <w:rsid w:val="00AF7BC8"/>
    <w:rsid w:val="00AF7BF6"/>
    <w:rsid w:val="00AF7F70"/>
    <w:rsid w:val="00B010B9"/>
    <w:rsid w:val="00B01F0F"/>
    <w:rsid w:val="00B027A2"/>
    <w:rsid w:val="00B04AFB"/>
    <w:rsid w:val="00B0591E"/>
    <w:rsid w:val="00B0780D"/>
    <w:rsid w:val="00B11A83"/>
    <w:rsid w:val="00B12651"/>
    <w:rsid w:val="00B13D83"/>
    <w:rsid w:val="00B200F7"/>
    <w:rsid w:val="00B2032B"/>
    <w:rsid w:val="00B207D5"/>
    <w:rsid w:val="00B20A05"/>
    <w:rsid w:val="00B20C34"/>
    <w:rsid w:val="00B21EA4"/>
    <w:rsid w:val="00B23027"/>
    <w:rsid w:val="00B308DD"/>
    <w:rsid w:val="00B31F4F"/>
    <w:rsid w:val="00B377AD"/>
    <w:rsid w:val="00B37E54"/>
    <w:rsid w:val="00B41B86"/>
    <w:rsid w:val="00B43980"/>
    <w:rsid w:val="00B45358"/>
    <w:rsid w:val="00B45F22"/>
    <w:rsid w:val="00B46B59"/>
    <w:rsid w:val="00B4749F"/>
    <w:rsid w:val="00B47B74"/>
    <w:rsid w:val="00B5343C"/>
    <w:rsid w:val="00B544CB"/>
    <w:rsid w:val="00B54D78"/>
    <w:rsid w:val="00B564AE"/>
    <w:rsid w:val="00B57B2A"/>
    <w:rsid w:val="00B57CEF"/>
    <w:rsid w:val="00B57FA1"/>
    <w:rsid w:val="00B60B9A"/>
    <w:rsid w:val="00B62066"/>
    <w:rsid w:val="00B63A80"/>
    <w:rsid w:val="00B65DB5"/>
    <w:rsid w:val="00B65FFE"/>
    <w:rsid w:val="00B713A9"/>
    <w:rsid w:val="00B7188F"/>
    <w:rsid w:val="00B72E95"/>
    <w:rsid w:val="00B777B9"/>
    <w:rsid w:val="00B77926"/>
    <w:rsid w:val="00B8020B"/>
    <w:rsid w:val="00B8303C"/>
    <w:rsid w:val="00B832A5"/>
    <w:rsid w:val="00B8365B"/>
    <w:rsid w:val="00B8430C"/>
    <w:rsid w:val="00B84946"/>
    <w:rsid w:val="00B8547A"/>
    <w:rsid w:val="00B8661B"/>
    <w:rsid w:val="00B9063F"/>
    <w:rsid w:val="00B915AC"/>
    <w:rsid w:val="00B9292E"/>
    <w:rsid w:val="00B93151"/>
    <w:rsid w:val="00B96C0B"/>
    <w:rsid w:val="00BA0F48"/>
    <w:rsid w:val="00BA168D"/>
    <w:rsid w:val="00BA1AA3"/>
    <w:rsid w:val="00BA3DD6"/>
    <w:rsid w:val="00BA469F"/>
    <w:rsid w:val="00BA4C4B"/>
    <w:rsid w:val="00BA5F08"/>
    <w:rsid w:val="00BA5FFE"/>
    <w:rsid w:val="00BA7B9E"/>
    <w:rsid w:val="00BB1A01"/>
    <w:rsid w:val="00BC425C"/>
    <w:rsid w:val="00BC595E"/>
    <w:rsid w:val="00BC68A7"/>
    <w:rsid w:val="00BD1218"/>
    <w:rsid w:val="00BD204C"/>
    <w:rsid w:val="00BD2705"/>
    <w:rsid w:val="00BD4D14"/>
    <w:rsid w:val="00BE06C8"/>
    <w:rsid w:val="00BE30F6"/>
    <w:rsid w:val="00BE52E2"/>
    <w:rsid w:val="00BE61FE"/>
    <w:rsid w:val="00BE6424"/>
    <w:rsid w:val="00BF0C76"/>
    <w:rsid w:val="00BF16B8"/>
    <w:rsid w:val="00BF3763"/>
    <w:rsid w:val="00BF4028"/>
    <w:rsid w:val="00BF690D"/>
    <w:rsid w:val="00C073F9"/>
    <w:rsid w:val="00C119A0"/>
    <w:rsid w:val="00C12579"/>
    <w:rsid w:val="00C155E5"/>
    <w:rsid w:val="00C16EB3"/>
    <w:rsid w:val="00C203F0"/>
    <w:rsid w:val="00C22029"/>
    <w:rsid w:val="00C22195"/>
    <w:rsid w:val="00C22D46"/>
    <w:rsid w:val="00C31A08"/>
    <w:rsid w:val="00C35A9D"/>
    <w:rsid w:val="00C40D5A"/>
    <w:rsid w:val="00C41DD2"/>
    <w:rsid w:val="00C44DCA"/>
    <w:rsid w:val="00C44F25"/>
    <w:rsid w:val="00C46FA6"/>
    <w:rsid w:val="00C479BD"/>
    <w:rsid w:val="00C501D8"/>
    <w:rsid w:val="00C50C45"/>
    <w:rsid w:val="00C526F2"/>
    <w:rsid w:val="00C53E90"/>
    <w:rsid w:val="00C544DD"/>
    <w:rsid w:val="00C55E4B"/>
    <w:rsid w:val="00C5613D"/>
    <w:rsid w:val="00C61597"/>
    <w:rsid w:val="00C63239"/>
    <w:rsid w:val="00C639D6"/>
    <w:rsid w:val="00C63DDA"/>
    <w:rsid w:val="00C6567C"/>
    <w:rsid w:val="00C65BE8"/>
    <w:rsid w:val="00C6616E"/>
    <w:rsid w:val="00C670F5"/>
    <w:rsid w:val="00C712E6"/>
    <w:rsid w:val="00C71DD1"/>
    <w:rsid w:val="00C7444D"/>
    <w:rsid w:val="00C75829"/>
    <w:rsid w:val="00C77571"/>
    <w:rsid w:val="00C77810"/>
    <w:rsid w:val="00C81375"/>
    <w:rsid w:val="00C814D6"/>
    <w:rsid w:val="00C82FA6"/>
    <w:rsid w:val="00C84563"/>
    <w:rsid w:val="00C96BA7"/>
    <w:rsid w:val="00CA01AA"/>
    <w:rsid w:val="00CA4E46"/>
    <w:rsid w:val="00CB0349"/>
    <w:rsid w:val="00CB1D43"/>
    <w:rsid w:val="00CB4DB0"/>
    <w:rsid w:val="00CC519C"/>
    <w:rsid w:val="00CC6F4A"/>
    <w:rsid w:val="00CD2839"/>
    <w:rsid w:val="00CD36F5"/>
    <w:rsid w:val="00CD3DF7"/>
    <w:rsid w:val="00CD4D99"/>
    <w:rsid w:val="00CD556A"/>
    <w:rsid w:val="00CD6B66"/>
    <w:rsid w:val="00CD7425"/>
    <w:rsid w:val="00CE02C4"/>
    <w:rsid w:val="00CE1202"/>
    <w:rsid w:val="00CE4404"/>
    <w:rsid w:val="00CF106F"/>
    <w:rsid w:val="00D000D4"/>
    <w:rsid w:val="00D01B57"/>
    <w:rsid w:val="00D02616"/>
    <w:rsid w:val="00D055ED"/>
    <w:rsid w:val="00D07DC3"/>
    <w:rsid w:val="00D10A5E"/>
    <w:rsid w:val="00D12FB4"/>
    <w:rsid w:val="00D164E1"/>
    <w:rsid w:val="00D166AA"/>
    <w:rsid w:val="00D16ED2"/>
    <w:rsid w:val="00D17182"/>
    <w:rsid w:val="00D176F8"/>
    <w:rsid w:val="00D17B31"/>
    <w:rsid w:val="00D26979"/>
    <w:rsid w:val="00D26BC5"/>
    <w:rsid w:val="00D27467"/>
    <w:rsid w:val="00D307EE"/>
    <w:rsid w:val="00D30B32"/>
    <w:rsid w:val="00D32FFC"/>
    <w:rsid w:val="00D357D8"/>
    <w:rsid w:val="00D35856"/>
    <w:rsid w:val="00D35EFF"/>
    <w:rsid w:val="00D36131"/>
    <w:rsid w:val="00D369F3"/>
    <w:rsid w:val="00D36C8E"/>
    <w:rsid w:val="00D4027B"/>
    <w:rsid w:val="00D4074E"/>
    <w:rsid w:val="00D4467B"/>
    <w:rsid w:val="00D4572C"/>
    <w:rsid w:val="00D45907"/>
    <w:rsid w:val="00D4733C"/>
    <w:rsid w:val="00D47B5C"/>
    <w:rsid w:val="00D51C06"/>
    <w:rsid w:val="00D541E2"/>
    <w:rsid w:val="00D5645B"/>
    <w:rsid w:val="00D57F68"/>
    <w:rsid w:val="00D57F75"/>
    <w:rsid w:val="00D6186A"/>
    <w:rsid w:val="00D619E4"/>
    <w:rsid w:val="00D62C2D"/>
    <w:rsid w:val="00D644E8"/>
    <w:rsid w:val="00D676E9"/>
    <w:rsid w:val="00D67CCA"/>
    <w:rsid w:val="00D80381"/>
    <w:rsid w:val="00D80853"/>
    <w:rsid w:val="00D80D58"/>
    <w:rsid w:val="00D823BC"/>
    <w:rsid w:val="00D83D31"/>
    <w:rsid w:val="00D87F40"/>
    <w:rsid w:val="00D95A18"/>
    <w:rsid w:val="00D9627F"/>
    <w:rsid w:val="00DA5DF9"/>
    <w:rsid w:val="00DB01B4"/>
    <w:rsid w:val="00DB1E19"/>
    <w:rsid w:val="00DB3523"/>
    <w:rsid w:val="00DB5144"/>
    <w:rsid w:val="00DB5A13"/>
    <w:rsid w:val="00DB7EDA"/>
    <w:rsid w:val="00DC102F"/>
    <w:rsid w:val="00DC453A"/>
    <w:rsid w:val="00DC4A33"/>
    <w:rsid w:val="00DC700E"/>
    <w:rsid w:val="00DC7620"/>
    <w:rsid w:val="00DD18B0"/>
    <w:rsid w:val="00DD23A0"/>
    <w:rsid w:val="00DD2415"/>
    <w:rsid w:val="00DD3227"/>
    <w:rsid w:val="00DD5621"/>
    <w:rsid w:val="00DD5FC6"/>
    <w:rsid w:val="00DE44C0"/>
    <w:rsid w:val="00DE52FC"/>
    <w:rsid w:val="00DE744C"/>
    <w:rsid w:val="00DF0F3C"/>
    <w:rsid w:val="00DF19F8"/>
    <w:rsid w:val="00DF2C21"/>
    <w:rsid w:val="00DF2D82"/>
    <w:rsid w:val="00DF4FF8"/>
    <w:rsid w:val="00DF65CC"/>
    <w:rsid w:val="00E01CDA"/>
    <w:rsid w:val="00E01E8C"/>
    <w:rsid w:val="00E02C13"/>
    <w:rsid w:val="00E02FA3"/>
    <w:rsid w:val="00E14C76"/>
    <w:rsid w:val="00E15342"/>
    <w:rsid w:val="00E202F7"/>
    <w:rsid w:val="00E27745"/>
    <w:rsid w:val="00E27BC3"/>
    <w:rsid w:val="00E27D9F"/>
    <w:rsid w:val="00E302CB"/>
    <w:rsid w:val="00E31338"/>
    <w:rsid w:val="00E374E0"/>
    <w:rsid w:val="00E422B3"/>
    <w:rsid w:val="00E42F12"/>
    <w:rsid w:val="00E43822"/>
    <w:rsid w:val="00E438F8"/>
    <w:rsid w:val="00E44D84"/>
    <w:rsid w:val="00E46862"/>
    <w:rsid w:val="00E46B47"/>
    <w:rsid w:val="00E5194A"/>
    <w:rsid w:val="00E5207B"/>
    <w:rsid w:val="00E52549"/>
    <w:rsid w:val="00E5281F"/>
    <w:rsid w:val="00E528E6"/>
    <w:rsid w:val="00E569D3"/>
    <w:rsid w:val="00E573BF"/>
    <w:rsid w:val="00E60156"/>
    <w:rsid w:val="00E61FD0"/>
    <w:rsid w:val="00E63B1E"/>
    <w:rsid w:val="00E671BE"/>
    <w:rsid w:val="00E72D5B"/>
    <w:rsid w:val="00E75BD2"/>
    <w:rsid w:val="00E75EEA"/>
    <w:rsid w:val="00E76AC4"/>
    <w:rsid w:val="00E77D14"/>
    <w:rsid w:val="00E80E41"/>
    <w:rsid w:val="00E814E2"/>
    <w:rsid w:val="00E817CB"/>
    <w:rsid w:val="00E829C2"/>
    <w:rsid w:val="00E8603D"/>
    <w:rsid w:val="00E90D60"/>
    <w:rsid w:val="00E9191C"/>
    <w:rsid w:val="00E92790"/>
    <w:rsid w:val="00E92827"/>
    <w:rsid w:val="00E9295D"/>
    <w:rsid w:val="00E94472"/>
    <w:rsid w:val="00E94F4E"/>
    <w:rsid w:val="00E95EEB"/>
    <w:rsid w:val="00EA0F0E"/>
    <w:rsid w:val="00EA2FC5"/>
    <w:rsid w:val="00EA57F4"/>
    <w:rsid w:val="00EB0D9A"/>
    <w:rsid w:val="00EB3941"/>
    <w:rsid w:val="00EB3EA3"/>
    <w:rsid w:val="00EB411B"/>
    <w:rsid w:val="00EC215E"/>
    <w:rsid w:val="00EC4740"/>
    <w:rsid w:val="00EC4D14"/>
    <w:rsid w:val="00EC66CD"/>
    <w:rsid w:val="00ED0267"/>
    <w:rsid w:val="00ED0FA9"/>
    <w:rsid w:val="00ED149A"/>
    <w:rsid w:val="00ED1E69"/>
    <w:rsid w:val="00ED3709"/>
    <w:rsid w:val="00ED4885"/>
    <w:rsid w:val="00ED48A6"/>
    <w:rsid w:val="00EE2013"/>
    <w:rsid w:val="00EE3F13"/>
    <w:rsid w:val="00EF08DB"/>
    <w:rsid w:val="00EF0F6A"/>
    <w:rsid w:val="00EF1832"/>
    <w:rsid w:val="00EF1B93"/>
    <w:rsid w:val="00EF235C"/>
    <w:rsid w:val="00EF27DF"/>
    <w:rsid w:val="00EF5D82"/>
    <w:rsid w:val="00EF6862"/>
    <w:rsid w:val="00EF6A51"/>
    <w:rsid w:val="00F02944"/>
    <w:rsid w:val="00F03667"/>
    <w:rsid w:val="00F04337"/>
    <w:rsid w:val="00F049F0"/>
    <w:rsid w:val="00F06EFE"/>
    <w:rsid w:val="00F07885"/>
    <w:rsid w:val="00F11262"/>
    <w:rsid w:val="00F11867"/>
    <w:rsid w:val="00F12A5C"/>
    <w:rsid w:val="00F134D3"/>
    <w:rsid w:val="00F146F9"/>
    <w:rsid w:val="00F14E8C"/>
    <w:rsid w:val="00F168B9"/>
    <w:rsid w:val="00F21971"/>
    <w:rsid w:val="00F22C02"/>
    <w:rsid w:val="00F27CC9"/>
    <w:rsid w:val="00F33D35"/>
    <w:rsid w:val="00F34A16"/>
    <w:rsid w:val="00F43580"/>
    <w:rsid w:val="00F43D53"/>
    <w:rsid w:val="00F46660"/>
    <w:rsid w:val="00F50B0E"/>
    <w:rsid w:val="00F526D5"/>
    <w:rsid w:val="00F5370B"/>
    <w:rsid w:val="00F53B4B"/>
    <w:rsid w:val="00F5699C"/>
    <w:rsid w:val="00F56A8F"/>
    <w:rsid w:val="00F60531"/>
    <w:rsid w:val="00F645FF"/>
    <w:rsid w:val="00F6576E"/>
    <w:rsid w:val="00F66AAC"/>
    <w:rsid w:val="00F70229"/>
    <w:rsid w:val="00F70339"/>
    <w:rsid w:val="00F704B2"/>
    <w:rsid w:val="00F70A36"/>
    <w:rsid w:val="00F71A72"/>
    <w:rsid w:val="00F73548"/>
    <w:rsid w:val="00F80080"/>
    <w:rsid w:val="00F81970"/>
    <w:rsid w:val="00F81C31"/>
    <w:rsid w:val="00F83182"/>
    <w:rsid w:val="00F84C98"/>
    <w:rsid w:val="00F85415"/>
    <w:rsid w:val="00F85E5E"/>
    <w:rsid w:val="00F8631D"/>
    <w:rsid w:val="00F86C93"/>
    <w:rsid w:val="00F93A53"/>
    <w:rsid w:val="00F94BAA"/>
    <w:rsid w:val="00F94C10"/>
    <w:rsid w:val="00F95191"/>
    <w:rsid w:val="00FA04AE"/>
    <w:rsid w:val="00FA1ACF"/>
    <w:rsid w:val="00FA6BE9"/>
    <w:rsid w:val="00FB0200"/>
    <w:rsid w:val="00FB0536"/>
    <w:rsid w:val="00FB1DD7"/>
    <w:rsid w:val="00FB43F3"/>
    <w:rsid w:val="00FB474E"/>
    <w:rsid w:val="00FB7F68"/>
    <w:rsid w:val="00FC224C"/>
    <w:rsid w:val="00FC2E32"/>
    <w:rsid w:val="00FD08E8"/>
    <w:rsid w:val="00FD122B"/>
    <w:rsid w:val="00FD2939"/>
    <w:rsid w:val="00FD31DF"/>
    <w:rsid w:val="00FD325D"/>
    <w:rsid w:val="00FD3C96"/>
    <w:rsid w:val="00FD4F23"/>
    <w:rsid w:val="00FD6694"/>
    <w:rsid w:val="00FD6DD3"/>
    <w:rsid w:val="00FD7855"/>
    <w:rsid w:val="00FE166C"/>
    <w:rsid w:val="00FE689B"/>
    <w:rsid w:val="00FE6BB7"/>
    <w:rsid w:val="00FE6F66"/>
    <w:rsid w:val="00FF1670"/>
    <w:rsid w:val="00FF35D1"/>
    <w:rsid w:val="00FF4238"/>
    <w:rsid w:val="08CB2148"/>
    <w:rsid w:val="0F730DB8"/>
    <w:rsid w:val="100532AB"/>
    <w:rsid w:val="16757B72"/>
    <w:rsid w:val="18AD3F21"/>
    <w:rsid w:val="1BED7449"/>
    <w:rsid w:val="1CAB3E49"/>
    <w:rsid w:val="1EB4438E"/>
    <w:rsid w:val="215238B8"/>
    <w:rsid w:val="2336753D"/>
    <w:rsid w:val="252E63EA"/>
    <w:rsid w:val="2A6D23A3"/>
    <w:rsid w:val="2A7765CD"/>
    <w:rsid w:val="2B993C69"/>
    <w:rsid w:val="32A37E25"/>
    <w:rsid w:val="34AE7C4F"/>
    <w:rsid w:val="3E6135F4"/>
    <w:rsid w:val="44315E8B"/>
    <w:rsid w:val="4EFA36B2"/>
    <w:rsid w:val="52B570AC"/>
    <w:rsid w:val="57080DCC"/>
    <w:rsid w:val="572A56C8"/>
    <w:rsid w:val="5B526F49"/>
    <w:rsid w:val="62C132DC"/>
    <w:rsid w:val="68B946CD"/>
    <w:rsid w:val="711A7880"/>
    <w:rsid w:val="72D9587E"/>
    <w:rsid w:val="7685318D"/>
    <w:rsid w:val="785901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4"/>
    <w:qFormat/>
    <w:uiPriority w:val="0"/>
    <w:pPr>
      <w:keepNext/>
      <w:keepLines/>
      <w:spacing w:before="340" w:after="330" w:line="578" w:lineRule="auto"/>
      <w:outlineLvl w:val="0"/>
    </w:pPr>
    <w:rPr>
      <w:b/>
      <w:bCs/>
      <w:kern w:val="44"/>
      <w:sz w:val="44"/>
      <w:szCs w:val="44"/>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2"/>
    <w:qFormat/>
    <w:uiPriority w:val="0"/>
    <w:pPr>
      <w:jc w:val="left"/>
    </w:pPr>
  </w:style>
  <w:style w:type="paragraph" w:styleId="4">
    <w:name w:val="Balloon Text"/>
    <w:basedOn w:val="1"/>
    <w:link w:val="2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kern w:val="0"/>
      <w:sz w:val="24"/>
    </w:rPr>
  </w:style>
  <w:style w:type="paragraph" w:styleId="8">
    <w:name w:val="annotation subject"/>
    <w:basedOn w:val="3"/>
    <w:next w:val="3"/>
    <w:link w:val="23"/>
    <w:qFormat/>
    <w:uiPriority w:val="0"/>
    <w:rPr>
      <w:b/>
      <w:bCs/>
    </w:rPr>
  </w:style>
  <w:style w:type="character" w:styleId="11">
    <w:name w:val="page number"/>
    <w:basedOn w:val="10"/>
    <w:qFormat/>
    <w:uiPriority w:val="0"/>
  </w:style>
  <w:style w:type="character" w:styleId="12">
    <w:name w:val="Emphasis"/>
    <w:qFormat/>
    <w:uiPriority w:val="20"/>
    <w:rPr>
      <w:color w:val="CC0000"/>
    </w:rPr>
  </w:style>
  <w:style w:type="character" w:styleId="13">
    <w:name w:val="Hyperlink"/>
    <w:unhideWhenUsed/>
    <w:qFormat/>
    <w:uiPriority w:val="99"/>
    <w:rPr>
      <w:color w:val="0000FF"/>
      <w:u w:val="single"/>
    </w:rPr>
  </w:style>
  <w:style w:type="character" w:styleId="14">
    <w:name w:val="annotation reference"/>
    <w:basedOn w:val="10"/>
    <w:uiPriority w:val="0"/>
    <w:rPr>
      <w:sz w:val="21"/>
      <w:szCs w:val="21"/>
    </w:rPr>
  </w:style>
  <w:style w:type="paragraph" w:customStyle="1" w:styleId="15">
    <w:name w:val="p0"/>
    <w:basedOn w:val="1"/>
    <w:qFormat/>
    <w:uiPriority w:val="0"/>
    <w:pPr>
      <w:widowControl/>
    </w:pPr>
    <w:rPr>
      <w:kern w:val="0"/>
      <w:szCs w:val="21"/>
    </w:rPr>
  </w:style>
  <w:style w:type="character" w:customStyle="1" w:styleId="16">
    <w:name w:val="西矿招股书正文 Char"/>
    <w:link w:val="17"/>
    <w:qFormat/>
    <w:uiPriority w:val="0"/>
    <w:rPr>
      <w:rFonts w:eastAsia="宋体"/>
      <w:kern w:val="2"/>
      <w:sz w:val="24"/>
      <w:szCs w:val="24"/>
      <w:lang w:val="en-US" w:eastAsia="zh-CN" w:bidi="ar-SA"/>
    </w:rPr>
  </w:style>
  <w:style w:type="paragraph" w:customStyle="1" w:styleId="17">
    <w:name w:val="西矿招股书正文"/>
    <w:basedOn w:val="1"/>
    <w:link w:val="16"/>
    <w:qFormat/>
    <w:uiPriority w:val="0"/>
    <w:pPr>
      <w:overflowPunct w:val="0"/>
      <w:autoSpaceDE w:val="0"/>
      <w:autoSpaceDN w:val="0"/>
      <w:adjustRightInd w:val="0"/>
      <w:snapToGrid w:val="0"/>
      <w:spacing w:before="120" w:line="360" w:lineRule="auto"/>
      <w:ind w:firstLine="200" w:firstLineChars="200"/>
      <w:jc w:val="left"/>
    </w:pPr>
    <w:rPr>
      <w:sz w:val="24"/>
      <w:szCs w:val="24"/>
    </w:rPr>
  </w:style>
  <w:style w:type="paragraph" w:customStyle="1" w:styleId="18">
    <w:name w:val="Char"/>
    <w:basedOn w:val="1"/>
    <w:qFormat/>
    <w:uiPriority w:val="0"/>
    <w:pPr>
      <w:tabs>
        <w:tab w:val="left" w:pos="360"/>
      </w:tabs>
    </w:pPr>
  </w:style>
  <w:style w:type="paragraph" w:customStyle="1" w:styleId="1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20">
    <w:name w:val="List Paragraph"/>
    <w:basedOn w:val="1"/>
    <w:qFormat/>
    <w:uiPriority w:val="34"/>
    <w:pPr>
      <w:ind w:firstLine="420" w:firstLineChars="200"/>
    </w:pPr>
    <w:rPr>
      <w:rFonts w:ascii="Calibri" w:hAnsi="Calibri"/>
      <w:szCs w:val="22"/>
    </w:rPr>
  </w:style>
  <w:style w:type="character" w:customStyle="1" w:styleId="21">
    <w:name w:val="批注框文本 字符"/>
    <w:basedOn w:val="10"/>
    <w:link w:val="4"/>
    <w:qFormat/>
    <w:uiPriority w:val="0"/>
    <w:rPr>
      <w:kern w:val="2"/>
      <w:sz w:val="18"/>
      <w:szCs w:val="18"/>
    </w:rPr>
  </w:style>
  <w:style w:type="character" w:customStyle="1" w:styleId="22">
    <w:name w:val="批注文字 字符"/>
    <w:basedOn w:val="10"/>
    <w:link w:val="3"/>
    <w:qFormat/>
    <w:uiPriority w:val="0"/>
    <w:rPr>
      <w:kern w:val="2"/>
      <w:sz w:val="21"/>
    </w:rPr>
  </w:style>
  <w:style w:type="character" w:customStyle="1" w:styleId="23">
    <w:name w:val="批注主题 字符"/>
    <w:basedOn w:val="22"/>
    <w:link w:val="8"/>
    <w:qFormat/>
    <w:uiPriority w:val="0"/>
    <w:rPr>
      <w:b/>
      <w:bCs/>
      <w:kern w:val="2"/>
      <w:sz w:val="21"/>
    </w:rPr>
  </w:style>
  <w:style w:type="character" w:customStyle="1" w:styleId="24">
    <w:name w:val="标题 1 字符"/>
    <w:basedOn w:val="10"/>
    <w:link w:val="2"/>
    <w:qFormat/>
    <w:uiPriority w:val="0"/>
    <w:rPr>
      <w:b/>
      <w:bCs/>
      <w:kern w:val="44"/>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90403-E7BA-4575-BB1C-29A2430D32A5}">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2461</Words>
  <Characters>2650</Characters>
  <Lines>3</Lines>
  <Paragraphs>5</Paragraphs>
  <TotalTime>209</TotalTime>
  <ScaleCrop>false</ScaleCrop>
  <LinksUpToDate>false</LinksUpToDate>
  <CharactersWithSpaces>2802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2026-07-31T09:49:00Z</dcterms:created>
  <dc:creator>User</dc:creator>
  <cp:lastModifiedBy>乔</cp:lastModifiedBy>
  <cp:lastPrinted>2017-11-27T00:20:00Z</cp:lastPrinted>
  <dcterms:modified xsi:type="dcterms:W3CDTF">2026-09-29T10:05:24Z</dcterms:modified>
  <dc:title>证券代码：002540                            证券简称：亚太科技</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35D86B63C7614CDC943CCC96C899661E_13</vt:lpwstr>
  </property>
  <property fmtid="{D5CDD505-2E9C-101B-9397-08002B2CF9AE}" pid="4" name="KSOTemplateDocerSaveRecord">
    <vt:lpwstr>eyJoZGlkIjoiZmJmYWJjOTgyZTQ5OTMyYmNlMmU2MWE0MzA2YzBiZGEiLCJ1c2VySWQiOiI0NzkwODQ2NDkifQ==</vt:lpwstr>
  </property>
</Properties>
</file>