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0CC55B4">
      <w:pPr>
        <w:jc w:val="left"/>
        <w:rPr>
          <w:rFonts w:ascii="宋体" w:hAnsi="宋体" w:cs="宋体"/>
          <w:bCs/>
          <w:iCs/>
          <w:color w:val="000000"/>
          <w:sz w:val="24"/>
        </w:rPr>
      </w:pPr>
      <w:r>
        <w:rPr>
          <w:rFonts w:hint="eastAsia" w:ascii="宋体" w:hAnsi="宋体" w:cs="宋体"/>
          <w:bCs/>
          <w:iCs/>
          <w:color w:val="000000"/>
          <w:sz w:val="24"/>
        </w:rPr>
        <w:t>证券代码：</w:t>
      </w:r>
      <w:r>
        <w:rPr>
          <w:bCs/>
          <w:iCs/>
          <w:color w:val="000000"/>
          <w:sz w:val="24"/>
        </w:rPr>
        <w:t>603390</w:t>
      </w:r>
      <w:r>
        <w:rPr>
          <w:rFonts w:hint="eastAsia" w:ascii="宋体" w:hAnsi="宋体" w:cs="宋体"/>
          <w:bCs/>
          <w:iCs/>
          <w:color w:val="000000"/>
          <w:sz w:val="24"/>
        </w:rPr>
        <w:t xml:space="preserve">                                  证券简称：通达电气</w:t>
      </w:r>
    </w:p>
    <w:p w14:paraId="1926562B">
      <w:pPr>
        <w:spacing w:before="468" w:beforeLines="150" w:after="156" w:afterLines="50" w:line="400" w:lineRule="exact"/>
        <w:jc w:val="center"/>
        <w:rPr>
          <w:rFonts w:ascii="宋体" w:hAnsi="宋体" w:cs="宋体"/>
          <w:b/>
          <w:bCs/>
          <w:iCs/>
          <w:color w:val="000000"/>
          <w:sz w:val="32"/>
          <w:szCs w:val="32"/>
        </w:rPr>
      </w:pPr>
      <w:r>
        <w:rPr>
          <w:rFonts w:hint="eastAsia" w:ascii="宋体" w:hAnsi="宋体" w:cs="宋体"/>
          <w:b/>
          <w:bCs/>
          <w:iCs/>
          <w:color w:val="000000"/>
          <w:sz w:val="32"/>
          <w:szCs w:val="32"/>
        </w:rPr>
        <w:t>广州通达汽车电气股份有限公司</w:t>
      </w:r>
    </w:p>
    <w:p w14:paraId="4AA7D7AB">
      <w:pPr>
        <w:spacing w:before="156" w:beforeLines="50" w:after="468" w:afterLines="150" w:line="400" w:lineRule="exact"/>
        <w:jc w:val="center"/>
        <w:rPr>
          <w:rFonts w:ascii="宋体" w:hAnsi="宋体" w:cs="宋体"/>
          <w:b/>
          <w:bCs/>
          <w:iCs/>
          <w:color w:val="000000"/>
          <w:sz w:val="32"/>
          <w:szCs w:val="32"/>
        </w:rPr>
      </w:pPr>
      <w:r>
        <w:rPr>
          <w:rFonts w:hint="eastAsia" w:ascii="宋体" w:hAnsi="宋体" w:cs="宋体"/>
          <w:b/>
          <w:bCs/>
          <w:iCs/>
          <w:color w:val="000000"/>
          <w:sz w:val="32"/>
          <w:szCs w:val="32"/>
        </w:rPr>
        <w:t>投资者关系活动记录表</w:t>
      </w:r>
    </w:p>
    <w:p w14:paraId="200A90A7">
      <w:pPr>
        <w:wordWrap w:val="0"/>
        <w:spacing w:line="400" w:lineRule="exact"/>
        <w:ind w:right="-57" w:rightChars="-27"/>
        <w:jc w:val="right"/>
        <w:rPr>
          <w:rFonts w:hint="default" w:eastAsia="宋体"/>
          <w:bCs/>
          <w:iCs/>
          <w:color w:val="000000"/>
          <w:highlight w:val="yellow"/>
          <w:lang w:val="en-US" w:eastAsia="zh-CN"/>
        </w:rPr>
      </w:pPr>
      <w:r>
        <w:rPr>
          <w:bCs/>
          <w:iCs/>
          <w:color w:val="000000"/>
        </w:rPr>
        <w:t>编号：</w:t>
      </w:r>
      <w:r>
        <w:rPr>
          <w:rFonts w:hint="eastAsia"/>
          <w:bCs/>
          <w:iCs/>
          <w:color w:val="000000"/>
        </w:rPr>
        <w:t>202</w:t>
      </w:r>
      <w:r>
        <w:rPr>
          <w:rFonts w:hint="eastAsia"/>
          <w:bCs/>
          <w:iCs/>
          <w:color w:val="000000"/>
          <w:lang w:val="en-US" w:eastAsia="zh-CN"/>
        </w:rPr>
        <w:t>6</w:t>
      </w:r>
      <w:r>
        <w:rPr>
          <w:rFonts w:hint="eastAsia"/>
          <w:bCs/>
          <w:iCs/>
          <w:color w:val="000000"/>
        </w:rPr>
        <w:t>-</w:t>
      </w:r>
      <w:r>
        <w:rPr>
          <w:rFonts w:hint="eastAsia"/>
          <w:bCs/>
          <w:iCs/>
          <w:color w:val="000000"/>
          <w:lang w:val="en-US" w:eastAsia="zh-CN"/>
        </w:rPr>
        <w:t>003</w:t>
      </w:r>
    </w:p>
    <w:tbl>
      <w:tblPr>
        <w:tblStyle w:val="8"/>
        <w:tblW w:w="513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29"/>
        <w:gridCol w:w="6830"/>
      </w:tblGrid>
      <w:tr w14:paraId="0AF144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73" w:hRule="atLeast"/>
          <w:jc w:val="center"/>
        </w:trPr>
        <w:tc>
          <w:tcPr>
            <w:tcW w:w="1101" w:type="pct"/>
            <w:vAlign w:val="center"/>
          </w:tcPr>
          <w:p w14:paraId="5A3EA6ED">
            <w:pPr>
              <w:spacing w:line="480" w:lineRule="atLeast"/>
              <w:jc w:val="center"/>
              <w:rPr>
                <w:b/>
                <w:bCs/>
                <w:iCs/>
                <w:color w:val="000000"/>
                <w:sz w:val="24"/>
              </w:rPr>
            </w:pPr>
            <w:r>
              <w:rPr>
                <w:rFonts w:hint="eastAsia" w:ascii="宋体" w:hAnsi="宋体" w:cs="宋体"/>
                <w:b/>
                <w:bCs/>
                <w:iCs/>
                <w:color w:val="000000"/>
                <w:sz w:val="24"/>
              </w:rPr>
              <w:t>投资者关系活动类别</w:t>
            </w:r>
          </w:p>
        </w:tc>
        <w:tc>
          <w:tcPr>
            <w:tcW w:w="3899" w:type="pct"/>
            <w:vAlign w:val="center"/>
          </w:tcPr>
          <w:p w14:paraId="704E9A45">
            <w:pPr>
              <w:spacing w:line="480" w:lineRule="atLeast"/>
              <w:ind w:firstLine="120" w:firstLineChars="50"/>
              <w:rPr>
                <w:sz w:val="24"/>
              </w:rPr>
            </w:pPr>
            <w:r>
              <w:rPr>
                <w:sz w:val="24"/>
              </w:rPr>
              <w:sym w:font="Wingdings 2" w:char="00A3"/>
            </w:r>
            <w:r>
              <w:rPr>
                <w:bCs/>
                <w:iCs/>
                <w:color w:val="000000"/>
                <w:sz w:val="24"/>
              </w:rPr>
              <w:t xml:space="preserve"> </w:t>
            </w:r>
            <w:r>
              <w:rPr>
                <w:sz w:val="24"/>
              </w:rPr>
              <w:t xml:space="preserve">特定对象调研   </w:t>
            </w:r>
            <w:r>
              <w:rPr>
                <w:sz w:val="24"/>
              </w:rPr>
              <w:sym w:font="Wingdings 2" w:char="00A3"/>
            </w:r>
            <w:r>
              <w:rPr>
                <w:rFonts w:hint="eastAsia"/>
                <w:sz w:val="24"/>
              </w:rPr>
              <w:t xml:space="preserve"> </w:t>
            </w:r>
            <w:r>
              <w:rPr>
                <w:sz w:val="24"/>
              </w:rPr>
              <w:t xml:space="preserve">分析师会议      </w:t>
            </w:r>
            <w:r>
              <w:rPr>
                <w:bCs/>
                <w:iCs/>
                <w:color w:val="000000"/>
                <w:sz w:val="24"/>
              </w:rPr>
              <w:sym w:font="Wingdings 2" w:char="00A3"/>
            </w:r>
            <w:r>
              <w:rPr>
                <w:rFonts w:hint="eastAsia"/>
                <w:bCs/>
                <w:iCs/>
                <w:color w:val="000000"/>
                <w:sz w:val="24"/>
              </w:rPr>
              <w:t xml:space="preserve"> </w:t>
            </w:r>
            <w:r>
              <w:rPr>
                <w:sz w:val="24"/>
              </w:rPr>
              <w:t xml:space="preserve">媒体采访   </w:t>
            </w:r>
          </w:p>
          <w:p w14:paraId="05E7722F">
            <w:pPr>
              <w:spacing w:line="480" w:lineRule="atLeast"/>
              <w:ind w:firstLine="120" w:firstLineChars="50"/>
              <w:rPr>
                <w:sz w:val="24"/>
              </w:rPr>
            </w:pPr>
            <w:r>
              <w:rPr>
                <w:rFonts w:ascii="Segoe UI Symbol" w:hAnsi="Segoe UI Symbol" w:cs="Segoe UI Symbol"/>
                <w:sz w:val="24"/>
              </w:rPr>
              <w:t>☑</w:t>
            </w:r>
            <w:r>
              <w:rPr>
                <w:rFonts w:hint="eastAsia"/>
                <w:sz w:val="24"/>
              </w:rPr>
              <w:t xml:space="preserve"> </w:t>
            </w:r>
            <w:r>
              <w:rPr>
                <w:sz w:val="24"/>
              </w:rPr>
              <w:t>业绩说明会</w:t>
            </w:r>
            <w:r>
              <w:rPr>
                <w:rFonts w:hint="eastAsia"/>
                <w:sz w:val="24"/>
              </w:rPr>
              <w:t xml:space="preserve">     </w:t>
            </w:r>
            <w:r>
              <w:rPr>
                <w:bCs/>
                <w:iCs/>
                <w:color w:val="000000"/>
                <w:sz w:val="24"/>
              </w:rPr>
              <w:sym w:font="Wingdings 2" w:char="00A3"/>
            </w:r>
            <w:r>
              <w:rPr>
                <w:rFonts w:hint="eastAsia"/>
                <w:bCs/>
                <w:iCs/>
                <w:color w:val="000000"/>
                <w:sz w:val="24"/>
              </w:rPr>
              <w:t xml:space="preserve"> </w:t>
            </w:r>
            <w:r>
              <w:rPr>
                <w:sz w:val="24"/>
              </w:rPr>
              <w:t xml:space="preserve">新闻发布会    </w:t>
            </w:r>
            <w:r>
              <w:rPr>
                <w:rFonts w:hint="eastAsia"/>
                <w:sz w:val="24"/>
              </w:rPr>
              <w:t xml:space="preserve"> </w:t>
            </w:r>
            <w:r>
              <w:rPr>
                <w:sz w:val="24"/>
              </w:rPr>
              <w:t xml:space="preserve"> </w:t>
            </w:r>
            <w:r>
              <w:rPr>
                <w:bCs/>
                <w:iCs/>
                <w:color w:val="000000"/>
                <w:sz w:val="24"/>
              </w:rPr>
              <w:sym w:font="Wingdings 2" w:char="00A3"/>
            </w:r>
            <w:r>
              <w:rPr>
                <w:rFonts w:hint="eastAsia"/>
                <w:bCs/>
                <w:iCs/>
                <w:color w:val="000000"/>
                <w:sz w:val="24"/>
              </w:rPr>
              <w:t xml:space="preserve"> </w:t>
            </w:r>
            <w:r>
              <w:rPr>
                <w:sz w:val="24"/>
              </w:rPr>
              <w:t xml:space="preserve">路演活动    </w:t>
            </w:r>
          </w:p>
          <w:p w14:paraId="771B53CC">
            <w:pPr>
              <w:spacing w:line="480" w:lineRule="atLeast"/>
              <w:ind w:firstLine="120" w:firstLineChars="50"/>
              <w:rPr>
                <w:bCs/>
                <w:iCs/>
                <w:color w:val="000000"/>
                <w:sz w:val="24"/>
              </w:rPr>
            </w:pPr>
            <w:r>
              <w:rPr>
                <w:bCs/>
                <w:iCs/>
                <w:color w:val="000000"/>
                <w:sz w:val="24"/>
              </w:rPr>
              <w:sym w:font="Wingdings 2" w:char="00A3"/>
            </w:r>
            <w:r>
              <w:rPr>
                <w:rFonts w:hint="eastAsia"/>
                <w:bCs/>
                <w:iCs/>
                <w:color w:val="000000"/>
                <w:sz w:val="24"/>
              </w:rPr>
              <w:t xml:space="preserve"> </w:t>
            </w:r>
            <w:r>
              <w:rPr>
                <w:sz w:val="24"/>
              </w:rPr>
              <w:t>现场</w:t>
            </w:r>
            <w:r>
              <w:rPr>
                <w:rFonts w:hint="eastAsia"/>
                <w:sz w:val="24"/>
              </w:rPr>
              <w:t>交流</w:t>
            </w:r>
            <w:r>
              <w:rPr>
                <w:sz w:val="24"/>
              </w:rPr>
              <w:t xml:space="preserve">    </w:t>
            </w:r>
            <w:r>
              <w:rPr>
                <w:rFonts w:hint="eastAsia"/>
                <w:sz w:val="24"/>
              </w:rPr>
              <w:t xml:space="preserve">   </w:t>
            </w:r>
            <w:r>
              <w:rPr>
                <w:bCs/>
                <w:iCs/>
                <w:color w:val="000000"/>
                <w:sz w:val="24"/>
              </w:rPr>
              <w:sym w:font="Wingdings 2" w:char="00A3"/>
            </w:r>
            <w:r>
              <w:rPr>
                <w:bCs/>
                <w:iCs/>
                <w:color w:val="000000"/>
                <w:sz w:val="24"/>
              </w:rPr>
              <w:t xml:space="preserve"> </w:t>
            </w:r>
            <w:r>
              <w:rPr>
                <w:rFonts w:hint="eastAsia"/>
                <w:sz w:val="24"/>
              </w:rPr>
              <w:t xml:space="preserve">电话会议        </w:t>
            </w:r>
            <w:r>
              <w:rPr>
                <w:bCs/>
                <w:iCs/>
                <w:color w:val="000000"/>
                <w:sz w:val="24"/>
              </w:rPr>
              <w:sym w:font="Wingdings 2" w:char="00A3"/>
            </w:r>
            <w:r>
              <w:rPr>
                <w:rFonts w:hint="eastAsia"/>
                <w:sz w:val="24"/>
              </w:rPr>
              <w:t xml:space="preserve"> 投资者交流会</w:t>
            </w:r>
          </w:p>
        </w:tc>
      </w:tr>
      <w:tr w14:paraId="598343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8" w:hRule="atLeast"/>
          <w:jc w:val="center"/>
        </w:trPr>
        <w:tc>
          <w:tcPr>
            <w:tcW w:w="1101" w:type="pct"/>
            <w:vAlign w:val="center"/>
          </w:tcPr>
          <w:p w14:paraId="77311E0A">
            <w:pPr>
              <w:spacing w:line="480" w:lineRule="atLeast"/>
              <w:jc w:val="center"/>
              <w:rPr>
                <w:b/>
                <w:bCs/>
                <w:iCs/>
                <w:color w:val="000000"/>
                <w:sz w:val="24"/>
              </w:rPr>
            </w:pPr>
            <w:r>
              <w:rPr>
                <w:rFonts w:hint="eastAsia" w:ascii="宋体" w:hAnsi="宋体" w:cs="宋体"/>
                <w:b/>
                <w:bCs/>
                <w:iCs/>
                <w:color w:val="000000"/>
                <w:sz w:val="24"/>
              </w:rPr>
              <w:t>参与单位及人员</w:t>
            </w:r>
          </w:p>
        </w:tc>
        <w:tc>
          <w:tcPr>
            <w:tcW w:w="3899" w:type="pct"/>
            <w:vAlign w:val="center"/>
          </w:tcPr>
          <w:p w14:paraId="2B3064FD">
            <w:pPr>
              <w:pStyle w:val="6"/>
              <w:widowControl/>
              <w:spacing w:before="156" w:beforeLines="50" w:beforeAutospacing="0" w:after="156" w:afterLines="50" w:afterAutospacing="0" w:line="400" w:lineRule="exact"/>
              <w:rPr>
                <w:rFonts w:ascii="宋体" w:hAnsi="宋体" w:eastAsia="宋体" w:cs="宋体"/>
                <w:bCs/>
                <w:iCs/>
                <w:color w:val="000000"/>
              </w:rPr>
            </w:pPr>
            <w:r>
              <w:rPr>
                <w:rFonts w:hint="eastAsia" w:ascii="宋体" w:hAnsi="宋体" w:eastAsia="宋体" w:cs="宋体"/>
                <w:bCs/>
                <w:iCs/>
                <w:color w:val="000000"/>
              </w:rPr>
              <w:t>通过网络</w:t>
            </w:r>
            <w:r>
              <w:rPr>
                <w:rFonts w:hint="eastAsia" w:ascii="宋体" w:hAnsi="宋体" w:eastAsia="宋体" w:cs="宋体"/>
                <w:bCs/>
                <w:iCs/>
                <w:color w:val="000000"/>
                <w:lang w:val="en-US" w:eastAsia="zh-CN"/>
              </w:rPr>
              <w:t>文字</w:t>
            </w:r>
            <w:r>
              <w:rPr>
                <w:rFonts w:hint="eastAsia" w:ascii="宋体" w:hAnsi="宋体" w:eastAsia="宋体" w:cs="宋体"/>
                <w:bCs/>
                <w:iCs/>
                <w:color w:val="000000"/>
              </w:rPr>
              <w:t>互动的方式参加公司</w:t>
            </w:r>
            <w:r>
              <w:rPr>
                <w:rFonts w:hint="eastAsia" w:eastAsia="宋体"/>
                <w:bCs/>
                <w:iCs/>
                <w:color w:val="000000"/>
              </w:rPr>
              <w:t>202</w:t>
            </w:r>
            <w:r>
              <w:rPr>
                <w:rFonts w:hint="eastAsia" w:eastAsia="宋体"/>
                <w:bCs/>
                <w:iCs/>
                <w:color w:val="000000"/>
                <w:lang w:val="en-US" w:eastAsia="zh-CN"/>
              </w:rPr>
              <w:t>6</w:t>
            </w:r>
            <w:r>
              <w:rPr>
                <w:rFonts w:hint="eastAsia" w:eastAsia="宋体"/>
                <w:bCs/>
                <w:iCs/>
                <w:color w:val="000000"/>
              </w:rPr>
              <w:t>年</w:t>
            </w:r>
            <w:r>
              <w:rPr>
                <w:rFonts w:hint="eastAsia" w:eastAsia="宋体"/>
                <w:bCs/>
                <w:iCs/>
                <w:color w:val="000000"/>
                <w:lang w:val="en-US" w:eastAsia="zh-CN"/>
              </w:rPr>
              <w:t>半年度</w:t>
            </w:r>
            <w:r>
              <w:rPr>
                <w:rFonts w:hint="eastAsia" w:eastAsia="宋体"/>
                <w:bCs/>
                <w:iCs/>
                <w:color w:val="000000"/>
              </w:rPr>
              <w:t>业绩说明会</w:t>
            </w:r>
            <w:r>
              <w:rPr>
                <w:rFonts w:hint="eastAsia" w:ascii="宋体" w:hAnsi="宋体" w:eastAsia="宋体" w:cs="宋体"/>
                <w:bCs/>
                <w:iCs/>
                <w:color w:val="000000"/>
              </w:rPr>
              <w:t>的投资者</w:t>
            </w:r>
          </w:p>
        </w:tc>
      </w:tr>
      <w:tr w14:paraId="5CDCE4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3" w:hRule="atLeast"/>
          <w:jc w:val="center"/>
        </w:trPr>
        <w:tc>
          <w:tcPr>
            <w:tcW w:w="1101" w:type="pct"/>
            <w:vAlign w:val="center"/>
          </w:tcPr>
          <w:p w14:paraId="2C6D2DD9">
            <w:pPr>
              <w:spacing w:line="480" w:lineRule="atLeast"/>
              <w:jc w:val="center"/>
              <w:rPr>
                <w:rFonts w:ascii="宋体" w:hAnsi="宋体" w:cs="宋体"/>
                <w:b/>
                <w:bCs/>
                <w:iCs/>
                <w:color w:val="000000"/>
                <w:sz w:val="24"/>
              </w:rPr>
            </w:pPr>
            <w:r>
              <w:rPr>
                <w:rFonts w:hint="eastAsia" w:ascii="宋体" w:hAnsi="宋体" w:cs="宋体"/>
                <w:b/>
                <w:bCs/>
                <w:iCs/>
                <w:color w:val="000000"/>
                <w:sz w:val="24"/>
              </w:rPr>
              <w:t>时间</w:t>
            </w:r>
          </w:p>
        </w:tc>
        <w:tc>
          <w:tcPr>
            <w:tcW w:w="3899" w:type="pct"/>
          </w:tcPr>
          <w:p w14:paraId="382B5AE2">
            <w:pPr>
              <w:spacing w:line="480" w:lineRule="atLeast"/>
              <w:jc w:val="left"/>
              <w:rPr>
                <w:rFonts w:ascii="宋体" w:hAnsi="宋体" w:cs="宋体"/>
                <w:bCs/>
                <w:iCs/>
                <w:color w:val="000000"/>
                <w:sz w:val="24"/>
              </w:rPr>
            </w:pPr>
            <w:r>
              <w:rPr>
                <w:rFonts w:hint="eastAsia"/>
                <w:color w:val="000000"/>
                <w:kern w:val="0"/>
                <w:sz w:val="24"/>
              </w:rPr>
              <w:t>2026年9月30日</w:t>
            </w:r>
            <w:r>
              <w:rPr>
                <w:rFonts w:hint="eastAsia" w:cs="宋体"/>
                <w:color w:val="000000"/>
                <w:kern w:val="0"/>
                <w:sz w:val="24"/>
                <w:lang w:val="en-US" w:eastAsia="zh-CN"/>
              </w:rPr>
              <w:t>上午</w:t>
            </w:r>
            <w:r>
              <w:rPr>
                <w:rFonts w:hint="eastAsia" w:cs="宋体"/>
                <w:color w:val="000000"/>
                <w:kern w:val="0"/>
                <w:sz w:val="24"/>
              </w:rPr>
              <w:t>1</w:t>
            </w:r>
            <w:r>
              <w:rPr>
                <w:rFonts w:hint="eastAsia" w:cs="宋体"/>
                <w:color w:val="000000"/>
                <w:kern w:val="0"/>
                <w:sz w:val="24"/>
                <w:lang w:val="en-US" w:eastAsia="zh-CN"/>
              </w:rPr>
              <w:t>1</w:t>
            </w:r>
            <w:r>
              <w:rPr>
                <w:rFonts w:hint="eastAsia" w:cs="宋体"/>
                <w:color w:val="000000"/>
                <w:kern w:val="0"/>
                <w:sz w:val="24"/>
              </w:rPr>
              <w:t>:</w:t>
            </w:r>
            <w:r>
              <w:rPr>
                <w:rFonts w:hint="eastAsia" w:cs="宋体"/>
                <w:color w:val="000000"/>
                <w:kern w:val="0"/>
                <w:sz w:val="24"/>
                <w:lang w:val="en-US" w:eastAsia="zh-CN"/>
              </w:rPr>
              <w:t>00</w:t>
            </w:r>
            <w:r>
              <w:rPr>
                <w:rFonts w:hint="eastAsia" w:cs="宋体"/>
                <w:color w:val="000000"/>
                <w:kern w:val="0"/>
                <w:sz w:val="24"/>
              </w:rPr>
              <w:t>-</w:t>
            </w:r>
            <w:r>
              <w:rPr>
                <w:rFonts w:hint="eastAsia" w:cs="宋体"/>
                <w:color w:val="000000"/>
                <w:kern w:val="0"/>
                <w:sz w:val="24"/>
                <w:lang w:val="en-US" w:eastAsia="zh-CN"/>
              </w:rPr>
              <w:t>12</w:t>
            </w:r>
            <w:r>
              <w:rPr>
                <w:rFonts w:hint="eastAsia" w:cs="宋体"/>
                <w:color w:val="000000"/>
                <w:kern w:val="0"/>
                <w:sz w:val="24"/>
              </w:rPr>
              <w:t>:</w:t>
            </w:r>
            <w:r>
              <w:rPr>
                <w:rFonts w:hint="eastAsia" w:cs="宋体"/>
                <w:color w:val="000000"/>
                <w:kern w:val="0"/>
                <w:sz w:val="24"/>
                <w:lang w:val="en-US" w:eastAsia="zh-CN"/>
              </w:rPr>
              <w:t>0</w:t>
            </w:r>
            <w:r>
              <w:rPr>
                <w:rFonts w:hint="eastAsia" w:cs="宋体"/>
                <w:color w:val="000000"/>
                <w:kern w:val="0"/>
                <w:sz w:val="24"/>
              </w:rPr>
              <w:t>0</w:t>
            </w:r>
          </w:p>
        </w:tc>
      </w:tr>
      <w:tr w14:paraId="3AAC9E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3" w:hRule="atLeast"/>
          <w:jc w:val="center"/>
        </w:trPr>
        <w:tc>
          <w:tcPr>
            <w:tcW w:w="1101" w:type="pct"/>
            <w:vAlign w:val="center"/>
          </w:tcPr>
          <w:p w14:paraId="3FF6D04D">
            <w:pPr>
              <w:spacing w:line="480" w:lineRule="atLeast"/>
              <w:jc w:val="center"/>
              <w:rPr>
                <w:rFonts w:ascii="宋体" w:hAnsi="宋体" w:cs="宋体"/>
                <w:b/>
                <w:bCs/>
                <w:iCs/>
                <w:color w:val="000000"/>
                <w:sz w:val="24"/>
              </w:rPr>
            </w:pPr>
            <w:r>
              <w:rPr>
                <w:rFonts w:hint="eastAsia" w:ascii="宋体" w:hAnsi="宋体" w:cs="宋体"/>
                <w:b/>
                <w:bCs/>
                <w:iCs/>
                <w:color w:val="000000"/>
                <w:sz w:val="24"/>
              </w:rPr>
              <w:t>地点</w:t>
            </w:r>
          </w:p>
        </w:tc>
        <w:tc>
          <w:tcPr>
            <w:tcW w:w="3899" w:type="pct"/>
          </w:tcPr>
          <w:p w14:paraId="305B797C">
            <w:pPr>
              <w:spacing w:line="480" w:lineRule="atLeast"/>
              <w:jc w:val="left"/>
              <w:rPr>
                <w:rFonts w:ascii="宋体" w:hAnsi="宋体" w:cs="宋体"/>
                <w:bCs/>
                <w:iCs/>
                <w:color w:val="000000"/>
                <w:sz w:val="24"/>
              </w:rPr>
            </w:pPr>
            <w:r>
              <w:rPr>
                <w:rFonts w:hint="eastAsia" w:ascii="宋体" w:hAnsi="宋体" w:cs="宋体"/>
                <w:bCs/>
                <w:iCs/>
                <w:color w:val="000000"/>
                <w:sz w:val="24"/>
              </w:rPr>
              <w:t>上证路演中心</w:t>
            </w:r>
            <w:bookmarkStart w:id="0" w:name="OLE_LINK1"/>
            <w:r>
              <w:rPr>
                <w:rFonts w:hint="eastAsia" w:ascii="宋体" w:hAnsi="宋体" w:cs="宋体"/>
                <w:bCs/>
                <w:iCs/>
                <w:color w:val="000000"/>
                <w:sz w:val="24"/>
              </w:rPr>
              <w:t>（</w:t>
            </w:r>
            <w:r>
              <w:rPr>
                <w:bCs/>
                <w:iCs/>
                <w:color w:val="000000"/>
                <w:sz w:val="24"/>
              </w:rPr>
              <w:t>roadshow.sseinfo.com</w:t>
            </w:r>
            <w:r>
              <w:rPr>
                <w:rFonts w:hint="eastAsia" w:ascii="宋体" w:hAnsi="宋体" w:cs="宋体"/>
                <w:bCs/>
                <w:iCs/>
                <w:color w:val="000000"/>
                <w:sz w:val="24"/>
              </w:rPr>
              <w:t>）</w:t>
            </w:r>
            <w:bookmarkEnd w:id="0"/>
          </w:p>
        </w:tc>
      </w:tr>
      <w:tr w14:paraId="7F0F01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3" w:hRule="atLeast"/>
          <w:jc w:val="center"/>
        </w:trPr>
        <w:tc>
          <w:tcPr>
            <w:tcW w:w="1101" w:type="pct"/>
            <w:vAlign w:val="center"/>
          </w:tcPr>
          <w:p w14:paraId="1F33913C">
            <w:pPr>
              <w:spacing w:line="480" w:lineRule="atLeast"/>
              <w:jc w:val="center"/>
              <w:rPr>
                <w:rFonts w:ascii="宋体" w:hAnsi="宋体" w:cs="宋体"/>
                <w:b/>
                <w:bCs/>
                <w:iCs/>
                <w:color w:val="000000"/>
                <w:sz w:val="24"/>
              </w:rPr>
            </w:pPr>
            <w:r>
              <w:rPr>
                <w:rFonts w:hint="eastAsia" w:ascii="宋体" w:hAnsi="宋体" w:cs="宋体"/>
                <w:b/>
                <w:bCs/>
                <w:iCs/>
                <w:color w:val="000000"/>
                <w:sz w:val="24"/>
              </w:rPr>
              <w:t>公司接待人员</w:t>
            </w:r>
          </w:p>
        </w:tc>
        <w:tc>
          <w:tcPr>
            <w:tcW w:w="3899" w:type="pct"/>
          </w:tcPr>
          <w:p w14:paraId="35377D0A">
            <w:pPr>
              <w:spacing w:line="480" w:lineRule="atLeast"/>
              <w:jc w:val="left"/>
              <w:rPr>
                <w:rFonts w:ascii="宋体" w:hAnsi="宋体" w:cs="宋体"/>
                <w:bCs/>
                <w:iCs/>
                <w:color w:val="000000"/>
                <w:sz w:val="24"/>
              </w:rPr>
            </w:pPr>
            <w:r>
              <w:rPr>
                <w:rFonts w:hint="eastAsia" w:ascii="宋体" w:hAnsi="宋体" w:cs="宋体"/>
                <w:color w:val="000000"/>
                <w:kern w:val="0"/>
                <w:sz w:val="24"/>
              </w:rPr>
              <w:t>公司董事长陈丽娜女士、</w:t>
            </w:r>
            <w:r>
              <w:rPr>
                <w:rFonts w:hint="eastAsia" w:ascii="宋体" w:hAnsi="宋体" w:cs="宋体"/>
                <w:color w:val="000000"/>
                <w:kern w:val="0"/>
                <w:sz w:val="24"/>
                <w:lang w:val="en-US" w:eastAsia="zh-CN"/>
              </w:rPr>
              <w:t>董事兼</w:t>
            </w:r>
            <w:r>
              <w:rPr>
                <w:rFonts w:hint="eastAsia" w:ascii="宋体" w:hAnsi="宋体" w:cs="宋体"/>
                <w:color w:val="000000"/>
                <w:kern w:val="0"/>
                <w:sz w:val="24"/>
              </w:rPr>
              <w:t>总经理蔡琳琳先生、独立董事</w:t>
            </w:r>
            <w:r>
              <w:rPr>
                <w:rFonts w:hint="eastAsia" w:ascii="宋体" w:hAnsi="宋体" w:cs="宋体"/>
                <w:color w:val="000000"/>
                <w:kern w:val="0"/>
                <w:sz w:val="24"/>
                <w:lang w:val="en-US" w:eastAsia="zh-CN"/>
              </w:rPr>
              <w:t>郭向东</w:t>
            </w:r>
            <w:r>
              <w:rPr>
                <w:rFonts w:hint="eastAsia" w:ascii="宋体" w:hAnsi="宋体" w:cs="宋体"/>
                <w:color w:val="000000"/>
                <w:kern w:val="0"/>
                <w:sz w:val="24"/>
              </w:rPr>
              <w:t>先生、董事会秘书黄璇女士、财务总监吴淑妃女士及相关工作人员</w:t>
            </w:r>
          </w:p>
        </w:tc>
      </w:tr>
      <w:tr w14:paraId="0FEFE6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4" w:hRule="atLeast"/>
          <w:jc w:val="center"/>
        </w:trPr>
        <w:tc>
          <w:tcPr>
            <w:tcW w:w="1101" w:type="pct"/>
            <w:vAlign w:val="center"/>
          </w:tcPr>
          <w:p w14:paraId="047BBE7D">
            <w:pPr>
              <w:spacing w:line="480" w:lineRule="atLeast"/>
              <w:jc w:val="center"/>
              <w:rPr>
                <w:rFonts w:ascii="宋体" w:hAnsi="宋体" w:cs="宋体"/>
                <w:b/>
                <w:bCs/>
                <w:iCs/>
                <w:color w:val="000000"/>
                <w:sz w:val="24"/>
              </w:rPr>
            </w:pPr>
            <w:r>
              <w:rPr>
                <w:rFonts w:hint="eastAsia" w:ascii="宋体" w:hAnsi="宋体" w:cs="宋体"/>
                <w:b/>
                <w:bCs/>
                <w:iCs/>
                <w:color w:val="000000"/>
                <w:sz w:val="24"/>
              </w:rPr>
              <w:t>投资者关系活动主要内容介绍</w:t>
            </w:r>
          </w:p>
        </w:tc>
        <w:tc>
          <w:tcPr>
            <w:tcW w:w="3899" w:type="pct"/>
          </w:tcPr>
          <w:p w14:paraId="711F2708">
            <w:pPr>
              <w:spacing w:line="360" w:lineRule="auto"/>
              <w:ind w:firstLine="480"/>
              <w:rPr>
                <w:rFonts w:hint="default" w:ascii="Times New Roman" w:hAnsi="Times New Roman" w:eastAsia="宋体" w:cs="Times New Roman"/>
                <w:sz w:val="24"/>
              </w:rPr>
            </w:pPr>
            <w:r>
              <w:rPr>
                <w:rFonts w:hint="default" w:ascii="Times New Roman" w:hAnsi="Times New Roman" w:eastAsia="宋体" w:cs="Times New Roman"/>
                <w:sz w:val="24"/>
              </w:rPr>
              <w:t>参与本次业绩说明会的公司接待人员，在法律、法规及规范性文件等相关规定允许的范围内就投资者关注的问题予以及时答复，不涉及应当披露的重大信息，公司就本次业绩说明会网络文字互动环节主要内容</w:t>
            </w:r>
            <w:r>
              <w:rPr>
                <w:rFonts w:hint="eastAsia" w:cs="Times New Roman"/>
                <w:sz w:val="24"/>
                <w:lang w:val="en-US" w:eastAsia="zh-CN"/>
              </w:rPr>
              <w:t>整理</w:t>
            </w:r>
            <w:r>
              <w:rPr>
                <w:rFonts w:hint="default" w:ascii="Times New Roman" w:hAnsi="Times New Roman" w:eastAsia="宋体" w:cs="Times New Roman"/>
                <w:sz w:val="24"/>
              </w:rPr>
              <w:t>如下：</w:t>
            </w:r>
          </w:p>
          <w:p w14:paraId="3FDE684D">
            <w:pPr>
              <w:spacing w:line="360" w:lineRule="auto"/>
              <w:ind w:firstLine="480"/>
              <w:rPr>
                <w:rFonts w:hint="default" w:ascii="Times New Roman" w:hAnsi="Times New Roman" w:cs="Times New Roman"/>
                <w:sz w:val="24"/>
                <w:lang w:eastAsia="zh-CN"/>
              </w:rPr>
            </w:pPr>
            <w:r>
              <w:rPr>
                <w:rFonts w:hint="default" w:ascii="Times New Roman" w:hAnsi="Times New Roman" w:cs="Times New Roman"/>
                <w:sz w:val="24"/>
                <w:lang w:eastAsia="zh-CN"/>
              </w:rPr>
              <w:t>1、请问公司对市值管理是怎么规划的？公司目前的合理市值应该是多少？公司是否有回购计划？</w:t>
            </w:r>
          </w:p>
          <w:p w14:paraId="13328FAA">
            <w:pPr>
              <w:spacing w:line="360" w:lineRule="auto"/>
              <w:ind w:firstLine="480"/>
              <w:rPr>
                <w:rFonts w:hint="default" w:ascii="Times New Roman" w:hAnsi="Times New Roman" w:cs="Times New Roman"/>
                <w:sz w:val="24"/>
                <w:lang w:eastAsia="zh-CN"/>
              </w:rPr>
            </w:pPr>
            <w:r>
              <w:rPr>
                <w:rFonts w:hint="default" w:ascii="Times New Roman" w:hAnsi="Times New Roman" w:cs="Times New Roman"/>
                <w:sz w:val="24"/>
                <w:lang w:eastAsia="zh-CN"/>
              </w:rPr>
              <w:t>答：公司上市以来，一方面，聚焦公司经营，坚持规范运作，强化核心业务竞争力，持续提升经营质量与盈利能力，夯实市值基本面；另一方面，积极加强投资者关系管理能力，健全信息披露与沟通机制，提高信息披露质量，有效传递公司信息，维护资本市场良好形象；同时，积极运用市值管理工具，践行</w:t>
            </w:r>
            <w:r>
              <w:rPr>
                <w:rFonts w:hint="eastAsia" w:cs="Times New Roman"/>
                <w:sz w:val="24"/>
                <w:lang w:val="en-US" w:eastAsia="zh-CN"/>
              </w:rPr>
              <w:t>市值</w:t>
            </w:r>
            <w:r>
              <w:rPr>
                <w:rFonts w:hint="default" w:ascii="Times New Roman" w:hAnsi="Times New Roman" w:cs="Times New Roman"/>
                <w:sz w:val="24"/>
                <w:lang w:eastAsia="zh-CN"/>
              </w:rPr>
              <w:t>管理工作，包括：增加现</w:t>
            </w:r>
            <w:bookmarkStart w:id="1" w:name="_GoBack"/>
            <w:bookmarkEnd w:id="1"/>
            <w:r>
              <w:rPr>
                <w:rFonts w:hint="default" w:ascii="Times New Roman" w:hAnsi="Times New Roman" w:cs="Times New Roman"/>
                <w:sz w:val="24"/>
                <w:lang w:eastAsia="zh-CN"/>
              </w:rPr>
              <w:t>金分红频次，回购股份，实施股权激励等。公司于2026年7月23日召开第五届董事会第七次（临时）会议，审议通过《关于以集中竞价方式回购公司股份方案的议案》，公司以自有资金或自筹资金不低于人民币1,000万元（含）且不超过人民币2,000万元（含），以集中竞价交易方式回购公司股份，用于员工持股计划和（或）股权激励，截至2026年8月31日，公司累计回购股份153.88万股。</w:t>
            </w:r>
          </w:p>
          <w:p w14:paraId="1F1E40D5">
            <w:pPr>
              <w:spacing w:line="360" w:lineRule="auto"/>
              <w:ind w:firstLine="480"/>
              <w:rPr>
                <w:rFonts w:hint="default" w:ascii="Times New Roman" w:hAnsi="Times New Roman" w:cs="Times New Roman"/>
                <w:sz w:val="24"/>
                <w:lang w:eastAsia="zh-CN"/>
              </w:rPr>
            </w:pPr>
            <w:r>
              <w:rPr>
                <w:rFonts w:hint="default" w:ascii="Times New Roman" w:hAnsi="Times New Roman" w:cs="Times New Roman"/>
                <w:sz w:val="24"/>
                <w:lang w:eastAsia="zh-CN"/>
              </w:rPr>
              <w:t>2、请介绍公司2026年上半年整体经营业绩情况，营业收入增长的主要驱动因素有哪些？</w:t>
            </w:r>
          </w:p>
          <w:p w14:paraId="4A030C31">
            <w:pPr>
              <w:spacing w:line="360" w:lineRule="auto"/>
              <w:ind w:firstLine="480"/>
              <w:rPr>
                <w:rFonts w:hint="default" w:ascii="Times New Roman" w:hAnsi="Times New Roman" w:cs="Times New Roman"/>
                <w:sz w:val="24"/>
                <w:lang w:eastAsia="zh-CN"/>
              </w:rPr>
            </w:pPr>
            <w:r>
              <w:rPr>
                <w:rFonts w:hint="default" w:ascii="Times New Roman" w:hAnsi="Times New Roman" w:cs="Times New Roman"/>
                <w:sz w:val="24"/>
                <w:lang w:eastAsia="zh-CN"/>
              </w:rPr>
              <w:t>答：公司2026年上半年，实现营业收入39,912.16万元，主营业务收入38,699.95万元，均较上年同期略有下滑；归属于上市公司股东的净利润7,261.86万元，较上年同期增长128.84%，公司业绩情况与行业发展趋势一致。该报告期内，公司在产品方面聚焦主业，围绕电子风扇、新国标T-BOX、塞拉门等重点产品开展研发工作，贯彻与医疗机构合作的移动医疗业务经营策略，研制移动手术医疗车、口腔诊疗车等产品；在市场方面，在维持已有业务的基础上积极挖掘增量空间，在客车、卡车和工程机械制造商领域累计获得5家客户配套资格，并与6家社区卫生院建立医疗车租赁合作关系，海外市场方面在新加坡、秘鲁等多个市场完成样品交付。</w:t>
            </w:r>
          </w:p>
          <w:p w14:paraId="08FD9004">
            <w:pPr>
              <w:spacing w:line="360" w:lineRule="auto"/>
              <w:ind w:firstLine="480"/>
              <w:rPr>
                <w:rFonts w:hint="default" w:ascii="Times New Roman" w:hAnsi="Times New Roman" w:cs="Times New Roman"/>
                <w:sz w:val="24"/>
                <w:lang w:eastAsia="zh-CN"/>
              </w:rPr>
            </w:pPr>
            <w:r>
              <w:rPr>
                <w:rFonts w:hint="default" w:ascii="Times New Roman" w:hAnsi="Times New Roman" w:cs="Times New Roman"/>
                <w:sz w:val="24"/>
                <w:lang w:eastAsia="zh-CN"/>
              </w:rPr>
              <w:t>3、公司中长期战略定位和发展方向是什么？</w:t>
            </w:r>
          </w:p>
          <w:p w14:paraId="2618CAC9">
            <w:pPr>
              <w:spacing w:line="360" w:lineRule="auto"/>
              <w:ind w:firstLine="480"/>
              <w:rPr>
                <w:rFonts w:hint="default" w:ascii="Times New Roman" w:hAnsi="Times New Roman" w:cs="Times New Roman"/>
                <w:sz w:val="24"/>
                <w:lang w:eastAsia="zh-CN"/>
              </w:rPr>
            </w:pPr>
            <w:r>
              <w:rPr>
                <w:rFonts w:hint="default" w:ascii="Times New Roman" w:hAnsi="Times New Roman" w:cs="Times New Roman"/>
                <w:sz w:val="24"/>
                <w:lang w:eastAsia="zh-CN"/>
              </w:rPr>
              <w:t>答：公司以“让出行和生活更美好”为使命，致力成为“国内商用车智能电气、数字交通及移动医疗领域的头部服务商”。</w:t>
            </w:r>
          </w:p>
          <w:p w14:paraId="4390EB98">
            <w:pPr>
              <w:spacing w:line="360" w:lineRule="auto"/>
              <w:ind w:firstLine="480"/>
              <w:rPr>
                <w:rFonts w:hint="default" w:ascii="Times New Roman" w:hAnsi="Times New Roman" w:cs="Times New Roman"/>
                <w:sz w:val="24"/>
                <w:lang w:eastAsia="zh-CN"/>
              </w:rPr>
            </w:pPr>
            <w:r>
              <w:rPr>
                <w:rFonts w:hint="default" w:ascii="Times New Roman" w:hAnsi="Times New Roman" w:cs="Times New Roman"/>
                <w:sz w:val="24"/>
                <w:lang w:eastAsia="zh-CN"/>
              </w:rPr>
              <w:t>4、你好，截止到2026年9月30日，目前股东人数？</w:t>
            </w:r>
          </w:p>
          <w:p w14:paraId="5C511B3C">
            <w:pPr>
              <w:spacing w:line="360" w:lineRule="auto"/>
              <w:ind w:firstLine="480"/>
              <w:rPr>
                <w:rFonts w:hint="default" w:ascii="Times New Roman" w:hAnsi="Times New Roman" w:cs="Times New Roman"/>
                <w:sz w:val="24"/>
                <w:lang w:val="en-US" w:eastAsia="zh-CN"/>
              </w:rPr>
            </w:pPr>
            <w:r>
              <w:rPr>
                <w:rFonts w:hint="default" w:ascii="Times New Roman" w:hAnsi="Times New Roman" w:cs="Times New Roman"/>
                <w:sz w:val="24"/>
                <w:lang w:eastAsia="zh-CN"/>
              </w:rPr>
              <w:t>答：截至2026年6月30日，公司普通股股东总数为23,449户。截至2026年9月30日的股东人数请关注公司后续依法披露的季度报告。</w:t>
            </w:r>
          </w:p>
          <w:p w14:paraId="6D1F9741">
            <w:pPr>
              <w:spacing w:line="360" w:lineRule="auto"/>
              <w:ind w:firstLine="480"/>
              <w:rPr>
                <w:rFonts w:ascii="宋体" w:hAnsi="宋体" w:cs="宋体"/>
                <w:sz w:val="24"/>
              </w:rPr>
            </w:pPr>
            <w:r>
              <w:rPr>
                <w:rFonts w:hint="eastAsia" w:ascii="宋体" w:hAnsi="宋体" w:cs="宋体"/>
                <w:sz w:val="24"/>
              </w:rPr>
              <w:t>关于本次说明会的具体情况，投资者可登录上证路演中心（</w:t>
            </w:r>
            <w:r>
              <w:rPr>
                <w:sz w:val="24"/>
              </w:rPr>
              <w:t>roadshow.sseinfo.com</w:t>
            </w:r>
            <w:r>
              <w:rPr>
                <w:rFonts w:hint="eastAsia" w:ascii="宋体" w:hAnsi="宋体" w:cs="宋体"/>
                <w:sz w:val="24"/>
              </w:rPr>
              <w:t>）查看。</w:t>
            </w:r>
          </w:p>
        </w:tc>
      </w:tr>
      <w:tr w14:paraId="4592F5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4" w:hRule="atLeast"/>
          <w:jc w:val="center"/>
        </w:trPr>
        <w:tc>
          <w:tcPr>
            <w:tcW w:w="1101" w:type="pct"/>
          </w:tcPr>
          <w:p w14:paraId="32D0A633">
            <w:pPr>
              <w:spacing w:line="480" w:lineRule="atLeast"/>
              <w:jc w:val="center"/>
              <w:rPr>
                <w:rFonts w:ascii="宋体" w:hAnsi="宋体" w:cs="宋体"/>
                <w:b/>
                <w:bCs/>
                <w:iCs/>
                <w:color w:val="000000"/>
                <w:sz w:val="24"/>
              </w:rPr>
            </w:pPr>
            <w:r>
              <w:rPr>
                <w:rFonts w:hint="eastAsia" w:ascii="宋体" w:hAnsi="宋体" w:cs="宋体"/>
                <w:b/>
                <w:bCs/>
                <w:iCs/>
                <w:color w:val="000000"/>
                <w:sz w:val="24"/>
              </w:rPr>
              <w:t>整理日期</w:t>
            </w:r>
          </w:p>
        </w:tc>
        <w:tc>
          <w:tcPr>
            <w:tcW w:w="3899" w:type="pct"/>
          </w:tcPr>
          <w:p w14:paraId="699BC78B">
            <w:pPr>
              <w:spacing w:line="480" w:lineRule="atLeast"/>
              <w:jc w:val="left"/>
              <w:rPr>
                <w:bCs/>
                <w:iCs/>
                <w:color w:val="000000"/>
                <w:sz w:val="24"/>
              </w:rPr>
            </w:pPr>
            <w:r>
              <w:rPr>
                <w:bCs/>
                <w:iCs/>
                <w:color w:val="000000"/>
                <w:sz w:val="24"/>
              </w:rPr>
              <w:t>202</w:t>
            </w:r>
            <w:r>
              <w:rPr>
                <w:rFonts w:hint="eastAsia"/>
                <w:bCs/>
                <w:iCs/>
                <w:color w:val="000000"/>
                <w:sz w:val="24"/>
                <w:lang w:val="en-US" w:eastAsia="zh-CN"/>
              </w:rPr>
              <w:t>6</w:t>
            </w:r>
            <w:r>
              <w:rPr>
                <w:bCs/>
                <w:iCs/>
                <w:color w:val="000000"/>
                <w:sz w:val="24"/>
              </w:rPr>
              <w:t>年</w:t>
            </w:r>
            <w:r>
              <w:rPr>
                <w:rFonts w:hint="eastAsia"/>
                <w:bCs/>
                <w:iCs/>
                <w:color w:val="000000"/>
                <w:sz w:val="24"/>
                <w:lang w:val="en-US" w:eastAsia="zh-CN"/>
              </w:rPr>
              <w:t>9</w:t>
            </w:r>
            <w:r>
              <w:rPr>
                <w:bCs/>
                <w:iCs/>
                <w:color w:val="000000"/>
                <w:sz w:val="24"/>
              </w:rPr>
              <w:t>月</w:t>
            </w:r>
            <w:r>
              <w:rPr>
                <w:rFonts w:hint="eastAsia"/>
                <w:bCs/>
                <w:iCs/>
                <w:color w:val="000000"/>
                <w:sz w:val="24"/>
                <w:lang w:val="en-US" w:eastAsia="zh-CN"/>
              </w:rPr>
              <w:t>30</w:t>
            </w:r>
            <w:r>
              <w:rPr>
                <w:bCs/>
                <w:iCs/>
                <w:color w:val="000000"/>
                <w:sz w:val="24"/>
              </w:rPr>
              <w:t>日</w:t>
            </w:r>
          </w:p>
        </w:tc>
      </w:tr>
    </w:tbl>
    <w:p w14:paraId="0D87C2F0"/>
    <w:sectPr>
      <w:footerReference r:id="rId3"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Wingdings 2">
    <w:panose1 w:val="05020102010507070707"/>
    <w:charset w:val="02"/>
    <w:family w:val="roman"/>
    <w:pitch w:val="default"/>
    <w:sig w:usb0="00000000" w:usb1="00000000" w:usb2="00000000" w:usb3="00000000" w:csb0="80000000" w:csb1="00000000"/>
  </w:font>
  <w:font w:name="Segoe UI Symbol">
    <w:panose1 w:val="020B0502040204020203"/>
    <w:charset w:val="00"/>
    <w:family w:val="swiss"/>
    <w:pitch w:val="default"/>
    <w:sig w:usb0="800001E3" w:usb1="1200FFEF" w:usb2="00040000" w:usb3="04000000" w:csb0="00000001" w:csb1="4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5FDFF3">
    <w:pPr>
      <w:pStyle w:val="4"/>
      <w:jc w:val="center"/>
    </w:pPr>
    <w:r>
      <w:fldChar w:fldCharType="begin"/>
    </w:r>
    <w:r>
      <w:instrText xml:space="preserve"> PAGE   \* MERGEFORMAT </w:instrText>
    </w:r>
    <w:r>
      <w:fldChar w:fldCharType="separate"/>
    </w:r>
    <w:r>
      <w:t>1</w:t>
    </w:r>
    <w: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2M0NmUwNjYxMWZjZDhjNGVlZGMwMTI5ZDRjNDg2NWMifQ=="/>
  </w:docVars>
  <w:rsids>
    <w:rsidRoot w:val="00424937"/>
    <w:rsid w:val="000660FD"/>
    <w:rsid w:val="000C72F5"/>
    <w:rsid w:val="001135BD"/>
    <w:rsid w:val="00114922"/>
    <w:rsid w:val="00140D2A"/>
    <w:rsid w:val="00160351"/>
    <w:rsid w:val="00167E28"/>
    <w:rsid w:val="00181C7C"/>
    <w:rsid w:val="001B129E"/>
    <w:rsid w:val="001E0A8C"/>
    <w:rsid w:val="001F37D2"/>
    <w:rsid w:val="00237A3A"/>
    <w:rsid w:val="002440FF"/>
    <w:rsid w:val="0026467F"/>
    <w:rsid w:val="00286794"/>
    <w:rsid w:val="00286C53"/>
    <w:rsid w:val="002B4A6A"/>
    <w:rsid w:val="002E3833"/>
    <w:rsid w:val="002F6020"/>
    <w:rsid w:val="0030290D"/>
    <w:rsid w:val="003504C4"/>
    <w:rsid w:val="00370C7E"/>
    <w:rsid w:val="003F6125"/>
    <w:rsid w:val="00406179"/>
    <w:rsid w:val="00424937"/>
    <w:rsid w:val="00443C06"/>
    <w:rsid w:val="00447659"/>
    <w:rsid w:val="00463D24"/>
    <w:rsid w:val="004850AB"/>
    <w:rsid w:val="00490553"/>
    <w:rsid w:val="004A0DA9"/>
    <w:rsid w:val="00570F02"/>
    <w:rsid w:val="005B5046"/>
    <w:rsid w:val="005C0DED"/>
    <w:rsid w:val="005F2A72"/>
    <w:rsid w:val="005F4A9C"/>
    <w:rsid w:val="00617C46"/>
    <w:rsid w:val="00632158"/>
    <w:rsid w:val="006375B6"/>
    <w:rsid w:val="00670690"/>
    <w:rsid w:val="00687F8F"/>
    <w:rsid w:val="006D1375"/>
    <w:rsid w:val="00717434"/>
    <w:rsid w:val="007500AE"/>
    <w:rsid w:val="00780188"/>
    <w:rsid w:val="0078630A"/>
    <w:rsid w:val="00790597"/>
    <w:rsid w:val="007A5969"/>
    <w:rsid w:val="008311DB"/>
    <w:rsid w:val="00865725"/>
    <w:rsid w:val="008A0F4B"/>
    <w:rsid w:val="008A3F32"/>
    <w:rsid w:val="008C04F9"/>
    <w:rsid w:val="009210AE"/>
    <w:rsid w:val="00977B41"/>
    <w:rsid w:val="00995962"/>
    <w:rsid w:val="009E1E42"/>
    <w:rsid w:val="00A008A9"/>
    <w:rsid w:val="00A54167"/>
    <w:rsid w:val="00AB2F2D"/>
    <w:rsid w:val="00AB5D82"/>
    <w:rsid w:val="00AC14A4"/>
    <w:rsid w:val="00AC1EB0"/>
    <w:rsid w:val="00B63E26"/>
    <w:rsid w:val="00B77146"/>
    <w:rsid w:val="00B800FD"/>
    <w:rsid w:val="00BA25AC"/>
    <w:rsid w:val="00BA30C2"/>
    <w:rsid w:val="00BD03F8"/>
    <w:rsid w:val="00BD6F4C"/>
    <w:rsid w:val="00BE7893"/>
    <w:rsid w:val="00CE0CC9"/>
    <w:rsid w:val="00D07144"/>
    <w:rsid w:val="00D23168"/>
    <w:rsid w:val="00D34A4F"/>
    <w:rsid w:val="00DF5BE3"/>
    <w:rsid w:val="00E01BCB"/>
    <w:rsid w:val="00E46B4A"/>
    <w:rsid w:val="00E5655F"/>
    <w:rsid w:val="00EC103B"/>
    <w:rsid w:val="00ED079F"/>
    <w:rsid w:val="00EF2611"/>
    <w:rsid w:val="00F90B3D"/>
    <w:rsid w:val="00FC6099"/>
    <w:rsid w:val="00FF21D6"/>
    <w:rsid w:val="03455B52"/>
    <w:rsid w:val="04DE114C"/>
    <w:rsid w:val="0657008A"/>
    <w:rsid w:val="0A2A7085"/>
    <w:rsid w:val="0DAE0BA6"/>
    <w:rsid w:val="0F6C2C3F"/>
    <w:rsid w:val="10F677E1"/>
    <w:rsid w:val="119A16E8"/>
    <w:rsid w:val="13CF7127"/>
    <w:rsid w:val="14F93B44"/>
    <w:rsid w:val="1CAE153A"/>
    <w:rsid w:val="1F7F3994"/>
    <w:rsid w:val="201B5C14"/>
    <w:rsid w:val="21DF022A"/>
    <w:rsid w:val="235F235F"/>
    <w:rsid w:val="23723B40"/>
    <w:rsid w:val="28150BBD"/>
    <w:rsid w:val="2AF84856"/>
    <w:rsid w:val="2B353E5D"/>
    <w:rsid w:val="2EA0798E"/>
    <w:rsid w:val="371A716A"/>
    <w:rsid w:val="38083610"/>
    <w:rsid w:val="3C0A11D2"/>
    <w:rsid w:val="3DFD5413"/>
    <w:rsid w:val="439125FD"/>
    <w:rsid w:val="451078BA"/>
    <w:rsid w:val="485C1EAF"/>
    <w:rsid w:val="48644951"/>
    <w:rsid w:val="48E7672C"/>
    <w:rsid w:val="48F01CCF"/>
    <w:rsid w:val="4AAB55FC"/>
    <w:rsid w:val="4B2D736B"/>
    <w:rsid w:val="4B8E64C9"/>
    <w:rsid w:val="4DC47ADD"/>
    <w:rsid w:val="4E0D48F5"/>
    <w:rsid w:val="4E732176"/>
    <w:rsid w:val="5C823B46"/>
    <w:rsid w:val="5EE671F7"/>
    <w:rsid w:val="66B46409"/>
    <w:rsid w:val="6E4B1546"/>
    <w:rsid w:val="6F0C44C5"/>
    <w:rsid w:val="740F37BB"/>
    <w:rsid w:val="78174AB4"/>
    <w:rsid w:val="79675312"/>
    <w:rsid w:val="7AE25EE5"/>
    <w:rsid w:val="7CBF2237"/>
    <w:rsid w:val="7DD40F9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1"/>
      <w:lang w:val="en-US" w:eastAsia="zh-CN" w:bidi="ar-SA"/>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link w:val="15"/>
    <w:semiHidden/>
    <w:unhideWhenUsed/>
    <w:qFormat/>
    <w:uiPriority w:val="99"/>
    <w:pPr>
      <w:jc w:val="left"/>
    </w:pPr>
    <w:rPr>
      <w:rFonts w:eastAsia="等线"/>
      <w:szCs w:val="24"/>
    </w:rPr>
  </w:style>
  <w:style w:type="paragraph" w:styleId="3">
    <w:name w:val="Balloon Text"/>
    <w:basedOn w:val="1"/>
    <w:link w:val="14"/>
    <w:semiHidden/>
    <w:unhideWhenUsed/>
    <w:qFormat/>
    <w:uiPriority w:val="99"/>
    <w:rPr>
      <w:rFonts w:eastAsia="等线"/>
      <w:sz w:val="18"/>
      <w:szCs w:val="18"/>
    </w:rPr>
  </w:style>
  <w:style w:type="paragraph" w:styleId="4">
    <w:name w:val="footer"/>
    <w:basedOn w:val="1"/>
    <w:link w:val="12"/>
    <w:unhideWhenUsed/>
    <w:qFormat/>
    <w:uiPriority w:val="99"/>
    <w:pPr>
      <w:tabs>
        <w:tab w:val="center" w:pos="4153"/>
        <w:tab w:val="right" w:pos="8306"/>
      </w:tabs>
      <w:snapToGrid w:val="0"/>
      <w:jc w:val="left"/>
    </w:pPr>
    <w:rPr>
      <w:kern w:val="0"/>
      <w:sz w:val="18"/>
      <w:szCs w:val="18"/>
      <w:lang w:val="zh-CN"/>
    </w:rPr>
  </w:style>
  <w:style w:type="paragraph" w:styleId="5">
    <w:name w:val="header"/>
    <w:basedOn w:val="1"/>
    <w:link w:val="13"/>
    <w:unhideWhenUsed/>
    <w:qFormat/>
    <w:uiPriority w:val="99"/>
    <w:pPr>
      <w:pBdr>
        <w:bottom w:val="single" w:color="auto" w:sz="6" w:space="1"/>
      </w:pBdr>
      <w:tabs>
        <w:tab w:val="center" w:pos="4153"/>
        <w:tab w:val="right" w:pos="8306"/>
      </w:tabs>
      <w:snapToGrid w:val="0"/>
      <w:jc w:val="center"/>
    </w:pPr>
    <w:rPr>
      <w:rFonts w:eastAsia="等线"/>
      <w:sz w:val="18"/>
      <w:szCs w:val="18"/>
    </w:rPr>
  </w:style>
  <w:style w:type="paragraph" w:styleId="6">
    <w:name w:val="Normal (Web)"/>
    <w:basedOn w:val="1"/>
    <w:unhideWhenUsed/>
    <w:qFormat/>
    <w:uiPriority w:val="99"/>
    <w:pPr>
      <w:spacing w:beforeAutospacing="1" w:afterAutospacing="1"/>
      <w:jc w:val="left"/>
    </w:pPr>
    <w:rPr>
      <w:rFonts w:eastAsia="等线"/>
      <w:kern w:val="0"/>
      <w:sz w:val="24"/>
      <w:szCs w:val="24"/>
    </w:rPr>
  </w:style>
  <w:style w:type="paragraph" w:styleId="7">
    <w:name w:val="annotation subject"/>
    <w:basedOn w:val="2"/>
    <w:next w:val="2"/>
    <w:link w:val="16"/>
    <w:semiHidden/>
    <w:unhideWhenUsed/>
    <w:qFormat/>
    <w:uiPriority w:val="99"/>
    <w:rPr>
      <w:b/>
      <w:bCs/>
    </w:rPr>
  </w:style>
  <w:style w:type="character" w:styleId="10">
    <w:name w:val="annotation reference"/>
    <w:basedOn w:val="9"/>
    <w:semiHidden/>
    <w:unhideWhenUsed/>
    <w:qFormat/>
    <w:uiPriority w:val="99"/>
    <w:rPr>
      <w:sz w:val="21"/>
      <w:szCs w:val="21"/>
    </w:rPr>
  </w:style>
  <w:style w:type="character" w:customStyle="1" w:styleId="11">
    <w:name w:val="页脚 字符"/>
    <w:basedOn w:val="9"/>
    <w:semiHidden/>
    <w:qFormat/>
    <w:uiPriority w:val="99"/>
    <w:rPr>
      <w:rFonts w:ascii="Times New Roman" w:hAnsi="Times New Roman" w:eastAsia="等线" w:cs="Times New Roman"/>
      <w:sz w:val="18"/>
      <w:szCs w:val="18"/>
    </w:rPr>
  </w:style>
  <w:style w:type="character" w:customStyle="1" w:styleId="12">
    <w:name w:val="页脚 字符1"/>
    <w:link w:val="4"/>
    <w:qFormat/>
    <w:uiPriority w:val="99"/>
    <w:rPr>
      <w:rFonts w:ascii="Times New Roman" w:hAnsi="Times New Roman" w:eastAsia="宋体" w:cs="Times New Roman"/>
      <w:kern w:val="0"/>
      <w:sz w:val="18"/>
      <w:szCs w:val="18"/>
      <w:lang w:val="zh-CN" w:eastAsia="zh-CN"/>
    </w:rPr>
  </w:style>
  <w:style w:type="character" w:customStyle="1" w:styleId="13">
    <w:name w:val="页眉 字符"/>
    <w:basedOn w:val="9"/>
    <w:link w:val="5"/>
    <w:qFormat/>
    <w:uiPriority w:val="99"/>
    <w:rPr>
      <w:rFonts w:eastAsia="等线"/>
      <w:kern w:val="2"/>
      <w:sz w:val="18"/>
      <w:szCs w:val="18"/>
    </w:rPr>
  </w:style>
  <w:style w:type="character" w:customStyle="1" w:styleId="14">
    <w:name w:val="批注框文本 字符"/>
    <w:basedOn w:val="9"/>
    <w:link w:val="3"/>
    <w:semiHidden/>
    <w:qFormat/>
    <w:uiPriority w:val="99"/>
    <w:rPr>
      <w:rFonts w:eastAsia="等线"/>
      <w:kern w:val="2"/>
      <w:sz w:val="18"/>
      <w:szCs w:val="18"/>
    </w:rPr>
  </w:style>
  <w:style w:type="character" w:customStyle="1" w:styleId="15">
    <w:name w:val="批注文字 字符"/>
    <w:basedOn w:val="9"/>
    <w:link w:val="2"/>
    <w:semiHidden/>
    <w:qFormat/>
    <w:uiPriority w:val="99"/>
    <w:rPr>
      <w:rFonts w:eastAsia="等线"/>
      <w:kern w:val="2"/>
      <w:sz w:val="21"/>
      <w:szCs w:val="24"/>
    </w:rPr>
  </w:style>
  <w:style w:type="character" w:customStyle="1" w:styleId="16">
    <w:name w:val="批注主题 字符"/>
    <w:basedOn w:val="15"/>
    <w:link w:val="7"/>
    <w:semiHidden/>
    <w:qFormat/>
    <w:uiPriority w:val="99"/>
    <w:rPr>
      <w:rFonts w:eastAsia="等线"/>
      <w:b/>
      <w:bCs/>
      <w:kern w:val="2"/>
      <w:sz w:val="21"/>
      <w:szCs w:val="24"/>
    </w:rPr>
  </w:style>
  <w:style w:type="paragraph" w:customStyle="1" w:styleId="17">
    <w:name w:val="修订1"/>
    <w:hidden/>
    <w:unhideWhenUsed/>
    <w:qFormat/>
    <w:uiPriority w:val="99"/>
    <w:rPr>
      <w:rFonts w:ascii="Times New Roman" w:hAnsi="Times New Roman" w:eastAsia="等线" w:cs="Times New Roman"/>
      <w:kern w:val="2"/>
      <w:sz w:val="21"/>
      <w:szCs w:val="24"/>
      <w:lang w:val="en-US" w:eastAsia="zh-CN" w:bidi="ar-SA"/>
    </w:rPr>
  </w:style>
  <w:style w:type="paragraph" w:customStyle="1" w:styleId="18">
    <w:name w:val="修订2"/>
    <w:hidden/>
    <w:unhideWhenUsed/>
    <w:qFormat/>
    <w:uiPriority w:val="99"/>
    <w:rPr>
      <w:rFonts w:ascii="Times New Roman" w:hAnsi="Times New Roman" w:eastAsia="宋体" w:cs="Times New Roman"/>
      <w:kern w:val="2"/>
      <w:sz w:val="21"/>
      <w:szCs w:val="21"/>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d5831fbc-9d3e-474a-acab-6d2d371a811f</errorID>
      <errorWord>法律、法规</errorWord>
      <group>L1_Word</group>
      <groupName>字词问题</groupName>
      <ability>L2_Typo</ability>
      <abilityName>字词错误</abilityName>
      <candidateList>
        <item>法律法规</item>
      </candidateList>
      <explain/>
      <paraID>711F2708</paraID>
      <start>18</start>
      <end>23</end>
      <status>unmodified</status>
      <modifiedWord/>
      <trackRevisions>false</trackRevisions>
    </reviewItem>
  </reviewItems>
  <config/>
</contractReview>
</file>

<file path=customXml/itemProps1.xml><?xml version="1.0" encoding="utf-8"?>
<ds:datastoreItem xmlns:ds="http://schemas.openxmlformats.org/officeDocument/2006/customXml" ds:itemID="{21359b5f-2fef-40bd-9d70-3c5f0fc5f7c1}">
  <ds:schemaRefs/>
</ds:datastoreItem>
</file>

<file path=docProps/app.xml><?xml version="1.0" encoding="utf-8"?>
<Properties xmlns="http://schemas.openxmlformats.org/officeDocument/2006/extended-properties" xmlns:vt="http://schemas.openxmlformats.org/officeDocument/2006/docPropsVTypes">
  <Template>Normal</Template>
  <Company>Organization</Company>
  <Pages>2</Pages>
  <Words>1190</Words>
  <Characters>1338</Characters>
  <Lines>9</Lines>
  <Paragraphs>2</Paragraphs>
  <TotalTime>1</TotalTime>
  <ScaleCrop>false</ScaleCrop>
  <LinksUpToDate>false</LinksUpToDate>
  <CharactersWithSpaces>1423</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2024-10-16T07:34:00Z</dcterms:created>
  <dc:creator>shalldo-zzhou</dc:creator>
  <cp:lastModifiedBy>Lyq</cp:lastModifiedBy>
  <cp:lastPrinted>2024-06-27T13:32:00Z</cp:lastPrinted>
  <dcterms:modified xsi:type="dcterms:W3CDTF">2026-09-30T07:17:04Z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440DA29CB8E54904BC286FB5ED5F95D3_13</vt:lpwstr>
  </property>
  <property fmtid="{D5CDD505-2E9C-101B-9397-08002B2CF9AE}" pid="4" name="KSOTemplateDocerSaveRecord">
    <vt:lpwstr>eyJoZGlkIjoiNTdmYzVkMDdjOTgxZTU5YzI4YTc0ZWUxNjg0MTJmNTMiLCJ1c2VySWQiOiI1NDE3MzU4NzkifQ==</vt:lpwstr>
  </property>
</Properties>
</file>