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D9603">
      <w:pPr>
        <w:jc w:val="center"/>
        <w:rPr>
          <w:rFonts w:ascii="Times New Roman" w:hAnsi="Times New Roman" w:eastAsia="华文楷体"/>
          <w:b/>
          <w:bCs/>
          <w:iCs/>
          <w:color w:val="000000"/>
          <w:sz w:val="24"/>
        </w:rPr>
      </w:pPr>
      <w:r>
        <w:rPr>
          <w:rFonts w:ascii="Times New Roman" w:hAnsi="Times New Roman" w:eastAsia="华文楷体"/>
          <w:bCs/>
          <w:iCs/>
          <w:color w:val="000000"/>
          <w:sz w:val="24"/>
        </w:rPr>
        <w:t>证券代码：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603092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 xml:space="preserve">               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 xml:space="preserve"> 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            证券简称：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德力佳</w:t>
      </w:r>
    </w:p>
    <w:p w14:paraId="5F60BB7E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24"/>
        </w:rPr>
      </w:pPr>
    </w:p>
    <w:p w14:paraId="1D05B8C7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32"/>
        </w:rPr>
      </w:pPr>
      <w:r>
        <w:rPr>
          <w:rFonts w:hint="eastAsia" w:ascii="Times New Roman" w:hAnsi="Times New Roman" w:eastAsia="华文楷体"/>
          <w:b/>
          <w:bCs/>
          <w:iCs/>
          <w:color w:val="000000"/>
          <w:sz w:val="32"/>
        </w:rPr>
        <w:t>德力佳传动科技（江苏）</w:t>
      </w:r>
      <w:r>
        <w:rPr>
          <w:rFonts w:ascii="Times New Roman" w:hAnsi="Times New Roman" w:eastAsia="华文楷体"/>
          <w:b/>
          <w:bCs/>
          <w:iCs/>
          <w:color w:val="000000"/>
          <w:sz w:val="32"/>
        </w:rPr>
        <w:t>股份有限公司</w:t>
      </w:r>
    </w:p>
    <w:p w14:paraId="7F8E6243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32"/>
        </w:rPr>
      </w:pPr>
      <w:r>
        <w:rPr>
          <w:rFonts w:ascii="Times New Roman" w:hAnsi="Times New Roman" w:eastAsia="华文楷体"/>
          <w:b/>
          <w:bCs/>
          <w:iCs/>
          <w:color w:val="000000"/>
          <w:sz w:val="32"/>
        </w:rPr>
        <w:t>投资者关系活动记录表</w:t>
      </w:r>
    </w:p>
    <w:p w14:paraId="145C987B">
      <w:pPr>
        <w:spacing w:line="400" w:lineRule="exact"/>
        <w:ind w:firstLine="480"/>
        <w:rPr>
          <w:rFonts w:ascii="Times New Roman" w:hAnsi="Times New Roman" w:eastAsia="华文楷体"/>
          <w:bCs/>
          <w:iCs/>
          <w:color w:val="000000"/>
          <w:sz w:val="24"/>
        </w:rPr>
      </w:pP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                                                编号：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2026-008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 w14:paraId="34295C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3F526F24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投资者关系活动类别</w:t>
            </w:r>
          </w:p>
          <w:p w14:paraId="587E845B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08A86D7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 xml:space="preserve">特定对象调研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>分析师会议</w:t>
            </w:r>
          </w:p>
          <w:p w14:paraId="407BBF2D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 xml:space="preserve">媒体采访    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业绩说明会</w:t>
            </w:r>
          </w:p>
          <w:p w14:paraId="6661F87D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 xml:space="preserve">新闻发布会  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路演活动</w:t>
            </w:r>
          </w:p>
          <w:p w14:paraId="5786B6C4">
            <w:pPr>
              <w:tabs>
                <w:tab w:val="left" w:pos="3045"/>
                <w:tab w:val="center" w:pos="3199"/>
              </w:tabs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>现场参观</w:t>
            </w: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ab/>
            </w:r>
          </w:p>
          <w:p w14:paraId="661E517F">
            <w:pPr>
              <w:tabs>
                <w:tab w:val="center" w:pos="3199"/>
              </w:tabs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其他 （</w:t>
            </w:r>
            <w:r>
              <w:rPr>
                <w:rFonts w:ascii="Times New Roman" w:hAnsi="Times New Roman" w:eastAsia="华文楷体"/>
                <w:sz w:val="24"/>
                <w:u w:val="single"/>
              </w:rPr>
              <w:t>请文字说明其他活动内容）</w:t>
            </w:r>
          </w:p>
        </w:tc>
      </w:tr>
      <w:tr w14:paraId="38808A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31C4679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56C757CF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大成基金、华创证券、南方基金、中信证券、华能投资、国金证券、BANDS Capital、华泰柏瑞基金、申万菱信、中泰证券、常州金融投资集团、华安证券、理成资产、中信建投</w:t>
            </w:r>
          </w:p>
        </w:tc>
      </w:tr>
      <w:tr w14:paraId="2D41BA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3649471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3439ECE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2026年9月</w:t>
            </w:r>
          </w:p>
        </w:tc>
      </w:tr>
      <w:tr w14:paraId="4264B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4D895D4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29CD41DE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线上会议、公司会议室、厂区</w:t>
            </w:r>
          </w:p>
        </w:tc>
      </w:tr>
      <w:tr w14:paraId="171C5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2C7C877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4065A4A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董事会秘书：陈佳海</w:t>
            </w:r>
          </w:p>
          <w:p w14:paraId="1669FB33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证券事务代表：朱灵芝</w:t>
            </w:r>
          </w:p>
          <w:p w14:paraId="7AD6A246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证券专员：汤家英</w:t>
            </w:r>
          </w:p>
        </w:tc>
      </w:tr>
      <w:tr w14:paraId="6843A2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34CDDA03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5831702B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7BA8FB9B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问题1：请介绍公司当前整体经营情况，市场份额变动以及份额提升的主要原因？</w:t>
            </w:r>
          </w:p>
          <w:p w14:paraId="1CC96F48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2026年上半年，公司整体出货实现稳步增长，行业头部集中的趋势持续显现，头部厂商合计占据国内市场主要份额，公司行业地位得到进一步巩固。公司市场份额的提升，一方面来自行业内同行竞争格局调整所释放的市场空间；另一方面，部分国有主机厂客户加大了对公司的采购规模。公司与核心战略客户维持稳定的合作关系；部分重点客户供货规模尚有进一步拓展空间；其余主流整机厂商的供货占比也处于持续增长过程中。</w:t>
            </w:r>
          </w:p>
          <w:p w14:paraId="76BEEE4D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问题2：公司如何应对价格压力，维持盈利水平，如何看待后续盈利趋势？</w:t>
            </w:r>
          </w:p>
          <w:p w14:paraId="15C8F550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2026年上半年，行业存在阶段性价格竞争，公司结合自身经营实际对市场价格变化做适度应对。公司通过多项举措对冲行业价格带来的压力，如持续优化产品结构、强化供应链管理、动态调整内外协生产安排、持续推进内部精益管理。同时，跟随国内整机厂商出海的间接出口业务，也对公司经营形成正向贡献。公司将持续依托产品结构迭代、供应链协同以及内部管理，将盈利维持在合理区间。</w:t>
            </w:r>
          </w:p>
          <w:p w14:paraId="5977C2EC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问题3、公司海上风电齿轮箱业务目前发展情况如何，在盈利、产能以及后续业务方面有怎样的规划？</w:t>
            </w:r>
          </w:p>
          <w:p w14:paraId="627DAECD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海上风电业务为公司重点布局方向，海风业务收入占比呈稳步抬升态势，海风齿轮箱相较陆风产品具备更好的盈利水平，公司在海上风电齿轮箱领域已经建立相应的市场地位。公司无锡现有生产基地能够支撑现阶段海风产品的生产交付。技术层面，公司大功率海风机型已实现批量供货，功率等级更高的海风机型也在有序开展研发迭代。后续公司将跟随国内外海上风电整体建设节奏，积极拓展海风齿轮箱业务。</w:t>
            </w:r>
          </w:p>
          <w:p w14:paraId="0AA7CADD">
            <w:pPr>
              <w:numPr>
                <w:ilvl w:val="255"/>
                <w:numId w:val="0"/>
              </w:num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问题4、市场比较关注公司海外业务，请介绍间接出口、直接出口的业务进展，海外业务盈利特点及中长期发展规划？</w:t>
            </w:r>
          </w:p>
          <w:p w14:paraId="621E3256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答：公司海外业务分为间接出口与直接出口。间接出口主要依托国内整机厂商出海实现，近年来业务占比呈上行趋势。直接出口方面，面向海外重点整机厂商的样机已经完成交付</w:t>
            </w:r>
            <w:bookmarkStart w:id="0" w:name="_GoBack"/>
            <w:bookmarkEnd w:id="0"/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。海外整机厂商供应链准入体系严格，认证周期较长。除前述客户外，公司也与其他海外头部整机企业保持技术对接与商务沟通。海外直接出口业务预计盈利水平相比国内业务具备一定优势。中长期来看，公司看好全球风电市场发展，海外业务规模有望得到进一步提升。</w:t>
            </w:r>
          </w:p>
          <w:p w14:paraId="3B7DF3F8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问题5、公司滑动轴承产品目前推广应用情况如何？</w:t>
            </w:r>
          </w:p>
          <w:p w14:paraId="6A054C0E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滑动轴承是适配风机大型化的重要技术路线。公司滑动轴承产品已实现批量供货，产品实际运行表现良好，下游应用占比持续提升。现阶段该产品更多价值体现在主机轻量化，适配更大功率等级机型。公司采取滑动轴承、滚动轴承双线并行的策略，结合下游整机厂机型迭代需求提供相匹配的传动解决方案。风电传动领域技术路线具备多元化特征，公司将持续跟踪行业技术演进方向。</w:t>
            </w:r>
          </w:p>
        </w:tc>
      </w:tr>
      <w:tr w14:paraId="70994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05C009E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关于本次活动是否涉及应当披露重大信息的说明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33481D5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本次活动不涉及未公开披露的重大信息。</w:t>
            </w:r>
          </w:p>
        </w:tc>
      </w:tr>
      <w:tr w14:paraId="52ED15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42B9C3D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6B9BCBF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无</w:t>
            </w:r>
          </w:p>
        </w:tc>
      </w:tr>
      <w:tr w14:paraId="087AF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6C676D97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56E41EB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2026年10月8日</w:t>
            </w:r>
          </w:p>
        </w:tc>
      </w:tr>
    </w:tbl>
    <w:p w14:paraId="6FB4FB4C">
      <w:pPr>
        <w:rPr>
          <w:rFonts w:ascii="Times New Roman" w:hAnsi="Times New Roman" w:eastAsia="华文楷体"/>
          <w:sz w:val="24"/>
        </w:rPr>
      </w:pPr>
    </w:p>
    <w:p w14:paraId="0D198FAB">
      <w:pPr>
        <w:widowControl/>
        <w:jc w:val="left"/>
        <w:rPr>
          <w:rFonts w:ascii="Times New Roman" w:hAnsi="Times New Roman" w:eastAsia="华文楷体"/>
          <w:sz w:val="24"/>
        </w:rPr>
      </w:pPr>
    </w:p>
    <w:p w14:paraId="28A94CB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30" w:right="1797" w:bottom="1440" w:left="1797" w:header="737" w:footer="68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D9BD3">
    <w:pPr>
      <w:pStyle w:val="3"/>
      <w:tabs>
        <w:tab w:val="left" w:pos="7410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F9C10A">
                          <w:pPr>
                            <w:pStyle w:val="3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F9C10A">
                    <w:pPr>
                      <w:pStyle w:val="3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1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1ED97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54DC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C7258">
    <w:pPr>
      <w:pStyle w:val="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DD4E1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DBF2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8BE"/>
    <w:rsid w:val="000741B3"/>
    <w:rsid w:val="00100EB6"/>
    <w:rsid w:val="002F0411"/>
    <w:rsid w:val="003E7161"/>
    <w:rsid w:val="00441BFF"/>
    <w:rsid w:val="0046311B"/>
    <w:rsid w:val="00620908"/>
    <w:rsid w:val="00741EBF"/>
    <w:rsid w:val="00747321"/>
    <w:rsid w:val="007D72EE"/>
    <w:rsid w:val="00867995"/>
    <w:rsid w:val="008D73B0"/>
    <w:rsid w:val="00C708BE"/>
    <w:rsid w:val="00F65B2F"/>
    <w:rsid w:val="04F43251"/>
    <w:rsid w:val="08C314CF"/>
    <w:rsid w:val="10A246D7"/>
    <w:rsid w:val="124B3F8E"/>
    <w:rsid w:val="152D3042"/>
    <w:rsid w:val="16287169"/>
    <w:rsid w:val="184C0154"/>
    <w:rsid w:val="192615E5"/>
    <w:rsid w:val="19895E50"/>
    <w:rsid w:val="1B987131"/>
    <w:rsid w:val="1C1547AA"/>
    <w:rsid w:val="1C7D24DE"/>
    <w:rsid w:val="1D214DD8"/>
    <w:rsid w:val="1E546BED"/>
    <w:rsid w:val="211029CC"/>
    <w:rsid w:val="23B816BF"/>
    <w:rsid w:val="27C75FB7"/>
    <w:rsid w:val="2BED6847"/>
    <w:rsid w:val="2C0F23A5"/>
    <w:rsid w:val="2DA571BC"/>
    <w:rsid w:val="2FE65FBB"/>
    <w:rsid w:val="382968F9"/>
    <w:rsid w:val="39B8407C"/>
    <w:rsid w:val="39C66EFD"/>
    <w:rsid w:val="3EBB453C"/>
    <w:rsid w:val="40C6655A"/>
    <w:rsid w:val="450D1720"/>
    <w:rsid w:val="4A407EA2"/>
    <w:rsid w:val="4AB349FE"/>
    <w:rsid w:val="4B9777E8"/>
    <w:rsid w:val="501A42CC"/>
    <w:rsid w:val="507A4098"/>
    <w:rsid w:val="582A35CD"/>
    <w:rsid w:val="5B286E5C"/>
    <w:rsid w:val="61C51130"/>
    <w:rsid w:val="657F0BB7"/>
    <w:rsid w:val="66A3227F"/>
    <w:rsid w:val="67D326A3"/>
    <w:rsid w:val="68135AD3"/>
    <w:rsid w:val="68BF5CF0"/>
    <w:rsid w:val="69FE6E15"/>
    <w:rsid w:val="6A02234F"/>
    <w:rsid w:val="6C5C26DC"/>
    <w:rsid w:val="6EA1444B"/>
    <w:rsid w:val="726E730B"/>
    <w:rsid w:val="75153B55"/>
    <w:rsid w:val="75BA6617"/>
    <w:rsid w:val="76C26CAA"/>
    <w:rsid w:val="78557CAD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annotation subject"/>
    <w:basedOn w:val="2"/>
    <w:next w:val="2"/>
    <w:link w:val="11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paragraph" w:customStyle="1" w:styleId="9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批注文字 字符"/>
    <w:basedOn w:val="7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1">
    <w:name w:val="批注主题 字符"/>
    <w:basedOn w:val="10"/>
    <w:link w:val="5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12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f44c4ffb-28f7-4639-9206-10489d5a7fa1</errorID>
      <errorWord>3、</errorWord>
      <group>L1_Format</group>
      <groupName>格式问题</groupName>
      <ability>L2_Ordinal</ability>
      <abilityName>序号格式</abilityName>
      <candidateList>
        <item>3：</item>
      </candidateList>
      <explain>标题顺序错误，请检查标题顺序是否合理。</explain>
      <paraID>3C96D47E</paraID>
      <start>2</start>
      <end>4</end>
      <status>ignored</status>
      <modifiedWord/>
      <trackRevisions>false</trackRevisions>
    </reviewItem>
    <reviewItem>
      <errorID>e296356f-8a4f-4c2c-9bef-9b37378a14a8</errorID>
      <errorWord>、</errorWord>
      <group>L1_Punc</group>
      <groupName>标点问题</groupName>
      <ability>L2_Punc_CN</ability>
      <abilityName>标点符号问题</abilityName>
      <candidateList>
        <item>：</item>
      </candidateList>
      <explain/>
      <paraID>76617091</paraID>
      <start>3</start>
      <end>4</end>
      <status>ignored</status>
      <modifiedWord/>
      <trackRevisions>false</trackRevisions>
    </reviewItem>
    <reviewItem>
      <errorID>93a05716-90e2-4afa-9deb-ddb112bde0fa</errorID>
      <errorWord>、</errorWord>
      <group>L1_Punc</group>
      <groupName>标点问题</groupName>
      <ability>L2_Punc_CN</ability>
      <abilityName>标点符号问题</abilityName>
      <candidateList>
        <item>：</item>
      </candidateList>
      <explain/>
      <paraID>72E78234</paraID>
      <start>3</start>
      <end>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130441-C36E-41AA-886B-2E7F790850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1503</Words>
  <Characters>1538</Characters>
  <Lines>50</Lines>
  <Paragraphs>40</Paragraphs>
  <TotalTime>132</TotalTime>
  <ScaleCrop>false</ScaleCrop>
  <LinksUpToDate>false</LinksUpToDate>
  <CharactersWithSpaces>1660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2026-07-22T01:34:00Z</dcterms:created>
  <dc:creator>zhulz</dc:creator>
  <cp:lastModifiedBy>zlz</cp:lastModifiedBy>
  <dcterms:modified xsi:type="dcterms:W3CDTF">2026-10-08T05:18:29Z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51DF4495E4C2494A924CD3EA1278F28B_13</vt:lpwstr>
  </property>
  <property fmtid="{D5CDD505-2E9C-101B-9397-08002B2CF9AE}" pid="4" name="KSOTemplateDocerSaveRecord">
    <vt:lpwstr>eyJoZGlkIjoiNWRjNTQwM2NmYzQ5NjYwZGNmMmE3MDk1ZmM4NzAzOGUiLCJ1c2VySWQiOiIxNDI1NTE5NjIwIn0=</vt:lpwstr>
  </property>
</Properties>
</file>