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3DB93E" w14:textId="77777777" w:rsidR="006C4BA1" w:rsidRDefault="00A1723D">
      <w:pPr>
        <w:spacing w:beforeLines="50" w:before="156" w:afterLines="50" w:after="156" w:line="400" w:lineRule="exact"/>
        <w:rPr>
          <w:rFonts w:asciiTheme="minorEastAsia" w:eastAsiaTheme="minorEastAsia" w:hAnsiTheme="minorEastAsia"/>
          <w:bCs/>
          <w:iCs/>
          <w:color w:val="000000"/>
          <w:sz w:val="24"/>
        </w:rPr>
      </w:pPr>
      <w:r>
        <w:rPr>
          <w:rFonts w:asciiTheme="minorEastAsia" w:eastAsiaTheme="minorEastAsia" w:hAnsiTheme="minorEastAsia" w:hint="eastAsia"/>
          <w:bCs/>
          <w:iCs/>
          <w:color w:val="000000"/>
          <w:sz w:val="24"/>
        </w:rPr>
        <w:t xml:space="preserve">证券代码：601127                                  </w:t>
      </w:r>
      <w:r>
        <w:rPr>
          <w:rFonts w:asciiTheme="minorEastAsia" w:eastAsiaTheme="minorEastAsia" w:hAnsiTheme="minorEastAsia"/>
          <w:bCs/>
          <w:iCs/>
          <w:color w:val="000000"/>
          <w:sz w:val="24"/>
        </w:rPr>
        <w:t xml:space="preserve">   </w:t>
      </w:r>
      <w:r>
        <w:rPr>
          <w:rFonts w:asciiTheme="minorEastAsia" w:eastAsiaTheme="minorEastAsia" w:hAnsiTheme="minorEastAsia" w:hint="eastAsia"/>
          <w:bCs/>
          <w:iCs/>
          <w:color w:val="000000"/>
          <w:sz w:val="24"/>
        </w:rPr>
        <w:t>证券简称：赛力斯</w:t>
      </w:r>
    </w:p>
    <w:p w14:paraId="2CF87071" w14:textId="77777777" w:rsidR="006C4BA1" w:rsidRDefault="006C4BA1">
      <w:pPr>
        <w:spacing w:beforeLines="50" w:before="156" w:afterLines="50" w:after="156" w:line="400" w:lineRule="exact"/>
        <w:rPr>
          <w:rFonts w:asciiTheme="minorEastAsia" w:eastAsiaTheme="minorEastAsia" w:hAnsiTheme="minorEastAsia"/>
          <w:bCs/>
          <w:iCs/>
          <w:color w:val="000000"/>
          <w:sz w:val="24"/>
        </w:rPr>
      </w:pPr>
    </w:p>
    <w:p w14:paraId="51FE6EB3" w14:textId="77777777" w:rsidR="006C4BA1" w:rsidRDefault="00A1723D">
      <w:pPr>
        <w:spacing w:beforeLines="50" w:before="156" w:afterLines="50" w:after="156" w:line="400" w:lineRule="exact"/>
        <w:jc w:val="center"/>
        <w:rPr>
          <w:rFonts w:asciiTheme="majorEastAsia" w:eastAsiaTheme="majorEastAsia" w:hAnsiTheme="majorEastAsia"/>
          <w:b/>
          <w:bCs/>
          <w:iCs/>
          <w:color w:val="000000"/>
          <w:sz w:val="32"/>
          <w:szCs w:val="32"/>
        </w:rPr>
      </w:pPr>
      <w:r>
        <w:rPr>
          <w:rFonts w:asciiTheme="majorEastAsia" w:eastAsiaTheme="majorEastAsia" w:hAnsiTheme="majorEastAsia" w:hint="eastAsia"/>
          <w:b/>
          <w:bCs/>
          <w:iCs/>
          <w:color w:val="000000"/>
          <w:sz w:val="32"/>
          <w:szCs w:val="32"/>
        </w:rPr>
        <w:t>赛力斯集团股份有限公司投资者关系活动记录表</w:t>
      </w:r>
    </w:p>
    <w:p w14:paraId="28E9A617" w14:textId="77777777" w:rsidR="006C4BA1" w:rsidRDefault="00A1723D">
      <w:pPr>
        <w:spacing w:line="400" w:lineRule="exact"/>
        <w:rPr>
          <w:rFonts w:asciiTheme="minorEastAsia" w:eastAsiaTheme="minorEastAsia" w:hAnsiTheme="minorEastAsia"/>
          <w:bCs/>
          <w:iCs/>
          <w:color w:val="000000"/>
          <w:sz w:val="24"/>
        </w:rPr>
      </w:pPr>
      <w:r>
        <w:rPr>
          <w:rFonts w:asciiTheme="minorEastAsia" w:eastAsiaTheme="minorEastAsia" w:hAnsiTheme="minorEastAsia" w:hint="eastAsia"/>
          <w:bCs/>
          <w:iCs/>
          <w:color w:val="000000"/>
          <w:sz w:val="24"/>
        </w:rPr>
        <w:t xml:space="preserve">                                                    </w:t>
      </w: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954"/>
      </w:tblGrid>
      <w:tr w:rsidR="006C4BA1" w14:paraId="66FF174F" w14:textId="77777777">
        <w:trPr>
          <w:trHeight w:val="2303"/>
        </w:trPr>
        <w:tc>
          <w:tcPr>
            <w:tcW w:w="2405" w:type="dxa"/>
            <w:tcBorders>
              <w:top w:val="single" w:sz="4" w:space="0" w:color="auto"/>
              <w:left w:val="single" w:sz="4" w:space="0" w:color="auto"/>
              <w:bottom w:val="single" w:sz="4" w:space="0" w:color="auto"/>
              <w:right w:val="single" w:sz="4" w:space="0" w:color="auto"/>
            </w:tcBorders>
            <w:vAlign w:val="center"/>
          </w:tcPr>
          <w:p w14:paraId="26958AC3" w14:textId="77777777" w:rsidR="006C4BA1" w:rsidRDefault="00A1723D">
            <w:pPr>
              <w:spacing w:line="276" w:lineRule="auto"/>
              <w:rPr>
                <w:rFonts w:asciiTheme="minorEastAsia" w:eastAsiaTheme="minorEastAsia" w:hAnsiTheme="minorEastAsia"/>
                <w:bCs/>
                <w:iCs/>
                <w:color w:val="000000"/>
                <w:sz w:val="24"/>
                <w:szCs w:val="28"/>
              </w:rPr>
            </w:pPr>
            <w:r>
              <w:rPr>
                <w:rFonts w:asciiTheme="minorEastAsia" w:eastAsiaTheme="minorEastAsia" w:hAnsiTheme="minorEastAsia" w:hint="eastAsia"/>
                <w:bCs/>
                <w:iCs/>
                <w:color w:val="000000"/>
                <w:sz w:val="24"/>
                <w:szCs w:val="28"/>
              </w:rPr>
              <w:t>投资者关系活动类别</w:t>
            </w:r>
          </w:p>
        </w:tc>
        <w:tc>
          <w:tcPr>
            <w:tcW w:w="5954" w:type="dxa"/>
            <w:tcBorders>
              <w:top w:val="single" w:sz="4" w:space="0" w:color="auto"/>
              <w:left w:val="single" w:sz="4" w:space="0" w:color="auto"/>
              <w:bottom w:val="single" w:sz="4" w:space="0" w:color="auto"/>
              <w:right w:val="single" w:sz="4" w:space="0" w:color="auto"/>
            </w:tcBorders>
            <w:vAlign w:val="center"/>
          </w:tcPr>
          <w:p w14:paraId="51F91C7A" w14:textId="77777777" w:rsidR="006C4BA1" w:rsidRDefault="00A1723D">
            <w:pPr>
              <w:spacing w:line="360" w:lineRule="auto"/>
              <w:rPr>
                <w:rFonts w:asciiTheme="minorEastAsia" w:eastAsiaTheme="minorEastAsia" w:hAnsiTheme="minorEastAsia"/>
                <w:bCs/>
                <w:iCs/>
                <w:color w:val="000000"/>
                <w:sz w:val="24"/>
                <w:szCs w:val="28"/>
              </w:rPr>
            </w:pPr>
            <w:bookmarkStart w:id="0" w:name="OLE_LINK1"/>
            <w:bookmarkStart w:id="1" w:name="OLE_LINK2"/>
            <w:r>
              <w:rPr>
                <w:rFonts w:asciiTheme="minorEastAsia" w:eastAsiaTheme="minorEastAsia" w:hAnsiTheme="minorEastAsia" w:hint="eastAsia"/>
                <w:bCs/>
                <w:iCs/>
                <w:color w:val="000000"/>
                <w:sz w:val="24"/>
                <w:szCs w:val="28"/>
              </w:rPr>
              <w:sym w:font="Wingdings 2" w:char="F0A2"/>
            </w:r>
            <w:bookmarkEnd w:id="0"/>
            <w:bookmarkEnd w:id="1"/>
            <w:r>
              <w:rPr>
                <w:rFonts w:asciiTheme="minorEastAsia" w:eastAsiaTheme="minorEastAsia" w:hAnsiTheme="minorEastAsia" w:hint="eastAsia"/>
                <w:sz w:val="24"/>
                <w:szCs w:val="28"/>
              </w:rPr>
              <w:t xml:space="preserve">特定对象调研          </w:t>
            </w:r>
            <w:r>
              <w:rPr>
                <w:rFonts w:asciiTheme="minorEastAsia" w:eastAsiaTheme="minorEastAsia" w:hAnsiTheme="minorEastAsia" w:hint="eastAsia"/>
                <w:bCs/>
                <w:iCs/>
                <w:color w:val="000000"/>
                <w:sz w:val="24"/>
                <w:szCs w:val="28"/>
              </w:rPr>
              <w:sym w:font="Wingdings 2" w:char="F0A2"/>
            </w:r>
            <w:r>
              <w:rPr>
                <w:rFonts w:asciiTheme="minorEastAsia" w:eastAsiaTheme="minorEastAsia" w:hAnsiTheme="minorEastAsia" w:hint="eastAsia"/>
                <w:sz w:val="24"/>
                <w:szCs w:val="28"/>
              </w:rPr>
              <w:t>分析师会议</w:t>
            </w:r>
          </w:p>
          <w:p w14:paraId="5CC652A7" w14:textId="77777777" w:rsidR="006C4BA1" w:rsidRDefault="00A1723D">
            <w:pPr>
              <w:spacing w:line="360" w:lineRule="auto"/>
              <w:rPr>
                <w:rFonts w:asciiTheme="minorEastAsia" w:eastAsiaTheme="minorEastAsia" w:hAnsiTheme="minorEastAsia"/>
                <w:bCs/>
                <w:iCs/>
                <w:color w:val="000000"/>
                <w:sz w:val="24"/>
                <w:szCs w:val="28"/>
              </w:rPr>
            </w:pPr>
            <w:r>
              <w:rPr>
                <w:rFonts w:asciiTheme="minorEastAsia" w:eastAsiaTheme="minorEastAsia" w:hAnsiTheme="minorEastAsia" w:hint="eastAsia"/>
                <w:bCs/>
                <w:iCs/>
                <w:color w:val="000000"/>
                <w:sz w:val="24"/>
                <w:szCs w:val="28"/>
              </w:rPr>
              <w:sym w:font="Wingdings 2" w:char="F0A3"/>
            </w:r>
            <w:r>
              <w:rPr>
                <w:rFonts w:asciiTheme="minorEastAsia" w:eastAsiaTheme="minorEastAsia" w:hAnsiTheme="minorEastAsia" w:hint="eastAsia"/>
                <w:bCs/>
                <w:iCs/>
                <w:color w:val="000000"/>
                <w:sz w:val="24"/>
                <w:szCs w:val="28"/>
              </w:rPr>
              <w:t>媒体采访</w:t>
            </w:r>
            <w:r>
              <w:rPr>
                <w:rFonts w:asciiTheme="minorEastAsia" w:eastAsiaTheme="minorEastAsia" w:hAnsiTheme="minorEastAsia" w:hint="eastAsia"/>
                <w:sz w:val="24"/>
                <w:szCs w:val="28"/>
              </w:rPr>
              <w:t xml:space="preserve">              </w:t>
            </w:r>
            <w:r>
              <w:rPr>
                <w:rFonts w:asciiTheme="minorEastAsia" w:eastAsiaTheme="minorEastAsia" w:hAnsiTheme="minorEastAsia" w:hint="eastAsia"/>
                <w:bCs/>
                <w:iCs/>
                <w:color w:val="000000"/>
                <w:sz w:val="24"/>
                <w:szCs w:val="28"/>
              </w:rPr>
              <w:sym w:font="Wingdings 2" w:char="F0A3"/>
            </w:r>
            <w:r>
              <w:rPr>
                <w:rFonts w:asciiTheme="minorEastAsia" w:eastAsiaTheme="minorEastAsia" w:hAnsiTheme="minorEastAsia" w:hint="eastAsia"/>
                <w:sz w:val="24"/>
                <w:szCs w:val="28"/>
              </w:rPr>
              <w:t>业绩说明会</w:t>
            </w:r>
          </w:p>
          <w:p w14:paraId="3F5DC4CF" w14:textId="77777777" w:rsidR="006C4BA1" w:rsidRDefault="00A1723D">
            <w:pPr>
              <w:spacing w:line="360" w:lineRule="auto"/>
              <w:rPr>
                <w:rFonts w:asciiTheme="minorEastAsia" w:eastAsiaTheme="minorEastAsia" w:hAnsiTheme="minorEastAsia"/>
                <w:bCs/>
                <w:iCs/>
                <w:color w:val="000000"/>
                <w:sz w:val="24"/>
                <w:szCs w:val="28"/>
              </w:rPr>
            </w:pPr>
            <w:r>
              <w:rPr>
                <w:rFonts w:asciiTheme="minorEastAsia" w:eastAsiaTheme="minorEastAsia" w:hAnsiTheme="minorEastAsia" w:hint="eastAsia"/>
                <w:bCs/>
                <w:iCs/>
                <w:color w:val="000000"/>
                <w:sz w:val="24"/>
                <w:szCs w:val="28"/>
              </w:rPr>
              <w:sym w:font="Wingdings 2" w:char="F0A3"/>
            </w:r>
            <w:r>
              <w:rPr>
                <w:rFonts w:asciiTheme="minorEastAsia" w:eastAsiaTheme="minorEastAsia" w:hAnsiTheme="minorEastAsia" w:hint="eastAsia"/>
                <w:sz w:val="24"/>
                <w:szCs w:val="28"/>
              </w:rPr>
              <w:t xml:space="preserve">新闻发布会           </w:t>
            </w:r>
            <w:r>
              <w:rPr>
                <w:rFonts w:asciiTheme="minorEastAsia" w:eastAsiaTheme="minorEastAsia" w:hAnsiTheme="minorEastAsia"/>
                <w:sz w:val="24"/>
                <w:szCs w:val="28"/>
              </w:rPr>
              <w:t xml:space="preserve"> </w:t>
            </w:r>
            <w:r>
              <w:rPr>
                <w:rFonts w:asciiTheme="minorEastAsia" w:eastAsiaTheme="minorEastAsia" w:hAnsiTheme="minorEastAsia" w:hint="eastAsia"/>
                <w:bCs/>
                <w:iCs/>
                <w:color w:val="000000"/>
                <w:sz w:val="24"/>
                <w:szCs w:val="28"/>
              </w:rPr>
              <w:sym w:font="Wingdings 2" w:char="F0A3"/>
            </w:r>
            <w:r>
              <w:rPr>
                <w:rFonts w:asciiTheme="minorEastAsia" w:eastAsiaTheme="minorEastAsia" w:hAnsiTheme="minorEastAsia" w:hint="eastAsia"/>
                <w:sz w:val="24"/>
                <w:szCs w:val="28"/>
              </w:rPr>
              <w:t>路演活动</w:t>
            </w:r>
          </w:p>
          <w:p w14:paraId="0B540182" w14:textId="77777777" w:rsidR="006C4BA1" w:rsidRDefault="00A1723D">
            <w:pPr>
              <w:tabs>
                <w:tab w:val="left" w:pos="3045"/>
                <w:tab w:val="center" w:pos="3199"/>
              </w:tabs>
              <w:spacing w:line="360" w:lineRule="auto"/>
              <w:rPr>
                <w:rFonts w:asciiTheme="minorEastAsia" w:eastAsiaTheme="minorEastAsia" w:hAnsiTheme="minorEastAsia"/>
                <w:bCs/>
                <w:iCs/>
                <w:color w:val="000000"/>
                <w:sz w:val="24"/>
                <w:szCs w:val="28"/>
              </w:rPr>
            </w:pPr>
            <w:r>
              <w:rPr>
                <w:rFonts w:asciiTheme="minorEastAsia" w:eastAsiaTheme="minorEastAsia" w:hAnsiTheme="minorEastAsia" w:hint="eastAsia"/>
                <w:bCs/>
                <w:iCs/>
                <w:color w:val="000000"/>
                <w:sz w:val="24"/>
                <w:szCs w:val="28"/>
              </w:rPr>
              <w:sym w:font="Wingdings 2" w:char="F0A2"/>
            </w:r>
            <w:r>
              <w:rPr>
                <w:rFonts w:asciiTheme="minorEastAsia" w:eastAsiaTheme="minorEastAsia" w:hAnsiTheme="minorEastAsia" w:hint="eastAsia"/>
                <w:sz w:val="24"/>
                <w:szCs w:val="28"/>
              </w:rPr>
              <w:t>现场参观</w:t>
            </w:r>
          </w:p>
          <w:p w14:paraId="30CA9691" w14:textId="77777777" w:rsidR="006C4BA1" w:rsidRDefault="00A1723D">
            <w:pPr>
              <w:tabs>
                <w:tab w:val="center" w:pos="3199"/>
              </w:tabs>
              <w:spacing w:line="360" w:lineRule="auto"/>
              <w:rPr>
                <w:rFonts w:asciiTheme="minorEastAsia" w:eastAsiaTheme="minorEastAsia" w:hAnsiTheme="minorEastAsia"/>
                <w:bCs/>
                <w:iCs/>
                <w:color w:val="000000"/>
                <w:sz w:val="24"/>
                <w:szCs w:val="28"/>
              </w:rPr>
            </w:pPr>
            <w:r>
              <w:rPr>
                <w:rFonts w:asciiTheme="minorEastAsia" w:eastAsiaTheme="minorEastAsia" w:hAnsiTheme="minorEastAsia" w:hint="eastAsia"/>
                <w:bCs/>
                <w:iCs/>
                <w:color w:val="000000"/>
                <w:sz w:val="24"/>
                <w:szCs w:val="28"/>
              </w:rPr>
              <w:sym w:font="Wingdings 2" w:char="F0A2"/>
            </w:r>
            <w:r>
              <w:rPr>
                <w:rFonts w:asciiTheme="minorEastAsia" w:eastAsiaTheme="minorEastAsia" w:hAnsiTheme="minorEastAsia" w:hint="eastAsia"/>
                <w:sz w:val="24"/>
                <w:szCs w:val="28"/>
              </w:rPr>
              <w:t>其他</w:t>
            </w:r>
            <w:r>
              <w:rPr>
                <w:rFonts w:asciiTheme="minorEastAsia" w:eastAsiaTheme="minorEastAsia" w:hAnsiTheme="minorEastAsia" w:hint="eastAsia"/>
                <w:sz w:val="24"/>
                <w:szCs w:val="28"/>
                <w:u w:val="single"/>
              </w:rPr>
              <w:t xml:space="preserve"> 线上会议 </w:t>
            </w:r>
          </w:p>
        </w:tc>
      </w:tr>
      <w:tr w:rsidR="006C4BA1" w14:paraId="3C61C338" w14:textId="77777777">
        <w:trPr>
          <w:trHeight w:val="1090"/>
        </w:trPr>
        <w:tc>
          <w:tcPr>
            <w:tcW w:w="2405" w:type="dxa"/>
            <w:tcBorders>
              <w:top w:val="single" w:sz="4" w:space="0" w:color="auto"/>
              <w:left w:val="single" w:sz="4" w:space="0" w:color="auto"/>
              <w:bottom w:val="single" w:sz="4" w:space="0" w:color="auto"/>
              <w:right w:val="single" w:sz="4" w:space="0" w:color="auto"/>
            </w:tcBorders>
            <w:vAlign w:val="center"/>
          </w:tcPr>
          <w:p w14:paraId="632E1B59" w14:textId="77777777" w:rsidR="006C4BA1" w:rsidRDefault="00A1723D">
            <w:pPr>
              <w:spacing w:line="276" w:lineRule="auto"/>
              <w:rPr>
                <w:rFonts w:asciiTheme="minorEastAsia" w:eastAsiaTheme="minorEastAsia" w:hAnsiTheme="minorEastAsia"/>
                <w:bCs/>
                <w:iCs/>
                <w:color w:val="000000"/>
                <w:sz w:val="24"/>
                <w:szCs w:val="28"/>
              </w:rPr>
            </w:pPr>
            <w:bookmarkStart w:id="2" w:name="_Hlk204875609"/>
            <w:r>
              <w:rPr>
                <w:rFonts w:asciiTheme="minorEastAsia" w:eastAsiaTheme="minorEastAsia" w:hAnsiTheme="minorEastAsia" w:hint="eastAsia"/>
                <w:bCs/>
                <w:iCs/>
                <w:color w:val="000000"/>
                <w:sz w:val="24"/>
                <w:szCs w:val="28"/>
              </w:rPr>
              <w:t>时间、接待对象</w:t>
            </w:r>
          </w:p>
        </w:tc>
        <w:tc>
          <w:tcPr>
            <w:tcW w:w="5954" w:type="dxa"/>
            <w:tcBorders>
              <w:top w:val="single" w:sz="4" w:space="0" w:color="auto"/>
              <w:left w:val="single" w:sz="4" w:space="0" w:color="auto"/>
              <w:bottom w:val="single" w:sz="4" w:space="0" w:color="auto"/>
              <w:right w:val="single" w:sz="4" w:space="0" w:color="auto"/>
            </w:tcBorders>
            <w:vAlign w:val="bottom"/>
          </w:tcPr>
          <w:p w14:paraId="7ADC0383" w14:textId="77777777" w:rsidR="006C4BA1" w:rsidRDefault="00A1723D">
            <w:pPr>
              <w:spacing w:line="360" w:lineRule="auto"/>
              <w:rPr>
                <w:rFonts w:asciiTheme="minorEastAsia" w:eastAsiaTheme="minorEastAsia" w:hAnsiTheme="minorEastAsia"/>
                <w:sz w:val="24"/>
                <w:szCs w:val="28"/>
              </w:rPr>
            </w:pPr>
            <w:r>
              <w:rPr>
                <w:rFonts w:asciiTheme="minorEastAsia" w:eastAsiaTheme="minorEastAsia" w:hAnsiTheme="minorEastAsia" w:hint="eastAsia"/>
                <w:sz w:val="24"/>
                <w:szCs w:val="28"/>
              </w:rPr>
              <w:t>202</w:t>
            </w:r>
            <w:r>
              <w:rPr>
                <w:rFonts w:asciiTheme="minorEastAsia" w:eastAsiaTheme="minorEastAsia" w:hAnsiTheme="minorEastAsia"/>
                <w:sz w:val="24"/>
                <w:szCs w:val="28"/>
              </w:rPr>
              <w:t>6</w:t>
            </w:r>
            <w:r>
              <w:rPr>
                <w:rFonts w:asciiTheme="minorEastAsia" w:eastAsiaTheme="minorEastAsia" w:hAnsiTheme="minorEastAsia" w:hint="eastAsia"/>
                <w:sz w:val="24"/>
                <w:szCs w:val="28"/>
              </w:rPr>
              <w:t>年</w:t>
            </w:r>
            <w:r>
              <w:rPr>
                <w:rFonts w:asciiTheme="minorEastAsia" w:eastAsiaTheme="minorEastAsia" w:hAnsiTheme="minorEastAsia"/>
                <w:sz w:val="24"/>
                <w:szCs w:val="28"/>
              </w:rPr>
              <w:t>7</w:t>
            </w:r>
            <w:r>
              <w:rPr>
                <w:rFonts w:asciiTheme="minorEastAsia" w:eastAsiaTheme="minorEastAsia" w:hAnsiTheme="minorEastAsia" w:hint="eastAsia"/>
                <w:sz w:val="24"/>
                <w:szCs w:val="28"/>
              </w:rPr>
              <w:t>-9月</w:t>
            </w:r>
          </w:p>
          <w:p w14:paraId="71BB6014" w14:textId="77777777" w:rsidR="006C4BA1" w:rsidRDefault="00A1723D">
            <w:pPr>
              <w:spacing w:line="360" w:lineRule="auto"/>
              <w:rPr>
                <w:rFonts w:asciiTheme="minorEastAsia" w:eastAsiaTheme="minorEastAsia" w:hAnsiTheme="minorEastAsia"/>
                <w:bCs/>
                <w:iCs/>
                <w:color w:val="000000"/>
                <w:sz w:val="24"/>
                <w:szCs w:val="28"/>
              </w:rPr>
            </w:pPr>
            <w:r>
              <w:rPr>
                <w:rFonts w:asciiTheme="minorEastAsia" w:eastAsiaTheme="minorEastAsia" w:hAnsiTheme="minorEastAsia" w:hint="eastAsia"/>
                <w:bCs/>
                <w:iCs/>
                <w:color w:val="000000"/>
                <w:sz w:val="24"/>
                <w:szCs w:val="28"/>
              </w:rPr>
              <w:t>摩根士丹利、摩根大通、美银、UBS、高盛、德银、招商证券、中金公司、中信证券、中信建投、东吴证券、国联民生、中泰证券、长江证券、广发证券、国海证券、国金证券、国盛证券、国泰海通、国信证券、华泰证券、华西证券、华源证券、天风证券、西部证券、西南证券、Jefferies、野村国际、银河证券、浙商证券、华创证券、开源证券、兴业证券、淡水泉、海富通、华能信托、银华基金、</w:t>
            </w:r>
            <w:r>
              <w:rPr>
                <w:rFonts w:asciiTheme="minorEastAsia" w:eastAsiaTheme="minorEastAsia" w:hAnsiTheme="minorEastAsia"/>
                <w:bCs/>
                <w:iCs/>
                <w:color w:val="000000"/>
                <w:sz w:val="24"/>
                <w:szCs w:val="28"/>
              </w:rPr>
              <w:t>WFM Asia</w:t>
            </w:r>
            <w:r>
              <w:rPr>
                <w:rFonts w:asciiTheme="minorEastAsia" w:eastAsiaTheme="minorEastAsia" w:hAnsiTheme="minorEastAsia" w:hint="eastAsia"/>
                <w:bCs/>
                <w:iCs/>
                <w:color w:val="000000"/>
                <w:sz w:val="24"/>
                <w:szCs w:val="28"/>
              </w:rPr>
              <w:t>、人保资产、</w:t>
            </w:r>
            <w:r>
              <w:rPr>
                <w:rFonts w:asciiTheme="minorEastAsia" w:eastAsiaTheme="minorEastAsia" w:hAnsiTheme="minorEastAsia"/>
                <w:bCs/>
                <w:iCs/>
                <w:color w:val="000000"/>
                <w:sz w:val="24"/>
                <w:szCs w:val="28"/>
              </w:rPr>
              <w:t>Pinpoint</w:t>
            </w:r>
            <w:r>
              <w:rPr>
                <w:rFonts w:asciiTheme="minorEastAsia" w:eastAsiaTheme="minorEastAsia" w:hAnsiTheme="minorEastAsia" w:hint="eastAsia"/>
                <w:bCs/>
                <w:iCs/>
                <w:color w:val="000000"/>
                <w:sz w:val="24"/>
                <w:szCs w:val="28"/>
              </w:rPr>
              <w:t>、</w:t>
            </w:r>
            <w:r>
              <w:rPr>
                <w:rFonts w:asciiTheme="minorEastAsia" w:eastAsiaTheme="minorEastAsia" w:hAnsiTheme="minorEastAsia"/>
                <w:bCs/>
                <w:iCs/>
                <w:color w:val="000000"/>
                <w:sz w:val="24"/>
                <w:szCs w:val="28"/>
              </w:rPr>
              <w:t>Stoneylake</w:t>
            </w:r>
            <w:r>
              <w:rPr>
                <w:rFonts w:asciiTheme="minorEastAsia" w:eastAsiaTheme="minorEastAsia" w:hAnsiTheme="minorEastAsia" w:hint="eastAsia"/>
                <w:bCs/>
                <w:iCs/>
                <w:color w:val="000000"/>
                <w:sz w:val="24"/>
                <w:szCs w:val="28"/>
              </w:rPr>
              <w:t>、</w:t>
            </w:r>
            <w:r>
              <w:rPr>
                <w:rFonts w:asciiTheme="minorEastAsia" w:eastAsiaTheme="minorEastAsia" w:hAnsiTheme="minorEastAsia"/>
                <w:bCs/>
                <w:iCs/>
                <w:color w:val="000000"/>
                <w:sz w:val="24"/>
                <w:szCs w:val="28"/>
              </w:rPr>
              <w:t>Yong Rong</w:t>
            </w:r>
            <w:r>
              <w:rPr>
                <w:rFonts w:asciiTheme="minorEastAsia" w:eastAsiaTheme="minorEastAsia" w:hAnsiTheme="minorEastAsia" w:hint="eastAsia"/>
                <w:bCs/>
                <w:iCs/>
                <w:color w:val="000000"/>
                <w:sz w:val="24"/>
                <w:szCs w:val="28"/>
              </w:rPr>
              <w:t>、</w:t>
            </w:r>
            <w:bookmarkStart w:id="3" w:name="OLE_LINK4"/>
            <w:bookmarkStart w:id="4" w:name="OLE_LINK3"/>
            <w:r>
              <w:rPr>
                <w:rFonts w:asciiTheme="minorEastAsia" w:eastAsiaTheme="minorEastAsia" w:hAnsiTheme="minorEastAsia" w:hint="eastAsia"/>
                <w:bCs/>
                <w:iCs/>
                <w:color w:val="000000"/>
                <w:sz w:val="24"/>
                <w:szCs w:val="28"/>
              </w:rPr>
              <w:t>国寿安保基金</w:t>
            </w:r>
            <w:bookmarkEnd w:id="3"/>
            <w:bookmarkEnd w:id="4"/>
            <w:r>
              <w:rPr>
                <w:rFonts w:asciiTheme="minorEastAsia" w:eastAsiaTheme="minorEastAsia" w:hAnsiTheme="minorEastAsia" w:hint="eastAsia"/>
                <w:bCs/>
                <w:iCs/>
                <w:color w:val="000000"/>
                <w:sz w:val="24"/>
                <w:szCs w:val="28"/>
              </w:rPr>
              <w:t>等</w:t>
            </w:r>
          </w:p>
        </w:tc>
      </w:tr>
      <w:bookmarkEnd w:id="2"/>
      <w:tr w:rsidR="006C4BA1" w14:paraId="4BBF1048" w14:textId="77777777">
        <w:trPr>
          <w:trHeight w:val="429"/>
        </w:trPr>
        <w:tc>
          <w:tcPr>
            <w:tcW w:w="2405" w:type="dxa"/>
            <w:tcBorders>
              <w:top w:val="single" w:sz="4" w:space="0" w:color="auto"/>
              <w:left w:val="single" w:sz="4" w:space="0" w:color="auto"/>
              <w:bottom w:val="single" w:sz="4" w:space="0" w:color="auto"/>
              <w:right w:val="single" w:sz="4" w:space="0" w:color="auto"/>
            </w:tcBorders>
            <w:vAlign w:val="center"/>
          </w:tcPr>
          <w:p w14:paraId="0D8B212D" w14:textId="77777777" w:rsidR="006C4BA1" w:rsidRDefault="00A1723D">
            <w:pPr>
              <w:spacing w:line="276" w:lineRule="auto"/>
              <w:rPr>
                <w:rFonts w:asciiTheme="minorEastAsia" w:eastAsiaTheme="minorEastAsia" w:hAnsiTheme="minorEastAsia"/>
                <w:bCs/>
                <w:iCs/>
                <w:color w:val="000000"/>
                <w:sz w:val="24"/>
                <w:szCs w:val="28"/>
              </w:rPr>
            </w:pPr>
            <w:r>
              <w:rPr>
                <w:rFonts w:asciiTheme="minorEastAsia" w:eastAsiaTheme="minorEastAsia" w:hAnsiTheme="minorEastAsia" w:hint="eastAsia"/>
                <w:bCs/>
                <w:iCs/>
                <w:color w:val="000000"/>
                <w:sz w:val="24"/>
                <w:szCs w:val="28"/>
              </w:rPr>
              <w:t>地点</w:t>
            </w:r>
          </w:p>
        </w:tc>
        <w:tc>
          <w:tcPr>
            <w:tcW w:w="5954" w:type="dxa"/>
            <w:tcBorders>
              <w:top w:val="single" w:sz="4" w:space="0" w:color="auto"/>
              <w:left w:val="single" w:sz="4" w:space="0" w:color="auto"/>
              <w:bottom w:val="single" w:sz="4" w:space="0" w:color="auto"/>
              <w:right w:val="single" w:sz="4" w:space="0" w:color="auto"/>
            </w:tcBorders>
            <w:vAlign w:val="center"/>
          </w:tcPr>
          <w:p w14:paraId="2D84690E" w14:textId="77777777" w:rsidR="006C4BA1" w:rsidRDefault="00A1723D">
            <w:pPr>
              <w:spacing w:line="360" w:lineRule="auto"/>
              <w:rPr>
                <w:rFonts w:asciiTheme="minorEastAsia" w:eastAsiaTheme="minorEastAsia" w:hAnsiTheme="minorEastAsia"/>
                <w:bCs/>
                <w:iCs/>
                <w:color w:val="000000"/>
                <w:sz w:val="24"/>
                <w:szCs w:val="28"/>
              </w:rPr>
            </w:pPr>
            <w:r>
              <w:rPr>
                <w:rFonts w:asciiTheme="minorEastAsia" w:eastAsiaTheme="minorEastAsia" w:hAnsiTheme="minorEastAsia" w:hint="eastAsia"/>
                <w:bCs/>
                <w:iCs/>
                <w:color w:val="000000"/>
                <w:sz w:val="24"/>
                <w:szCs w:val="28"/>
              </w:rPr>
              <w:t>赛力斯集团股份有限公司</w:t>
            </w:r>
          </w:p>
        </w:tc>
      </w:tr>
      <w:tr w:rsidR="006C4BA1" w14:paraId="1F88E6A0" w14:textId="77777777">
        <w:tc>
          <w:tcPr>
            <w:tcW w:w="2405" w:type="dxa"/>
            <w:tcBorders>
              <w:top w:val="single" w:sz="4" w:space="0" w:color="auto"/>
              <w:left w:val="single" w:sz="4" w:space="0" w:color="auto"/>
              <w:bottom w:val="single" w:sz="4" w:space="0" w:color="auto"/>
              <w:right w:val="single" w:sz="4" w:space="0" w:color="auto"/>
            </w:tcBorders>
            <w:vAlign w:val="center"/>
          </w:tcPr>
          <w:p w14:paraId="7BE07DF5" w14:textId="77777777" w:rsidR="006C4BA1" w:rsidRDefault="00A1723D">
            <w:pPr>
              <w:spacing w:line="276" w:lineRule="auto"/>
              <w:rPr>
                <w:rFonts w:asciiTheme="minorEastAsia" w:eastAsiaTheme="minorEastAsia" w:hAnsiTheme="minorEastAsia"/>
                <w:bCs/>
                <w:iCs/>
                <w:color w:val="000000"/>
                <w:sz w:val="24"/>
                <w:szCs w:val="28"/>
              </w:rPr>
            </w:pPr>
            <w:r>
              <w:rPr>
                <w:rFonts w:asciiTheme="minorEastAsia" w:eastAsiaTheme="minorEastAsia" w:hAnsiTheme="minorEastAsia" w:hint="eastAsia"/>
                <w:bCs/>
                <w:iCs/>
                <w:color w:val="000000"/>
                <w:sz w:val="24"/>
                <w:szCs w:val="28"/>
              </w:rPr>
              <w:t>上市公司接待人员</w:t>
            </w:r>
          </w:p>
        </w:tc>
        <w:tc>
          <w:tcPr>
            <w:tcW w:w="5954" w:type="dxa"/>
            <w:tcBorders>
              <w:top w:val="single" w:sz="4" w:space="0" w:color="auto"/>
              <w:left w:val="single" w:sz="4" w:space="0" w:color="auto"/>
              <w:bottom w:val="single" w:sz="4" w:space="0" w:color="auto"/>
              <w:right w:val="single" w:sz="4" w:space="0" w:color="auto"/>
            </w:tcBorders>
            <w:vAlign w:val="center"/>
          </w:tcPr>
          <w:p w14:paraId="6E4D1E1B" w14:textId="77777777" w:rsidR="006C4BA1" w:rsidRDefault="00A1723D">
            <w:pPr>
              <w:spacing w:line="360" w:lineRule="auto"/>
              <w:rPr>
                <w:rFonts w:asciiTheme="minorEastAsia" w:eastAsiaTheme="minorEastAsia" w:hAnsiTheme="minorEastAsia"/>
                <w:bCs/>
                <w:iCs/>
                <w:color w:val="000000"/>
                <w:sz w:val="24"/>
                <w:szCs w:val="28"/>
              </w:rPr>
            </w:pPr>
            <w:r>
              <w:rPr>
                <w:rFonts w:asciiTheme="minorEastAsia" w:eastAsiaTheme="minorEastAsia" w:hAnsiTheme="minorEastAsia" w:hint="eastAsia"/>
                <w:bCs/>
                <w:iCs/>
                <w:color w:val="000000"/>
                <w:sz w:val="24"/>
                <w:szCs w:val="28"/>
              </w:rPr>
              <w:t>公司管理层</w:t>
            </w:r>
          </w:p>
        </w:tc>
      </w:tr>
      <w:tr w:rsidR="006C4BA1" w14:paraId="5DB2C12B" w14:textId="77777777">
        <w:trPr>
          <w:trHeight w:val="983"/>
        </w:trPr>
        <w:tc>
          <w:tcPr>
            <w:tcW w:w="2405" w:type="dxa"/>
            <w:tcBorders>
              <w:top w:val="single" w:sz="4" w:space="0" w:color="auto"/>
              <w:left w:val="single" w:sz="4" w:space="0" w:color="auto"/>
              <w:bottom w:val="single" w:sz="4" w:space="0" w:color="auto"/>
              <w:right w:val="single" w:sz="4" w:space="0" w:color="auto"/>
            </w:tcBorders>
            <w:vAlign w:val="center"/>
          </w:tcPr>
          <w:p w14:paraId="6204427E" w14:textId="77777777" w:rsidR="006C4BA1" w:rsidRDefault="00A1723D">
            <w:pPr>
              <w:spacing w:line="276" w:lineRule="auto"/>
              <w:rPr>
                <w:rFonts w:asciiTheme="minorEastAsia" w:eastAsiaTheme="minorEastAsia" w:hAnsiTheme="minorEastAsia"/>
                <w:bCs/>
                <w:iCs/>
                <w:color w:val="000000"/>
                <w:sz w:val="24"/>
                <w:szCs w:val="28"/>
              </w:rPr>
            </w:pPr>
            <w:r>
              <w:rPr>
                <w:rFonts w:asciiTheme="minorEastAsia" w:eastAsiaTheme="minorEastAsia" w:hAnsiTheme="minorEastAsia" w:hint="eastAsia"/>
                <w:bCs/>
                <w:iCs/>
                <w:color w:val="000000"/>
                <w:sz w:val="24"/>
                <w:szCs w:val="28"/>
              </w:rPr>
              <w:t>投资者关系活动主要内容介绍</w:t>
            </w:r>
          </w:p>
        </w:tc>
        <w:tc>
          <w:tcPr>
            <w:tcW w:w="5954" w:type="dxa"/>
            <w:tcBorders>
              <w:top w:val="single" w:sz="4" w:space="0" w:color="auto"/>
              <w:left w:val="single" w:sz="4" w:space="0" w:color="auto"/>
              <w:bottom w:val="single" w:sz="4" w:space="0" w:color="auto"/>
              <w:right w:val="single" w:sz="4" w:space="0" w:color="auto"/>
            </w:tcBorders>
            <w:vAlign w:val="center"/>
          </w:tcPr>
          <w:p w14:paraId="5877C8B8" w14:textId="77777777" w:rsidR="006C4BA1" w:rsidRDefault="00A1723D">
            <w:pPr>
              <w:spacing w:line="360" w:lineRule="auto"/>
              <w:ind w:firstLineChars="200" w:firstLine="480"/>
              <w:rPr>
                <w:rFonts w:asciiTheme="minorEastAsia" w:eastAsiaTheme="minorEastAsia" w:hAnsiTheme="minorEastAsia"/>
                <w:iCs/>
                <w:color w:val="000000"/>
                <w:sz w:val="24"/>
                <w:szCs w:val="28"/>
              </w:rPr>
            </w:pPr>
            <w:r>
              <w:rPr>
                <w:rFonts w:asciiTheme="minorEastAsia" w:eastAsiaTheme="minorEastAsia" w:hAnsiTheme="minorEastAsia" w:hint="eastAsia"/>
                <w:iCs/>
                <w:color w:val="000000"/>
                <w:sz w:val="24"/>
                <w:szCs w:val="28"/>
              </w:rPr>
              <w:t>Q1：公司的产品情况</w:t>
            </w:r>
          </w:p>
          <w:p w14:paraId="065C18BC" w14:textId="77777777" w:rsidR="006C4BA1" w:rsidRDefault="00A1723D">
            <w:pPr>
              <w:spacing w:line="360" w:lineRule="auto"/>
              <w:ind w:firstLineChars="200" w:firstLine="480"/>
              <w:rPr>
                <w:rFonts w:asciiTheme="minorEastAsia" w:eastAsiaTheme="minorEastAsia" w:hAnsiTheme="minorEastAsia"/>
                <w:iCs/>
                <w:color w:val="000000"/>
                <w:sz w:val="24"/>
                <w:szCs w:val="28"/>
              </w:rPr>
            </w:pPr>
            <w:r>
              <w:rPr>
                <w:rFonts w:asciiTheme="minorEastAsia" w:eastAsiaTheme="minorEastAsia" w:hAnsiTheme="minorEastAsia" w:hint="eastAsia"/>
                <w:iCs/>
                <w:color w:val="000000"/>
                <w:sz w:val="24"/>
                <w:szCs w:val="28"/>
              </w:rPr>
              <w:t>A：公司坚定软件定义汽车的技术路线，聚合全球领先技术，定义科技豪华，打造市场认可、用户喜爱的新豪华汽车产品。问界在售产品包括问界M9、问界M8、问界M7、问界M6、问界M5，已覆盖不同价格带。全新一代问界M9作为全面进化的车型，在辅助驾驶、底盘架构、动力性能、车身尺寸等维度完成全方位升级。新车</w:t>
            </w:r>
            <w:r>
              <w:rPr>
                <w:rFonts w:asciiTheme="minorEastAsia" w:eastAsiaTheme="minorEastAsia" w:hAnsiTheme="minorEastAsia" w:hint="eastAsia"/>
                <w:iCs/>
                <w:color w:val="000000"/>
                <w:sz w:val="24"/>
                <w:szCs w:val="28"/>
              </w:rPr>
              <w:lastRenderedPageBreak/>
              <w:t>首次搭载六颗激光雷达与华为乾崑智驾ADS 5.0系统，配备双腔双阀空气悬架、后轮转向，同时延续增程、纯电双动力布局，综合产品实力实现进阶。自上市以来，深受用户喜爱，交付1</w:t>
            </w:r>
            <w:r>
              <w:rPr>
                <w:rFonts w:asciiTheme="minorEastAsia" w:eastAsiaTheme="minorEastAsia" w:hAnsiTheme="minorEastAsia"/>
                <w:iCs/>
                <w:color w:val="000000"/>
                <w:sz w:val="24"/>
                <w:szCs w:val="28"/>
              </w:rPr>
              <w:t>6</w:t>
            </w:r>
            <w:r>
              <w:rPr>
                <w:rFonts w:asciiTheme="minorEastAsia" w:eastAsiaTheme="minorEastAsia" w:hAnsiTheme="minorEastAsia" w:hint="eastAsia"/>
                <w:iCs/>
                <w:color w:val="000000"/>
                <w:sz w:val="24"/>
                <w:szCs w:val="28"/>
              </w:rPr>
              <w:t>周累计交付突破</w:t>
            </w:r>
            <w:r>
              <w:rPr>
                <w:rFonts w:asciiTheme="minorEastAsia" w:eastAsiaTheme="minorEastAsia" w:hAnsiTheme="minorEastAsia"/>
                <w:iCs/>
                <w:color w:val="000000"/>
                <w:sz w:val="24"/>
                <w:szCs w:val="28"/>
              </w:rPr>
              <w:t>4</w:t>
            </w:r>
            <w:r>
              <w:rPr>
                <w:rFonts w:asciiTheme="minorEastAsia" w:eastAsiaTheme="minorEastAsia" w:hAnsiTheme="minorEastAsia" w:hint="eastAsia"/>
                <w:iCs/>
                <w:color w:val="000000"/>
                <w:sz w:val="24"/>
                <w:szCs w:val="28"/>
              </w:rPr>
              <w:t>万台。2</w:t>
            </w:r>
            <w:r>
              <w:rPr>
                <w:rFonts w:asciiTheme="minorEastAsia" w:eastAsiaTheme="minorEastAsia" w:hAnsiTheme="minorEastAsia"/>
                <w:iCs/>
                <w:color w:val="000000"/>
                <w:sz w:val="24"/>
                <w:szCs w:val="28"/>
              </w:rPr>
              <w:t>026</w:t>
            </w:r>
            <w:r>
              <w:rPr>
                <w:rFonts w:asciiTheme="minorEastAsia" w:eastAsiaTheme="minorEastAsia" w:hAnsiTheme="minorEastAsia" w:hint="eastAsia"/>
                <w:iCs/>
                <w:color w:val="000000"/>
                <w:sz w:val="24"/>
                <w:szCs w:val="28"/>
              </w:rPr>
              <w:t>年9月12日，问界M9 Ultimate版本也开启交付，来自全国各地的用户走进生产车间，近距离感受问界汽车智能制造全过程，并亲自参与爱车终检验收。</w:t>
            </w:r>
          </w:p>
          <w:p w14:paraId="51431874" w14:textId="77777777" w:rsidR="006C4BA1" w:rsidRDefault="00A1723D">
            <w:pPr>
              <w:spacing w:line="360" w:lineRule="auto"/>
              <w:ind w:firstLineChars="200" w:firstLine="480"/>
              <w:rPr>
                <w:rFonts w:asciiTheme="minorEastAsia" w:eastAsiaTheme="minorEastAsia" w:hAnsiTheme="minorEastAsia"/>
                <w:iCs/>
                <w:color w:val="000000"/>
                <w:sz w:val="24"/>
                <w:szCs w:val="28"/>
              </w:rPr>
            </w:pPr>
            <w:r>
              <w:rPr>
                <w:rFonts w:asciiTheme="minorEastAsia" w:eastAsiaTheme="minorEastAsia" w:hAnsiTheme="minorEastAsia" w:hint="eastAsia"/>
                <w:iCs/>
                <w:color w:val="000000"/>
                <w:sz w:val="24"/>
                <w:szCs w:val="28"/>
              </w:rPr>
              <w:t>公司全栈自研的赛力斯魔方技术平台具备全栈式多动力兼容能力，可兼容超级增程、纯电及混动等多种动力形式，并支持B级至D级轿车、SUV、MPV 多车型、多尺寸开发，同时支持平台化、模块化的柔性生产。高端新能源SUV是目前销量保持增长和用户高度认可的优质赛道，公司在该赛道已积累大单品优势与用户口碑。下一阶段的重点，公司将更加重视车辆黄金使用周期的经营，把每一款产品长期经营好，确保每一款产品的黄金使用周期，重点提升各车型的稳定销量贡献和经营效率，并坚持大单品战略，在巩固高端SUV优势基础上，择机进入轿车、MPV等产品市场。</w:t>
            </w:r>
          </w:p>
          <w:p w14:paraId="162D8844" w14:textId="77777777" w:rsidR="006C4BA1" w:rsidRDefault="006C4BA1">
            <w:pPr>
              <w:numPr>
                <w:ilvl w:val="255"/>
                <w:numId w:val="0"/>
              </w:numPr>
              <w:spacing w:line="360" w:lineRule="auto"/>
              <w:ind w:firstLineChars="200" w:firstLine="480"/>
              <w:rPr>
                <w:rFonts w:asciiTheme="minorEastAsia" w:eastAsiaTheme="minorEastAsia" w:hAnsiTheme="minorEastAsia"/>
                <w:iCs/>
                <w:color w:val="000000"/>
                <w:sz w:val="24"/>
                <w:szCs w:val="28"/>
              </w:rPr>
            </w:pPr>
          </w:p>
          <w:p w14:paraId="6BD1535F" w14:textId="77777777" w:rsidR="006C4BA1" w:rsidRDefault="00A1723D">
            <w:pPr>
              <w:spacing w:line="360" w:lineRule="auto"/>
              <w:ind w:firstLineChars="200" w:firstLine="480"/>
              <w:rPr>
                <w:rFonts w:asciiTheme="minorEastAsia" w:eastAsiaTheme="minorEastAsia" w:hAnsiTheme="minorEastAsia"/>
                <w:iCs/>
                <w:color w:val="000000"/>
                <w:sz w:val="24"/>
                <w:szCs w:val="28"/>
              </w:rPr>
            </w:pPr>
            <w:r>
              <w:rPr>
                <w:rFonts w:asciiTheme="minorEastAsia" w:eastAsiaTheme="minorEastAsia" w:hAnsiTheme="minorEastAsia" w:hint="eastAsia"/>
                <w:iCs/>
                <w:color w:val="000000"/>
                <w:sz w:val="24"/>
                <w:szCs w:val="28"/>
              </w:rPr>
              <w:t>Q2：公司近期经营业绩情况</w:t>
            </w:r>
          </w:p>
          <w:p w14:paraId="1728B9B0" w14:textId="77777777" w:rsidR="006C4BA1" w:rsidRDefault="00A1723D">
            <w:pPr>
              <w:numPr>
                <w:ilvl w:val="255"/>
                <w:numId w:val="0"/>
              </w:numPr>
              <w:spacing w:line="360" w:lineRule="auto"/>
              <w:ind w:firstLineChars="200" w:firstLine="480"/>
              <w:rPr>
                <w:rFonts w:asciiTheme="minorEastAsia" w:eastAsiaTheme="minorEastAsia" w:hAnsiTheme="minorEastAsia"/>
                <w:iCs/>
                <w:color w:val="000000"/>
                <w:sz w:val="24"/>
                <w:szCs w:val="28"/>
              </w:rPr>
            </w:pPr>
            <w:r>
              <w:rPr>
                <w:rFonts w:asciiTheme="minorEastAsia" w:eastAsiaTheme="minorEastAsia" w:hAnsiTheme="minorEastAsia" w:hint="eastAsia"/>
                <w:iCs/>
                <w:color w:val="000000"/>
                <w:sz w:val="24"/>
                <w:szCs w:val="28"/>
              </w:rPr>
              <w:t>A：2026年上半年，受上游原材料价格上涨及资产减值计提影响，公司利润承受阶段性压力。但公司坚持以“高安全、高可靠、高性能、高品质、高价值”的五高标准造好高端车，坚守市场认可的高端供应链标准。</w:t>
            </w:r>
          </w:p>
          <w:p w14:paraId="3DCED122" w14:textId="77777777" w:rsidR="006C4BA1" w:rsidRDefault="00A1723D">
            <w:pPr>
              <w:numPr>
                <w:ilvl w:val="255"/>
                <w:numId w:val="0"/>
              </w:numPr>
              <w:spacing w:line="360" w:lineRule="auto"/>
              <w:ind w:firstLineChars="200" w:firstLine="480"/>
              <w:rPr>
                <w:rFonts w:asciiTheme="minorEastAsia" w:eastAsiaTheme="minorEastAsia" w:hAnsiTheme="minorEastAsia"/>
                <w:iCs/>
                <w:color w:val="000000"/>
                <w:sz w:val="24"/>
                <w:szCs w:val="28"/>
              </w:rPr>
            </w:pPr>
            <w:r>
              <w:rPr>
                <w:rFonts w:asciiTheme="minorEastAsia" w:eastAsiaTheme="minorEastAsia" w:hAnsiTheme="minorEastAsia" w:hint="eastAsia"/>
                <w:iCs/>
                <w:color w:val="000000"/>
                <w:sz w:val="24"/>
                <w:szCs w:val="28"/>
              </w:rPr>
              <w:t>下半年公司将从供应链和费用管控两端推进提质增效。供应链端统筹成本管控，依托大宗物料锁价对冲价格波动，通过工艺改进提升材料利用效率。同时，公司加强全口径费用管控，严控非必要支出，并优化产品结构，持续跟踪经营情况，力争尽快实现扭亏为盈。</w:t>
            </w:r>
          </w:p>
          <w:p w14:paraId="38A271BB" w14:textId="77777777" w:rsidR="006C4BA1" w:rsidRDefault="006C4BA1">
            <w:pPr>
              <w:spacing w:line="360" w:lineRule="auto"/>
              <w:ind w:firstLineChars="200" w:firstLine="480"/>
              <w:rPr>
                <w:rFonts w:asciiTheme="minorEastAsia" w:eastAsiaTheme="minorEastAsia" w:hAnsiTheme="minorEastAsia"/>
                <w:iCs/>
                <w:color w:val="000000"/>
                <w:sz w:val="24"/>
                <w:szCs w:val="28"/>
              </w:rPr>
            </w:pPr>
          </w:p>
          <w:p w14:paraId="520E1DFF" w14:textId="77777777" w:rsidR="006C4BA1" w:rsidRDefault="00A1723D">
            <w:pPr>
              <w:spacing w:line="360" w:lineRule="auto"/>
              <w:ind w:firstLineChars="200" w:firstLine="480"/>
              <w:rPr>
                <w:rFonts w:asciiTheme="minorEastAsia" w:eastAsiaTheme="minorEastAsia" w:hAnsiTheme="minorEastAsia"/>
                <w:iCs/>
                <w:color w:val="000000"/>
                <w:sz w:val="24"/>
                <w:szCs w:val="28"/>
              </w:rPr>
            </w:pPr>
            <w:r>
              <w:rPr>
                <w:rFonts w:asciiTheme="minorEastAsia" w:eastAsiaTheme="minorEastAsia" w:hAnsiTheme="minorEastAsia" w:hint="eastAsia"/>
                <w:iCs/>
                <w:color w:val="000000"/>
                <w:sz w:val="24"/>
                <w:szCs w:val="28"/>
              </w:rPr>
              <w:t>Q</w:t>
            </w:r>
            <w:r>
              <w:rPr>
                <w:rFonts w:asciiTheme="minorEastAsia" w:eastAsiaTheme="minorEastAsia" w:hAnsiTheme="minorEastAsia"/>
                <w:iCs/>
                <w:color w:val="000000"/>
                <w:sz w:val="24"/>
                <w:szCs w:val="28"/>
              </w:rPr>
              <w:t>3</w:t>
            </w:r>
            <w:r>
              <w:rPr>
                <w:rFonts w:asciiTheme="minorEastAsia" w:eastAsiaTheme="minorEastAsia" w:hAnsiTheme="minorEastAsia" w:hint="eastAsia"/>
                <w:iCs/>
                <w:color w:val="000000"/>
                <w:sz w:val="24"/>
                <w:szCs w:val="28"/>
              </w:rPr>
              <w:t>：公司的研发投入情况</w:t>
            </w:r>
          </w:p>
          <w:p w14:paraId="589AEAD1" w14:textId="77777777" w:rsidR="006C4BA1" w:rsidRDefault="00A1723D">
            <w:pPr>
              <w:spacing w:line="360" w:lineRule="auto"/>
              <w:ind w:firstLineChars="200" w:firstLine="480"/>
              <w:rPr>
                <w:rFonts w:asciiTheme="minorEastAsia" w:eastAsiaTheme="minorEastAsia" w:hAnsiTheme="minorEastAsia"/>
                <w:iCs/>
                <w:color w:val="000000"/>
                <w:sz w:val="24"/>
                <w:szCs w:val="28"/>
              </w:rPr>
            </w:pPr>
            <w:r>
              <w:rPr>
                <w:rFonts w:asciiTheme="minorEastAsia" w:eastAsiaTheme="minorEastAsia" w:hAnsiTheme="minorEastAsia" w:hint="eastAsia"/>
                <w:iCs/>
                <w:color w:val="000000"/>
                <w:sz w:val="24"/>
                <w:szCs w:val="28"/>
              </w:rPr>
              <w:t>A：作为一家技术科技型企业，公司以自主创新夯实技术底座，以融合创新实现能力跃升，公司的研发投入主要投向大单品打造、平台技术体系及前瞻技术等关键领域。</w:t>
            </w:r>
          </w:p>
          <w:p w14:paraId="1B41EDF7" w14:textId="77777777" w:rsidR="006C4BA1" w:rsidRDefault="00A1723D">
            <w:pPr>
              <w:spacing w:line="360" w:lineRule="auto"/>
              <w:ind w:firstLineChars="200" w:firstLine="480"/>
              <w:rPr>
                <w:rFonts w:asciiTheme="minorEastAsia" w:eastAsiaTheme="minorEastAsia" w:hAnsiTheme="minorEastAsia"/>
                <w:iCs/>
                <w:color w:val="000000"/>
                <w:sz w:val="24"/>
                <w:szCs w:val="28"/>
              </w:rPr>
            </w:pPr>
            <w:r>
              <w:rPr>
                <w:rFonts w:asciiTheme="minorEastAsia" w:eastAsiaTheme="minorEastAsia" w:hAnsiTheme="minorEastAsia" w:hint="eastAsia"/>
                <w:iCs/>
                <w:color w:val="000000"/>
                <w:sz w:val="24"/>
                <w:szCs w:val="28"/>
              </w:rPr>
              <w:t>大单品打造方面，问界已形成覆盖问界M5、问界M6、问界M7、问界M8、问界M9 高端SUV产品矩阵，并围绕用户需求不断创新和升级。平台技术方面，公司推动魔方技术平台持续进阶，为多车型高效开发、先进技术的规模化量产提供有力支撑。前瞻技术方面，公司持续开展智能化、电动化以及创新业务等前沿领域的技术探索，持续构建面向未来的核心竞争力。</w:t>
            </w:r>
          </w:p>
          <w:p w14:paraId="59D05108" w14:textId="77777777" w:rsidR="006C4BA1" w:rsidRDefault="00A1723D">
            <w:pPr>
              <w:spacing w:line="360" w:lineRule="auto"/>
              <w:ind w:firstLineChars="200" w:firstLine="480"/>
              <w:rPr>
                <w:rFonts w:asciiTheme="minorEastAsia" w:eastAsiaTheme="minorEastAsia" w:hAnsiTheme="minorEastAsia"/>
                <w:iCs/>
                <w:color w:val="000000"/>
                <w:sz w:val="24"/>
                <w:szCs w:val="28"/>
              </w:rPr>
            </w:pPr>
            <w:r>
              <w:rPr>
                <w:rFonts w:asciiTheme="minorEastAsia" w:eastAsiaTheme="minorEastAsia" w:hAnsiTheme="minorEastAsia" w:hint="eastAsia"/>
                <w:iCs/>
                <w:color w:val="000000"/>
                <w:sz w:val="24"/>
                <w:szCs w:val="28"/>
              </w:rPr>
              <w:t>2026年上半年，公司依托统一的平台化技术底座，搭建了“全域大脑+备份小脑”的多维冗余电子电气架构，量产2.0T高功率增程器及高性能三电机，实现增程与纯电全域800V高压平台技术突破，同时全新一代问界M9完成整车全维度体验升级，整车搭载超140项全新技术，其中40余项为行业首创。</w:t>
            </w:r>
          </w:p>
          <w:p w14:paraId="643B838A" w14:textId="77777777" w:rsidR="006C4BA1" w:rsidRDefault="006C4BA1" w:rsidP="00526BB4">
            <w:pPr>
              <w:spacing w:line="360" w:lineRule="auto"/>
              <w:rPr>
                <w:rFonts w:asciiTheme="minorEastAsia" w:eastAsiaTheme="minorEastAsia" w:hAnsiTheme="minorEastAsia"/>
                <w:iCs/>
                <w:color w:val="000000"/>
                <w:sz w:val="24"/>
                <w:szCs w:val="28"/>
              </w:rPr>
            </w:pPr>
          </w:p>
          <w:p w14:paraId="337F5953" w14:textId="001068C4" w:rsidR="006C4BA1" w:rsidRDefault="00A1723D">
            <w:pPr>
              <w:spacing w:line="360" w:lineRule="auto"/>
              <w:ind w:firstLineChars="200" w:firstLine="480"/>
              <w:rPr>
                <w:rFonts w:asciiTheme="minorEastAsia" w:eastAsiaTheme="minorEastAsia" w:hAnsiTheme="minorEastAsia"/>
                <w:iCs/>
                <w:color w:val="000000"/>
                <w:sz w:val="24"/>
                <w:szCs w:val="28"/>
              </w:rPr>
            </w:pPr>
            <w:r>
              <w:rPr>
                <w:rFonts w:asciiTheme="minorEastAsia" w:eastAsiaTheme="minorEastAsia" w:hAnsiTheme="minorEastAsia" w:hint="eastAsia"/>
                <w:iCs/>
                <w:color w:val="000000"/>
                <w:sz w:val="24"/>
                <w:szCs w:val="28"/>
              </w:rPr>
              <w:t>Q</w:t>
            </w:r>
            <w:r w:rsidR="00F270D4">
              <w:rPr>
                <w:rFonts w:asciiTheme="minorEastAsia" w:eastAsiaTheme="minorEastAsia" w:hAnsiTheme="minorEastAsia"/>
                <w:iCs/>
                <w:color w:val="000000"/>
                <w:sz w:val="24"/>
                <w:szCs w:val="28"/>
              </w:rPr>
              <w:t>4</w:t>
            </w:r>
            <w:r>
              <w:rPr>
                <w:rFonts w:asciiTheme="minorEastAsia" w:eastAsiaTheme="minorEastAsia" w:hAnsiTheme="minorEastAsia" w:hint="eastAsia"/>
                <w:iCs/>
                <w:color w:val="000000"/>
                <w:sz w:val="24"/>
                <w:szCs w:val="28"/>
              </w:rPr>
              <w:t>：公司与华为的合作情况</w:t>
            </w:r>
          </w:p>
          <w:p w14:paraId="3890CC11" w14:textId="77777777" w:rsidR="006D3DE3" w:rsidRPr="006D3DE3" w:rsidRDefault="00A1723D" w:rsidP="006D3DE3">
            <w:pPr>
              <w:spacing w:line="360" w:lineRule="auto"/>
              <w:ind w:firstLineChars="200" w:firstLine="480"/>
              <w:rPr>
                <w:rFonts w:asciiTheme="minorEastAsia" w:eastAsiaTheme="minorEastAsia" w:hAnsiTheme="minorEastAsia"/>
                <w:iCs/>
                <w:color w:val="000000"/>
                <w:sz w:val="24"/>
                <w:szCs w:val="28"/>
              </w:rPr>
            </w:pPr>
            <w:r>
              <w:rPr>
                <w:rFonts w:asciiTheme="minorEastAsia" w:eastAsiaTheme="minorEastAsia" w:hAnsiTheme="minorEastAsia" w:hint="eastAsia"/>
                <w:iCs/>
                <w:color w:val="000000"/>
                <w:sz w:val="24"/>
                <w:szCs w:val="28"/>
              </w:rPr>
              <w:t>A：</w:t>
            </w:r>
            <w:r w:rsidR="006D3DE3" w:rsidRPr="006D3DE3">
              <w:rPr>
                <w:rFonts w:asciiTheme="minorEastAsia" w:eastAsiaTheme="minorEastAsia" w:hAnsiTheme="minorEastAsia" w:hint="eastAsia"/>
                <w:iCs/>
                <w:color w:val="000000"/>
                <w:sz w:val="24"/>
                <w:szCs w:val="28"/>
              </w:rPr>
              <w:t>公司与华为坚持长期、稳定、互信的战略合作关系，双方联合推出问界品牌，共同开创了跨界融合的创新商业模式。</w:t>
            </w:r>
          </w:p>
          <w:p w14:paraId="25F16851" w14:textId="77777777" w:rsidR="006D3DE3" w:rsidRPr="006D3DE3" w:rsidRDefault="006D3DE3" w:rsidP="006D3DE3">
            <w:pPr>
              <w:spacing w:line="360" w:lineRule="auto"/>
              <w:ind w:firstLineChars="200" w:firstLine="480"/>
              <w:rPr>
                <w:rFonts w:asciiTheme="minorEastAsia" w:eastAsiaTheme="minorEastAsia" w:hAnsiTheme="minorEastAsia"/>
                <w:iCs/>
                <w:color w:val="000000"/>
                <w:sz w:val="24"/>
                <w:szCs w:val="28"/>
              </w:rPr>
            </w:pPr>
            <w:r w:rsidRPr="006D3DE3">
              <w:rPr>
                <w:rFonts w:asciiTheme="minorEastAsia" w:eastAsiaTheme="minorEastAsia" w:hAnsiTheme="minorEastAsia" w:hint="eastAsia"/>
                <w:iCs/>
                <w:color w:val="000000"/>
                <w:sz w:val="24"/>
                <w:szCs w:val="28"/>
              </w:rPr>
              <w:t>公司与华为将携手并进，致力于为用户带来更极致的高端智能电动汽车产品和更优质的出行体验。双方持续锚定问界高端智能汽车品牌核心定位，以专属专营更好地服务问界用户，推动问界新豪华品牌向上。</w:t>
            </w:r>
          </w:p>
          <w:p w14:paraId="31737AB7" w14:textId="393BB17C" w:rsidR="00526BB4" w:rsidRPr="006D3DE3" w:rsidRDefault="006D3DE3" w:rsidP="006D3DE3">
            <w:pPr>
              <w:spacing w:line="360" w:lineRule="auto"/>
              <w:ind w:firstLineChars="200" w:firstLine="480"/>
              <w:rPr>
                <w:rFonts w:asciiTheme="minorEastAsia" w:eastAsiaTheme="minorEastAsia" w:hAnsiTheme="minorEastAsia"/>
                <w:iCs/>
                <w:color w:val="000000"/>
                <w:sz w:val="24"/>
                <w:szCs w:val="28"/>
              </w:rPr>
            </w:pPr>
            <w:r w:rsidRPr="006D3DE3">
              <w:rPr>
                <w:rFonts w:asciiTheme="minorEastAsia" w:eastAsiaTheme="minorEastAsia" w:hAnsiTheme="minorEastAsia" w:hint="eastAsia"/>
                <w:iCs/>
                <w:color w:val="000000"/>
                <w:sz w:val="24"/>
                <w:szCs w:val="28"/>
              </w:rPr>
              <w:t>问界专属专营是双方跨界融合，持续加强合作基础</w:t>
            </w:r>
            <w:r w:rsidRPr="006D3DE3">
              <w:rPr>
                <w:rFonts w:asciiTheme="minorEastAsia" w:eastAsiaTheme="minorEastAsia" w:hAnsiTheme="minorEastAsia" w:hint="eastAsia"/>
                <w:iCs/>
                <w:color w:val="000000"/>
                <w:sz w:val="24"/>
                <w:szCs w:val="28"/>
              </w:rPr>
              <w:lastRenderedPageBreak/>
              <w:t>上的又一次创新，是体系和协同机制的进一步升级，也是资源的聚焦和渠道的提质增效，有利于推动问界高质量可持续发展。</w:t>
            </w:r>
          </w:p>
          <w:p w14:paraId="188A3E3A" w14:textId="77777777" w:rsidR="006C4BA1" w:rsidRDefault="006C4BA1">
            <w:pPr>
              <w:spacing w:line="360" w:lineRule="auto"/>
              <w:ind w:firstLineChars="200" w:firstLine="480"/>
              <w:rPr>
                <w:rFonts w:asciiTheme="minorEastAsia" w:eastAsiaTheme="minorEastAsia" w:hAnsiTheme="minorEastAsia"/>
                <w:iCs/>
                <w:color w:val="000000"/>
                <w:sz w:val="24"/>
                <w:szCs w:val="28"/>
              </w:rPr>
            </w:pPr>
          </w:p>
          <w:p w14:paraId="7BB8CEFE" w14:textId="7A12B364" w:rsidR="006C4BA1" w:rsidRDefault="00A1723D">
            <w:pPr>
              <w:numPr>
                <w:ilvl w:val="255"/>
                <w:numId w:val="0"/>
              </w:numPr>
              <w:spacing w:line="360" w:lineRule="auto"/>
              <w:ind w:firstLineChars="200" w:firstLine="480"/>
              <w:rPr>
                <w:rFonts w:asciiTheme="minorEastAsia" w:eastAsiaTheme="minorEastAsia" w:hAnsiTheme="minorEastAsia"/>
                <w:iCs/>
                <w:color w:val="000000"/>
                <w:sz w:val="24"/>
                <w:szCs w:val="28"/>
              </w:rPr>
            </w:pPr>
            <w:r>
              <w:rPr>
                <w:rFonts w:asciiTheme="minorEastAsia" w:eastAsiaTheme="minorEastAsia" w:hAnsiTheme="minorEastAsia" w:hint="eastAsia"/>
                <w:iCs/>
                <w:color w:val="000000"/>
                <w:sz w:val="24"/>
                <w:szCs w:val="28"/>
              </w:rPr>
              <w:t>Q</w:t>
            </w:r>
            <w:r w:rsidR="00F270D4">
              <w:rPr>
                <w:rFonts w:asciiTheme="minorEastAsia" w:eastAsiaTheme="minorEastAsia" w:hAnsiTheme="minorEastAsia"/>
                <w:iCs/>
                <w:color w:val="000000"/>
                <w:sz w:val="24"/>
                <w:szCs w:val="28"/>
              </w:rPr>
              <w:t>5</w:t>
            </w:r>
            <w:bookmarkStart w:id="5" w:name="_GoBack"/>
            <w:bookmarkEnd w:id="5"/>
            <w:r>
              <w:rPr>
                <w:rFonts w:asciiTheme="minorEastAsia" w:eastAsiaTheme="minorEastAsia" w:hAnsiTheme="minorEastAsia" w:hint="eastAsia"/>
                <w:iCs/>
                <w:color w:val="000000"/>
                <w:sz w:val="24"/>
                <w:szCs w:val="28"/>
              </w:rPr>
              <w:t>：公司的市值管理情况</w:t>
            </w:r>
          </w:p>
          <w:p w14:paraId="7BE9E20D" w14:textId="77777777" w:rsidR="006C4BA1" w:rsidRDefault="00A1723D">
            <w:pPr>
              <w:numPr>
                <w:ilvl w:val="255"/>
                <w:numId w:val="0"/>
              </w:numPr>
              <w:spacing w:line="360" w:lineRule="auto"/>
              <w:ind w:firstLineChars="200" w:firstLine="480"/>
              <w:rPr>
                <w:rFonts w:asciiTheme="minorEastAsia" w:eastAsiaTheme="minorEastAsia" w:hAnsiTheme="minorEastAsia"/>
                <w:iCs/>
                <w:color w:val="000000"/>
                <w:sz w:val="24"/>
                <w:szCs w:val="28"/>
              </w:rPr>
            </w:pPr>
            <w:r>
              <w:rPr>
                <w:rFonts w:asciiTheme="minorEastAsia" w:eastAsiaTheme="minorEastAsia" w:hAnsiTheme="minorEastAsia" w:hint="eastAsia"/>
                <w:iCs/>
                <w:color w:val="000000"/>
                <w:sz w:val="24"/>
                <w:szCs w:val="28"/>
              </w:rPr>
              <w:t>A：公司高度重视全体股东利益与企业长期价值，自2016年上市以来，已持续推出多项维护公司价值、保护投资者利益的措施。公司于今年4月22日召开年度股东会，审议通过了回购计划和2025年度利润分配方案；并在6月3日完成A股现金红利发放。目前，回购计划按照法律法规及已披露方案有序实施。相关回购操作不以短期择时交易为目的，回购的股份将依法予以注销，不会用于交易，以提升全体股东的每股收益。</w:t>
            </w:r>
          </w:p>
          <w:p w14:paraId="56920F9F" w14:textId="1E52A85C" w:rsidR="006C4BA1" w:rsidRDefault="00A1723D">
            <w:pPr>
              <w:numPr>
                <w:ilvl w:val="255"/>
                <w:numId w:val="0"/>
              </w:numPr>
              <w:spacing w:line="360" w:lineRule="auto"/>
              <w:ind w:firstLineChars="200" w:firstLine="480"/>
              <w:rPr>
                <w:rFonts w:asciiTheme="minorEastAsia" w:eastAsiaTheme="minorEastAsia" w:hAnsiTheme="minorEastAsia"/>
                <w:iCs/>
                <w:color w:val="000000"/>
                <w:sz w:val="24"/>
                <w:szCs w:val="28"/>
              </w:rPr>
            </w:pPr>
            <w:r>
              <w:rPr>
                <w:rFonts w:asciiTheme="minorEastAsia" w:eastAsiaTheme="minorEastAsia" w:hAnsiTheme="minorEastAsia" w:hint="eastAsia"/>
                <w:iCs/>
                <w:color w:val="000000"/>
                <w:sz w:val="24"/>
                <w:szCs w:val="28"/>
              </w:rPr>
              <w:t>同时，基于对公司未来发展的坚定信心和长期投资价值的认可，增强投资者信心。7月14日，控股股东拟</w:t>
            </w:r>
            <w:r>
              <w:rPr>
                <w:rFonts w:asciiTheme="minorEastAsia" w:eastAsiaTheme="minorEastAsia" w:hAnsiTheme="minorEastAsia" w:hint="eastAsia"/>
                <w:iCs/>
                <w:color w:val="000000"/>
                <w:sz w:val="24"/>
                <w:szCs w:val="28"/>
                <w:lang w:eastAsia="zh"/>
              </w:rPr>
              <w:t>在6个月内</w:t>
            </w:r>
            <w:r>
              <w:rPr>
                <w:rFonts w:asciiTheme="minorEastAsia" w:eastAsiaTheme="minorEastAsia" w:hAnsiTheme="minorEastAsia" w:hint="eastAsia"/>
                <w:iCs/>
                <w:color w:val="000000"/>
                <w:sz w:val="24"/>
                <w:szCs w:val="28"/>
              </w:rPr>
              <w:t>以1.</w:t>
            </w:r>
            <w:r>
              <w:rPr>
                <w:rFonts w:asciiTheme="minorEastAsia" w:eastAsiaTheme="minorEastAsia" w:hAnsiTheme="minorEastAsia"/>
                <w:iCs/>
                <w:color w:val="000000"/>
                <w:sz w:val="24"/>
                <w:szCs w:val="28"/>
              </w:rPr>
              <w:t>5</w:t>
            </w:r>
            <w:r>
              <w:rPr>
                <w:rFonts w:asciiTheme="minorEastAsia" w:eastAsiaTheme="minorEastAsia" w:hAnsiTheme="minorEastAsia" w:hint="eastAsia"/>
                <w:iCs/>
                <w:color w:val="000000"/>
                <w:sz w:val="24"/>
                <w:szCs w:val="28"/>
              </w:rPr>
              <w:t>亿元至3亿元增持公司A股股份，目前增持计划正在进行中。7月15日，公司董事、高级管理人员及骨干团队</w:t>
            </w:r>
            <w:r>
              <w:rPr>
                <w:rFonts w:asciiTheme="minorEastAsia" w:eastAsiaTheme="minorEastAsia" w:hAnsiTheme="minorEastAsia" w:hint="eastAsia"/>
                <w:iCs/>
                <w:color w:val="000000"/>
                <w:sz w:val="24"/>
                <w:szCs w:val="28"/>
                <w:lang w:eastAsia="zh"/>
              </w:rPr>
              <w:t>发布</w:t>
            </w:r>
            <w:r>
              <w:rPr>
                <w:rFonts w:asciiTheme="minorEastAsia" w:eastAsiaTheme="minorEastAsia" w:hAnsiTheme="minorEastAsia" w:hint="eastAsia"/>
                <w:iCs/>
                <w:color w:val="000000"/>
                <w:sz w:val="24"/>
                <w:szCs w:val="28"/>
              </w:rPr>
              <w:t>增持计划，相关增持主体已于三日内增持完毕，共计增持1.48亿元A股及H股股份。</w:t>
            </w:r>
          </w:p>
          <w:p w14:paraId="42193FD6" w14:textId="77777777" w:rsidR="006C4BA1" w:rsidRDefault="00A1723D">
            <w:pPr>
              <w:numPr>
                <w:ilvl w:val="255"/>
                <w:numId w:val="0"/>
              </w:numPr>
              <w:spacing w:line="360" w:lineRule="auto"/>
              <w:ind w:firstLineChars="200" w:firstLine="480"/>
              <w:rPr>
                <w:rFonts w:asciiTheme="minorEastAsia" w:eastAsiaTheme="minorEastAsia" w:hAnsiTheme="minorEastAsia"/>
                <w:bCs/>
                <w:iCs/>
                <w:color w:val="000000"/>
                <w:sz w:val="24"/>
                <w:szCs w:val="28"/>
              </w:rPr>
            </w:pPr>
            <w:r>
              <w:rPr>
                <w:rFonts w:asciiTheme="minorEastAsia" w:eastAsiaTheme="minorEastAsia" w:hAnsiTheme="minorEastAsia" w:hint="eastAsia"/>
                <w:iCs/>
                <w:color w:val="000000"/>
                <w:sz w:val="24"/>
                <w:szCs w:val="28"/>
              </w:rPr>
              <w:t>此外，公司2024年盈利之后，每年坚持分红，累计分红近40亿元。如此高频的市值管理动作，皆彰显了公司、控股股东、董事、高级管理人员及骨干团队对公司未来发展的坚定信心和长期投资价值的高度认可，以及对投资者长期回报的重视。</w:t>
            </w:r>
          </w:p>
        </w:tc>
      </w:tr>
      <w:tr w:rsidR="006C4BA1" w14:paraId="4E829837" w14:textId="77777777">
        <w:trPr>
          <w:trHeight w:val="383"/>
        </w:trPr>
        <w:tc>
          <w:tcPr>
            <w:tcW w:w="2405" w:type="dxa"/>
            <w:tcBorders>
              <w:top w:val="single" w:sz="4" w:space="0" w:color="auto"/>
              <w:left w:val="single" w:sz="4" w:space="0" w:color="auto"/>
              <w:bottom w:val="single" w:sz="4" w:space="0" w:color="auto"/>
              <w:right w:val="single" w:sz="4" w:space="0" w:color="auto"/>
            </w:tcBorders>
            <w:vAlign w:val="center"/>
          </w:tcPr>
          <w:p w14:paraId="2DA972F4" w14:textId="77777777" w:rsidR="006C4BA1" w:rsidRDefault="00A1723D">
            <w:pPr>
              <w:spacing w:line="276" w:lineRule="auto"/>
              <w:rPr>
                <w:rFonts w:asciiTheme="minorEastAsia" w:eastAsiaTheme="minorEastAsia" w:hAnsiTheme="minorEastAsia"/>
                <w:bCs/>
                <w:iCs/>
                <w:color w:val="000000"/>
                <w:sz w:val="24"/>
                <w:szCs w:val="28"/>
              </w:rPr>
            </w:pPr>
            <w:r>
              <w:rPr>
                <w:rFonts w:asciiTheme="minorEastAsia" w:eastAsiaTheme="minorEastAsia" w:hAnsiTheme="minorEastAsia" w:hint="eastAsia"/>
                <w:bCs/>
                <w:iCs/>
                <w:color w:val="000000"/>
                <w:sz w:val="24"/>
                <w:szCs w:val="28"/>
              </w:rPr>
              <w:lastRenderedPageBreak/>
              <w:t>附件清单（如有）</w:t>
            </w:r>
          </w:p>
        </w:tc>
        <w:tc>
          <w:tcPr>
            <w:tcW w:w="5954" w:type="dxa"/>
            <w:tcBorders>
              <w:top w:val="single" w:sz="4" w:space="0" w:color="auto"/>
              <w:left w:val="single" w:sz="4" w:space="0" w:color="auto"/>
              <w:bottom w:val="single" w:sz="4" w:space="0" w:color="auto"/>
              <w:right w:val="single" w:sz="4" w:space="0" w:color="auto"/>
            </w:tcBorders>
            <w:vAlign w:val="center"/>
          </w:tcPr>
          <w:p w14:paraId="58ABB66F" w14:textId="77777777" w:rsidR="006C4BA1" w:rsidRDefault="00A1723D">
            <w:pPr>
              <w:spacing w:line="360" w:lineRule="auto"/>
              <w:rPr>
                <w:rFonts w:asciiTheme="minorEastAsia" w:eastAsiaTheme="minorEastAsia" w:hAnsiTheme="minorEastAsia"/>
                <w:bCs/>
                <w:iCs/>
                <w:color w:val="000000"/>
                <w:sz w:val="24"/>
                <w:szCs w:val="28"/>
              </w:rPr>
            </w:pPr>
            <w:r>
              <w:rPr>
                <w:rFonts w:asciiTheme="minorEastAsia" w:eastAsiaTheme="minorEastAsia" w:hAnsiTheme="minorEastAsia" w:hint="eastAsia"/>
                <w:bCs/>
                <w:iCs/>
                <w:color w:val="000000"/>
                <w:sz w:val="24"/>
                <w:szCs w:val="28"/>
              </w:rPr>
              <w:t>无</w:t>
            </w:r>
          </w:p>
        </w:tc>
      </w:tr>
      <w:tr w:rsidR="006C4BA1" w14:paraId="1A08E927" w14:textId="77777777">
        <w:trPr>
          <w:trHeight w:val="235"/>
        </w:trPr>
        <w:tc>
          <w:tcPr>
            <w:tcW w:w="2405" w:type="dxa"/>
            <w:tcBorders>
              <w:top w:val="single" w:sz="4" w:space="0" w:color="auto"/>
              <w:left w:val="single" w:sz="4" w:space="0" w:color="auto"/>
              <w:bottom w:val="single" w:sz="4" w:space="0" w:color="auto"/>
              <w:right w:val="single" w:sz="4" w:space="0" w:color="auto"/>
            </w:tcBorders>
            <w:vAlign w:val="center"/>
          </w:tcPr>
          <w:p w14:paraId="0316524C" w14:textId="77777777" w:rsidR="006C4BA1" w:rsidRDefault="00A1723D">
            <w:pPr>
              <w:spacing w:line="276" w:lineRule="auto"/>
              <w:rPr>
                <w:rFonts w:asciiTheme="minorEastAsia" w:eastAsiaTheme="minorEastAsia" w:hAnsiTheme="minorEastAsia"/>
                <w:bCs/>
                <w:iCs/>
                <w:color w:val="000000"/>
                <w:sz w:val="24"/>
                <w:szCs w:val="28"/>
              </w:rPr>
            </w:pPr>
            <w:r>
              <w:rPr>
                <w:rFonts w:asciiTheme="minorEastAsia" w:eastAsiaTheme="minorEastAsia" w:hAnsiTheme="minorEastAsia" w:hint="eastAsia"/>
                <w:bCs/>
                <w:iCs/>
                <w:color w:val="000000"/>
                <w:sz w:val="24"/>
                <w:szCs w:val="28"/>
              </w:rPr>
              <w:t>日期</w:t>
            </w:r>
          </w:p>
        </w:tc>
        <w:tc>
          <w:tcPr>
            <w:tcW w:w="5954" w:type="dxa"/>
            <w:tcBorders>
              <w:top w:val="single" w:sz="4" w:space="0" w:color="auto"/>
              <w:left w:val="single" w:sz="4" w:space="0" w:color="auto"/>
              <w:bottom w:val="single" w:sz="4" w:space="0" w:color="auto"/>
              <w:right w:val="single" w:sz="4" w:space="0" w:color="auto"/>
            </w:tcBorders>
            <w:vAlign w:val="center"/>
          </w:tcPr>
          <w:p w14:paraId="0A5FD8B2" w14:textId="77777777" w:rsidR="006C4BA1" w:rsidRDefault="00A1723D">
            <w:pPr>
              <w:spacing w:line="360" w:lineRule="auto"/>
              <w:rPr>
                <w:rFonts w:asciiTheme="minorEastAsia" w:eastAsiaTheme="minorEastAsia" w:hAnsiTheme="minorEastAsia"/>
                <w:bCs/>
                <w:iCs/>
                <w:color w:val="000000"/>
                <w:sz w:val="24"/>
                <w:szCs w:val="28"/>
              </w:rPr>
            </w:pPr>
            <w:r>
              <w:rPr>
                <w:rFonts w:asciiTheme="minorEastAsia" w:eastAsiaTheme="minorEastAsia" w:hAnsiTheme="minorEastAsia" w:hint="eastAsia"/>
                <w:bCs/>
                <w:iCs/>
                <w:color w:val="000000"/>
                <w:sz w:val="24"/>
                <w:szCs w:val="28"/>
              </w:rPr>
              <w:t>202</w:t>
            </w:r>
            <w:r>
              <w:rPr>
                <w:rFonts w:asciiTheme="minorEastAsia" w:eastAsiaTheme="minorEastAsia" w:hAnsiTheme="minorEastAsia"/>
                <w:bCs/>
                <w:iCs/>
                <w:color w:val="000000"/>
                <w:sz w:val="24"/>
                <w:szCs w:val="28"/>
              </w:rPr>
              <w:t>6</w:t>
            </w:r>
            <w:r>
              <w:rPr>
                <w:rFonts w:asciiTheme="minorEastAsia" w:eastAsiaTheme="minorEastAsia" w:hAnsiTheme="minorEastAsia" w:hint="eastAsia"/>
                <w:bCs/>
                <w:iCs/>
                <w:color w:val="000000"/>
                <w:sz w:val="24"/>
                <w:szCs w:val="28"/>
              </w:rPr>
              <w:t>年</w:t>
            </w:r>
            <w:r>
              <w:rPr>
                <w:rFonts w:asciiTheme="minorEastAsia" w:eastAsiaTheme="minorEastAsia" w:hAnsiTheme="minorEastAsia"/>
                <w:bCs/>
                <w:iCs/>
                <w:color w:val="000000"/>
                <w:sz w:val="24"/>
                <w:szCs w:val="28"/>
              </w:rPr>
              <w:t>7-9</w:t>
            </w:r>
            <w:r>
              <w:rPr>
                <w:rFonts w:asciiTheme="minorEastAsia" w:eastAsiaTheme="minorEastAsia" w:hAnsiTheme="minorEastAsia" w:hint="eastAsia"/>
                <w:bCs/>
                <w:iCs/>
                <w:color w:val="000000"/>
                <w:sz w:val="24"/>
                <w:szCs w:val="28"/>
              </w:rPr>
              <w:t>月</w:t>
            </w:r>
          </w:p>
        </w:tc>
      </w:tr>
    </w:tbl>
    <w:p w14:paraId="0F43B4EC" w14:textId="77777777" w:rsidR="006C4BA1" w:rsidRDefault="006C4BA1">
      <w:pPr>
        <w:rPr>
          <w:rFonts w:asciiTheme="minorEastAsia" w:eastAsiaTheme="minorEastAsia" w:hAnsiTheme="minorEastAsia"/>
          <w:color w:val="000000" w:themeColor="text1"/>
          <w:sz w:val="24"/>
          <w:szCs w:val="24"/>
          <w:u w:val="single"/>
        </w:rPr>
      </w:pPr>
    </w:p>
    <w:sectPr w:rsidR="006C4BA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c3NWE5OWZhZjFjMDVkMTBlZmY4NTEzMTk5ZTA3ZDMifQ=="/>
  </w:docVars>
  <w:rsids>
    <w:rsidRoot w:val="00172A27"/>
    <w:rsid w:val="DF5ED11A"/>
    <w:rsid w:val="FDBABDB1"/>
    <w:rsid w:val="000023C9"/>
    <w:rsid w:val="0000364F"/>
    <w:rsid w:val="00003731"/>
    <w:rsid w:val="000061C8"/>
    <w:rsid w:val="00006370"/>
    <w:rsid w:val="000120C5"/>
    <w:rsid w:val="0001292C"/>
    <w:rsid w:val="00012AFF"/>
    <w:rsid w:val="000147A1"/>
    <w:rsid w:val="00015276"/>
    <w:rsid w:val="00020845"/>
    <w:rsid w:val="00021910"/>
    <w:rsid w:val="00022A83"/>
    <w:rsid w:val="00025AAE"/>
    <w:rsid w:val="0002730E"/>
    <w:rsid w:val="00034856"/>
    <w:rsid w:val="00036ED9"/>
    <w:rsid w:val="0004224D"/>
    <w:rsid w:val="000441F4"/>
    <w:rsid w:val="00044D5B"/>
    <w:rsid w:val="00045B5F"/>
    <w:rsid w:val="000470B9"/>
    <w:rsid w:val="00050E87"/>
    <w:rsid w:val="00053A92"/>
    <w:rsid w:val="00055489"/>
    <w:rsid w:val="00056D89"/>
    <w:rsid w:val="00056E22"/>
    <w:rsid w:val="00057A6E"/>
    <w:rsid w:val="00062FC8"/>
    <w:rsid w:val="0006643B"/>
    <w:rsid w:val="000703C4"/>
    <w:rsid w:val="00070A2D"/>
    <w:rsid w:val="00075460"/>
    <w:rsid w:val="00076D0B"/>
    <w:rsid w:val="00077261"/>
    <w:rsid w:val="00077DFA"/>
    <w:rsid w:val="00080FD9"/>
    <w:rsid w:val="000846BB"/>
    <w:rsid w:val="0008491A"/>
    <w:rsid w:val="00091A72"/>
    <w:rsid w:val="00096FA9"/>
    <w:rsid w:val="000A0C30"/>
    <w:rsid w:val="000A0CF8"/>
    <w:rsid w:val="000A21E2"/>
    <w:rsid w:val="000A6189"/>
    <w:rsid w:val="000A61CC"/>
    <w:rsid w:val="000B2F20"/>
    <w:rsid w:val="000B61D4"/>
    <w:rsid w:val="000C645A"/>
    <w:rsid w:val="000D0F4A"/>
    <w:rsid w:val="000D6892"/>
    <w:rsid w:val="000E08C0"/>
    <w:rsid w:val="000E09C0"/>
    <w:rsid w:val="000E4347"/>
    <w:rsid w:val="000E5E30"/>
    <w:rsid w:val="000F668A"/>
    <w:rsid w:val="000F7B7D"/>
    <w:rsid w:val="00102484"/>
    <w:rsid w:val="00111C77"/>
    <w:rsid w:val="00111F33"/>
    <w:rsid w:val="00115D51"/>
    <w:rsid w:val="00116999"/>
    <w:rsid w:val="001177E9"/>
    <w:rsid w:val="00120BCF"/>
    <w:rsid w:val="00121C77"/>
    <w:rsid w:val="001258EE"/>
    <w:rsid w:val="00126925"/>
    <w:rsid w:val="00132DF0"/>
    <w:rsid w:val="00134D24"/>
    <w:rsid w:val="00136EC5"/>
    <w:rsid w:val="00141BB2"/>
    <w:rsid w:val="00143864"/>
    <w:rsid w:val="00143C3D"/>
    <w:rsid w:val="001445DF"/>
    <w:rsid w:val="001448EA"/>
    <w:rsid w:val="00146C83"/>
    <w:rsid w:val="001508EA"/>
    <w:rsid w:val="0016337A"/>
    <w:rsid w:val="00163869"/>
    <w:rsid w:val="001646EA"/>
    <w:rsid w:val="00170086"/>
    <w:rsid w:val="001703B3"/>
    <w:rsid w:val="00170856"/>
    <w:rsid w:val="00172A27"/>
    <w:rsid w:val="0017419D"/>
    <w:rsid w:val="00176232"/>
    <w:rsid w:val="00177D92"/>
    <w:rsid w:val="00180C94"/>
    <w:rsid w:val="00183DC3"/>
    <w:rsid w:val="00186714"/>
    <w:rsid w:val="00186B98"/>
    <w:rsid w:val="00187E1C"/>
    <w:rsid w:val="00191181"/>
    <w:rsid w:val="001A0976"/>
    <w:rsid w:val="001A12ED"/>
    <w:rsid w:val="001A31DA"/>
    <w:rsid w:val="001B504E"/>
    <w:rsid w:val="001B66C0"/>
    <w:rsid w:val="001B6BB7"/>
    <w:rsid w:val="001C11F6"/>
    <w:rsid w:val="001C2539"/>
    <w:rsid w:val="001C2F46"/>
    <w:rsid w:val="001C435F"/>
    <w:rsid w:val="001C5474"/>
    <w:rsid w:val="001C7563"/>
    <w:rsid w:val="001D3A48"/>
    <w:rsid w:val="001D49F2"/>
    <w:rsid w:val="001D62D9"/>
    <w:rsid w:val="001E384A"/>
    <w:rsid w:val="001E3C2E"/>
    <w:rsid w:val="001E4001"/>
    <w:rsid w:val="001E6323"/>
    <w:rsid w:val="001E76C7"/>
    <w:rsid w:val="001F54E9"/>
    <w:rsid w:val="001F7A55"/>
    <w:rsid w:val="002033DC"/>
    <w:rsid w:val="00212926"/>
    <w:rsid w:val="00212B0D"/>
    <w:rsid w:val="00214F5D"/>
    <w:rsid w:val="002161E5"/>
    <w:rsid w:val="00216EB3"/>
    <w:rsid w:val="00217397"/>
    <w:rsid w:val="0022325D"/>
    <w:rsid w:val="00234710"/>
    <w:rsid w:val="002365FA"/>
    <w:rsid w:val="00236C54"/>
    <w:rsid w:val="00240238"/>
    <w:rsid w:val="0024183D"/>
    <w:rsid w:val="002444C6"/>
    <w:rsid w:val="00245464"/>
    <w:rsid w:val="00246AAE"/>
    <w:rsid w:val="00247101"/>
    <w:rsid w:val="002512D2"/>
    <w:rsid w:val="00252E0D"/>
    <w:rsid w:val="002575E7"/>
    <w:rsid w:val="0026288E"/>
    <w:rsid w:val="00263971"/>
    <w:rsid w:val="002666C3"/>
    <w:rsid w:val="00266C97"/>
    <w:rsid w:val="00266E74"/>
    <w:rsid w:val="002776AE"/>
    <w:rsid w:val="0028266D"/>
    <w:rsid w:val="00283A79"/>
    <w:rsid w:val="0028680F"/>
    <w:rsid w:val="002877D5"/>
    <w:rsid w:val="00287828"/>
    <w:rsid w:val="00294827"/>
    <w:rsid w:val="002B191D"/>
    <w:rsid w:val="002B2601"/>
    <w:rsid w:val="002B6657"/>
    <w:rsid w:val="002B6949"/>
    <w:rsid w:val="002C4013"/>
    <w:rsid w:val="002C4146"/>
    <w:rsid w:val="002C4A8F"/>
    <w:rsid w:val="002C4C4E"/>
    <w:rsid w:val="002C5B79"/>
    <w:rsid w:val="002C6E81"/>
    <w:rsid w:val="002D1614"/>
    <w:rsid w:val="002D4AA0"/>
    <w:rsid w:val="002D54AE"/>
    <w:rsid w:val="002D63EF"/>
    <w:rsid w:val="002E0130"/>
    <w:rsid w:val="002E2F43"/>
    <w:rsid w:val="002E3A4B"/>
    <w:rsid w:val="002E69F2"/>
    <w:rsid w:val="002E6D8C"/>
    <w:rsid w:val="002E7B0B"/>
    <w:rsid w:val="002F0BD7"/>
    <w:rsid w:val="002F32CB"/>
    <w:rsid w:val="002F5F58"/>
    <w:rsid w:val="002F698F"/>
    <w:rsid w:val="002F787E"/>
    <w:rsid w:val="003045CD"/>
    <w:rsid w:val="00306236"/>
    <w:rsid w:val="00307188"/>
    <w:rsid w:val="003079FE"/>
    <w:rsid w:val="00311FE8"/>
    <w:rsid w:val="00313034"/>
    <w:rsid w:val="0031470D"/>
    <w:rsid w:val="00316542"/>
    <w:rsid w:val="0032301A"/>
    <w:rsid w:val="00325347"/>
    <w:rsid w:val="003274D4"/>
    <w:rsid w:val="0033118B"/>
    <w:rsid w:val="00337278"/>
    <w:rsid w:val="00341F28"/>
    <w:rsid w:val="003430BF"/>
    <w:rsid w:val="003445C8"/>
    <w:rsid w:val="00347A82"/>
    <w:rsid w:val="0035390B"/>
    <w:rsid w:val="00355850"/>
    <w:rsid w:val="00356B66"/>
    <w:rsid w:val="00357DC5"/>
    <w:rsid w:val="00361C80"/>
    <w:rsid w:val="003623AF"/>
    <w:rsid w:val="003640CE"/>
    <w:rsid w:val="003666E2"/>
    <w:rsid w:val="00367B48"/>
    <w:rsid w:val="003706B9"/>
    <w:rsid w:val="003724F3"/>
    <w:rsid w:val="00374FEF"/>
    <w:rsid w:val="0038251E"/>
    <w:rsid w:val="003846E9"/>
    <w:rsid w:val="00385FEF"/>
    <w:rsid w:val="0039330F"/>
    <w:rsid w:val="0039561A"/>
    <w:rsid w:val="003A0B9C"/>
    <w:rsid w:val="003A3323"/>
    <w:rsid w:val="003A481D"/>
    <w:rsid w:val="003A57C4"/>
    <w:rsid w:val="003B2D62"/>
    <w:rsid w:val="003B2EAB"/>
    <w:rsid w:val="003B480D"/>
    <w:rsid w:val="003B6323"/>
    <w:rsid w:val="003B776B"/>
    <w:rsid w:val="003C3EDA"/>
    <w:rsid w:val="003C4AB3"/>
    <w:rsid w:val="003D0F99"/>
    <w:rsid w:val="003D1270"/>
    <w:rsid w:val="003D1328"/>
    <w:rsid w:val="003D312A"/>
    <w:rsid w:val="003D3811"/>
    <w:rsid w:val="003D6D9E"/>
    <w:rsid w:val="003D764D"/>
    <w:rsid w:val="003E0DD7"/>
    <w:rsid w:val="003E3317"/>
    <w:rsid w:val="003E35C0"/>
    <w:rsid w:val="003E48C5"/>
    <w:rsid w:val="003E69B0"/>
    <w:rsid w:val="003F222C"/>
    <w:rsid w:val="003F23A7"/>
    <w:rsid w:val="003F4711"/>
    <w:rsid w:val="003F649C"/>
    <w:rsid w:val="004003D9"/>
    <w:rsid w:val="004040D8"/>
    <w:rsid w:val="0040633A"/>
    <w:rsid w:val="00416769"/>
    <w:rsid w:val="00421FB1"/>
    <w:rsid w:val="00422D07"/>
    <w:rsid w:val="00431846"/>
    <w:rsid w:val="004328F3"/>
    <w:rsid w:val="00433D4D"/>
    <w:rsid w:val="00446F04"/>
    <w:rsid w:val="00447C55"/>
    <w:rsid w:val="00453B5E"/>
    <w:rsid w:val="00456687"/>
    <w:rsid w:val="004604CE"/>
    <w:rsid w:val="00460B7F"/>
    <w:rsid w:val="00460CEF"/>
    <w:rsid w:val="004664C6"/>
    <w:rsid w:val="00466A29"/>
    <w:rsid w:val="00471C86"/>
    <w:rsid w:val="00477017"/>
    <w:rsid w:val="0048145D"/>
    <w:rsid w:val="004825FF"/>
    <w:rsid w:val="004847B1"/>
    <w:rsid w:val="00486135"/>
    <w:rsid w:val="00487200"/>
    <w:rsid w:val="00492B2F"/>
    <w:rsid w:val="00494551"/>
    <w:rsid w:val="0049475A"/>
    <w:rsid w:val="00494C8A"/>
    <w:rsid w:val="004A298A"/>
    <w:rsid w:val="004A2A00"/>
    <w:rsid w:val="004A3BA3"/>
    <w:rsid w:val="004A67CF"/>
    <w:rsid w:val="004B1E51"/>
    <w:rsid w:val="004B2FDC"/>
    <w:rsid w:val="004B3810"/>
    <w:rsid w:val="004D6727"/>
    <w:rsid w:val="004E56B6"/>
    <w:rsid w:val="004E7B0F"/>
    <w:rsid w:val="004E7BAB"/>
    <w:rsid w:val="004F1463"/>
    <w:rsid w:val="004F1C4B"/>
    <w:rsid w:val="004F2253"/>
    <w:rsid w:val="004F229C"/>
    <w:rsid w:val="00501309"/>
    <w:rsid w:val="00504DEE"/>
    <w:rsid w:val="00511B0C"/>
    <w:rsid w:val="00515292"/>
    <w:rsid w:val="005176C9"/>
    <w:rsid w:val="00517841"/>
    <w:rsid w:val="00520B14"/>
    <w:rsid w:val="00523BCA"/>
    <w:rsid w:val="005264E3"/>
    <w:rsid w:val="005265ED"/>
    <w:rsid w:val="005266BF"/>
    <w:rsid w:val="00526BB4"/>
    <w:rsid w:val="00526DB9"/>
    <w:rsid w:val="00526FF0"/>
    <w:rsid w:val="0053609F"/>
    <w:rsid w:val="00542DB6"/>
    <w:rsid w:val="00544597"/>
    <w:rsid w:val="005457F7"/>
    <w:rsid w:val="00545F3B"/>
    <w:rsid w:val="00546EA0"/>
    <w:rsid w:val="005470F2"/>
    <w:rsid w:val="00547398"/>
    <w:rsid w:val="00552CFB"/>
    <w:rsid w:val="00555CE8"/>
    <w:rsid w:val="0056150F"/>
    <w:rsid w:val="005621D7"/>
    <w:rsid w:val="00566E53"/>
    <w:rsid w:val="00570B90"/>
    <w:rsid w:val="00570C79"/>
    <w:rsid w:val="00574E33"/>
    <w:rsid w:val="00574E41"/>
    <w:rsid w:val="00580EE8"/>
    <w:rsid w:val="00582C65"/>
    <w:rsid w:val="005836A8"/>
    <w:rsid w:val="005838F4"/>
    <w:rsid w:val="00585B91"/>
    <w:rsid w:val="0059142E"/>
    <w:rsid w:val="0059485A"/>
    <w:rsid w:val="00597A5E"/>
    <w:rsid w:val="005A11A0"/>
    <w:rsid w:val="005A746D"/>
    <w:rsid w:val="005B1DD4"/>
    <w:rsid w:val="005B1F70"/>
    <w:rsid w:val="005B2511"/>
    <w:rsid w:val="005B3E33"/>
    <w:rsid w:val="005B68CD"/>
    <w:rsid w:val="005B70EA"/>
    <w:rsid w:val="005C0BCF"/>
    <w:rsid w:val="005C122F"/>
    <w:rsid w:val="005C4302"/>
    <w:rsid w:val="005C44D4"/>
    <w:rsid w:val="005D2541"/>
    <w:rsid w:val="005D67E9"/>
    <w:rsid w:val="005E3914"/>
    <w:rsid w:val="005E5518"/>
    <w:rsid w:val="005F34B9"/>
    <w:rsid w:val="005F39C0"/>
    <w:rsid w:val="005F6250"/>
    <w:rsid w:val="005F7232"/>
    <w:rsid w:val="005F7FD4"/>
    <w:rsid w:val="00605EE0"/>
    <w:rsid w:val="00607301"/>
    <w:rsid w:val="00607A84"/>
    <w:rsid w:val="006105DA"/>
    <w:rsid w:val="00616F2A"/>
    <w:rsid w:val="00623C20"/>
    <w:rsid w:val="006275B0"/>
    <w:rsid w:val="0063026C"/>
    <w:rsid w:val="0063149D"/>
    <w:rsid w:val="00631730"/>
    <w:rsid w:val="0063176C"/>
    <w:rsid w:val="006437CE"/>
    <w:rsid w:val="00645506"/>
    <w:rsid w:val="00645F7E"/>
    <w:rsid w:val="00646EE4"/>
    <w:rsid w:val="0065622C"/>
    <w:rsid w:val="00660FC5"/>
    <w:rsid w:val="006652EB"/>
    <w:rsid w:val="00665C8B"/>
    <w:rsid w:val="0066661E"/>
    <w:rsid w:val="00667061"/>
    <w:rsid w:val="00670328"/>
    <w:rsid w:val="00676F72"/>
    <w:rsid w:val="00677232"/>
    <w:rsid w:val="006779F1"/>
    <w:rsid w:val="00683E8A"/>
    <w:rsid w:val="00686C40"/>
    <w:rsid w:val="00687949"/>
    <w:rsid w:val="00693106"/>
    <w:rsid w:val="006941A9"/>
    <w:rsid w:val="006945AF"/>
    <w:rsid w:val="00696A48"/>
    <w:rsid w:val="00697D6B"/>
    <w:rsid w:val="006A160C"/>
    <w:rsid w:val="006B002C"/>
    <w:rsid w:val="006B423B"/>
    <w:rsid w:val="006B460A"/>
    <w:rsid w:val="006B5760"/>
    <w:rsid w:val="006C1F0E"/>
    <w:rsid w:val="006C2758"/>
    <w:rsid w:val="006C2AAD"/>
    <w:rsid w:val="006C4B1E"/>
    <w:rsid w:val="006C4BA1"/>
    <w:rsid w:val="006D142D"/>
    <w:rsid w:val="006D19F8"/>
    <w:rsid w:val="006D3DE3"/>
    <w:rsid w:val="006D4A88"/>
    <w:rsid w:val="006E0FC8"/>
    <w:rsid w:val="006E2A57"/>
    <w:rsid w:val="006E79CD"/>
    <w:rsid w:val="006F11B0"/>
    <w:rsid w:val="006F3B05"/>
    <w:rsid w:val="006F6F4A"/>
    <w:rsid w:val="00701FB9"/>
    <w:rsid w:val="00707FC6"/>
    <w:rsid w:val="007114BA"/>
    <w:rsid w:val="007163B4"/>
    <w:rsid w:val="00717993"/>
    <w:rsid w:val="00724C4D"/>
    <w:rsid w:val="00726F38"/>
    <w:rsid w:val="00726F61"/>
    <w:rsid w:val="00726FB1"/>
    <w:rsid w:val="007324C9"/>
    <w:rsid w:val="00735C63"/>
    <w:rsid w:val="00743AAB"/>
    <w:rsid w:val="00750B10"/>
    <w:rsid w:val="00750DA2"/>
    <w:rsid w:val="0075227D"/>
    <w:rsid w:val="007537ED"/>
    <w:rsid w:val="00753CC0"/>
    <w:rsid w:val="00753F23"/>
    <w:rsid w:val="00754AF3"/>
    <w:rsid w:val="00757103"/>
    <w:rsid w:val="007610B7"/>
    <w:rsid w:val="0076417F"/>
    <w:rsid w:val="00765FDA"/>
    <w:rsid w:val="00766296"/>
    <w:rsid w:val="00776650"/>
    <w:rsid w:val="00780875"/>
    <w:rsid w:val="00781A68"/>
    <w:rsid w:val="007872FA"/>
    <w:rsid w:val="00791048"/>
    <w:rsid w:val="00791A52"/>
    <w:rsid w:val="007926C1"/>
    <w:rsid w:val="00792AED"/>
    <w:rsid w:val="007967E4"/>
    <w:rsid w:val="00796F73"/>
    <w:rsid w:val="007A0FD6"/>
    <w:rsid w:val="007A133F"/>
    <w:rsid w:val="007A13ED"/>
    <w:rsid w:val="007A2E61"/>
    <w:rsid w:val="007A3E28"/>
    <w:rsid w:val="007A635A"/>
    <w:rsid w:val="007B166D"/>
    <w:rsid w:val="007B1EC7"/>
    <w:rsid w:val="007B2E83"/>
    <w:rsid w:val="007B2FD7"/>
    <w:rsid w:val="007B7239"/>
    <w:rsid w:val="007C1943"/>
    <w:rsid w:val="007C3950"/>
    <w:rsid w:val="007C4E91"/>
    <w:rsid w:val="007D1DEE"/>
    <w:rsid w:val="007D3408"/>
    <w:rsid w:val="007E0AD9"/>
    <w:rsid w:val="007E0AFF"/>
    <w:rsid w:val="007E598A"/>
    <w:rsid w:val="007E669B"/>
    <w:rsid w:val="007E6B71"/>
    <w:rsid w:val="007F56F5"/>
    <w:rsid w:val="007F7C05"/>
    <w:rsid w:val="00804220"/>
    <w:rsid w:val="00804808"/>
    <w:rsid w:val="00805DDC"/>
    <w:rsid w:val="00811427"/>
    <w:rsid w:val="0081453F"/>
    <w:rsid w:val="00816076"/>
    <w:rsid w:val="00817084"/>
    <w:rsid w:val="008203F3"/>
    <w:rsid w:val="00841A0A"/>
    <w:rsid w:val="0084223A"/>
    <w:rsid w:val="0084284E"/>
    <w:rsid w:val="00845D28"/>
    <w:rsid w:val="00852F50"/>
    <w:rsid w:val="008613FF"/>
    <w:rsid w:val="00861ED3"/>
    <w:rsid w:val="00863AAC"/>
    <w:rsid w:val="00863DC9"/>
    <w:rsid w:val="0087053C"/>
    <w:rsid w:val="00870610"/>
    <w:rsid w:val="00871A70"/>
    <w:rsid w:val="00875426"/>
    <w:rsid w:val="0087693D"/>
    <w:rsid w:val="00877953"/>
    <w:rsid w:val="00884561"/>
    <w:rsid w:val="00885979"/>
    <w:rsid w:val="00885E47"/>
    <w:rsid w:val="008921DA"/>
    <w:rsid w:val="0089537C"/>
    <w:rsid w:val="008976C9"/>
    <w:rsid w:val="00897FCC"/>
    <w:rsid w:val="008A3077"/>
    <w:rsid w:val="008A3872"/>
    <w:rsid w:val="008B026E"/>
    <w:rsid w:val="008B0894"/>
    <w:rsid w:val="008B48E4"/>
    <w:rsid w:val="008C1080"/>
    <w:rsid w:val="008C422D"/>
    <w:rsid w:val="008C7EC4"/>
    <w:rsid w:val="008D2F62"/>
    <w:rsid w:val="008D661A"/>
    <w:rsid w:val="008E0A04"/>
    <w:rsid w:val="008E44B5"/>
    <w:rsid w:val="008E4C1F"/>
    <w:rsid w:val="008E4E37"/>
    <w:rsid w:val="008E5260"/>
    <w:rsid w:val="008E765A"/>
    <w:rsid w:val="008E7C72"/>
    <w:rsid w:val="008F2343"/>
    <w:rsid w:val="008F2D75"/>
    <w:rsid w:val="008F5361"/>
    <w:rsid w:val="008F6640"/>
    <w:rsid w:val="00902082"/>
    <w:rsid w:val="00903369"/>
    <w:rsid w:val="00904F85"/>
    <w:rsid w:val="009055D4"/>
    <w:rsid w:val="00906EAD"/>
    <w:rsid w:val="00912595"/>
    <w:rsid w:val="00913308"/>
    <w:rsid w:val="00917971"/>
    <w:rsid w:val="00917986"/>
    <w:rsid w:val="00921C54"/>
    <w:rsid w:val="00921E8F"/>
    <w:rsid w:val="00922DD6"/>
    <w:rsid w:val="00923304"/>
    <w:rsid w:val="00930174"/>
    <w:rsid w:val="00931F88"/>
    <w:rsid w:val="009322D1"/>
    <w:rsid w:val="00935345"/>
    <w:rsid w:val="009400D2"/>
    <w:rsid w:val="009427B3"/>
    <w:rsid w:val="00944CAC"/>
    <w:rsid w:val="009512D5"/>
    <w:rsid w:val="0095132C"/>
    <w:rsid w:val="00960CC4"/>
    <w:rsid w:val="009612E1"/>
    <w:rsid w:val="00962184"/>
    <w:rsid w:val="0096379B"/>
    <w:rsid w:val="00964656"/>
    <w:rsid w:val="00964ABD"/>
    <w:rsid w:val="00964C5F"/>
    <w:rsid w:val="00964CDF"/>
    <w:rsid w:val="0097112A"/>
    <w:rsid w:val="00973972"/>
    <w:rsid w:val="00975522"/>
    <w:rsid w:val="0097600C"/>
    <w:rsid w:val="009822AE"/>
    <w:rsid w:val="00982A78"/>
    <w:rsid w:val="00982B33"/>
    <w:rsid w:val="00987AC5"/>
    <w:rsid w:val="00990252"/>
    <w:rsid w:val="00990392"/>
    <w:rsid w:val="00995DB7"/>
    <w:rsid w:val="009964DB"/>
    <w:rsid w:val="009A641E"/>
    <w:rsid w:val="009A6AF6"/>
    <w:rsid w:val="009B1500"/>
    <w:rsid w:val="009B1F9D"/>
    <w:rsid w:val="009B3469"/>
    <w:rsid w:val="009B5AB6"/>
    <w:rsid w:val="009B5EF7"/>
    <w:rsid w:val="009B642D"/>
    <w:rsid w:val="009C1AD5"/>
    <w:rsid w:val="009C6A1D"/>
    <w:rsid w:val="009D0107"/>
    <w:rsid w:val="009D3941"/>
    <w:rsid w:val="009D642A"/>
    <w:rsid w:val="009E001E"/>
    <w:rsid w:val="009E77FA"/>
    <w:rsid w:val="009F0502"/>
    <w:rsid w:val="009F12C5"/>
    <w:rsid w:val="009F2310"/>
    <w:rsid w:val="009F4431"/>
    <w:rsid w:val="00A022FC"/>
    <w:rsid w:val="00A03135"/>
    <w:rsid w:val="00A04F6B"/>
    <w:rsid w:val="00A0643A"/>
    <w:rsid w:val="00A10AA5"/>
    <w:rsid w:val="00A117DA"/>
    <w:rsid w:val="00A11EB3"/>
    <w:rsid w:val="00A1723D"/>
    <w:rsid w:val="00A17A38"/>
    <w:rsid w:val="00A20DF2"/>
    <w:rsid w:val="00A23C02"/>
    <w:rsid w:val="00A24533"/>
    <w:rsid w:val="00A354A5"/>
    <w:rsid w:val="00A356FC"/>
    <w:rsid w:val="00A36642"/>
    <w:rsid w:val="00A417A3"/>
    <w:rsid w:val="00A43806"/>
    <w:rsid w:val="00A453A9"/>
    <w:rsid w:val="00A506A8"/>
    <w:rsid w:val="00A50C11"/>
    <w:rsid w:val="00A50FA1"/>
    <w:rsid w:val="00A52DBF"/>
    <w:rsid w:val="00A53114"/>
    <w:rsid w:val="00A54386"/>
    <w:rsid w:val="00A55D07"/>
    <w:rsid w:val="00A55DA1"/>
    <w:rsid w:val="00A563CE"/>
    <w:rsid w:val="00A645A1"/>
    <w:rsid w:val="00A66DFB"/>
    <w:rsid w:val="00A6790E"/>
    <w:rsid w:val="00A70533"/>
    <w:rsid w:val="00A70A84"/>
    <w:rsid w:val="00A7598B"/>
    <w:rsid w:val="00A808BA"/>
    <w:rsid w:val="00A83E5C"/>
    <w:rsid w:val="00A85458"/>
    <w:rsid w:val="00A856DE"/>
    <w:rsid w:val="00A91C15"/>
    <w:rsid w:val="00A94C0F"/>
    <w:rsid w:val="00AA11D7"/>
    <w:rsid w:val="00AB4432"/>
    <w:rsid w:val="00AB45F9"/>
    <w:rsid w:val="00AB6596"/>
    <w:rsid w:val="00AC1F69"/>
    <w:rsid w:val="00AC2F2A"/>
    <w:rsid w:val="00AC5F54"/>
    <w:rsid w:val="00AC61B0"/>
    <w:rsid w:val="00AD16AA"/>
    <w:rsid w:val="00AD2DDF"/>
    <w:rsid w:val="00AE00E9"/>
    <w:rsid w:val="00AE25A0"/>
    <w:rsid w:val="00AE42A6"/>
    <w:rsid w:val="00AE556D"/>
    <w:rsid w:val="00AE5851"/>
    <w:rsid w:val="00AE59D9"/>
    <w:rsid w:val="00AE7964"/>
    <w:rsid w:val="00AF08F7"/>
    <w:rsid w:val="00AF0989"/>
    <w:rsid w:val="00AF1D94"/>
    <w:rsid w:val="00AF67B7"/>
    <w:rsid w:val="00AF6DD1"/>
    <w:rsid w:val="00B00B9C"/>
    <w:rsid w:val="00B02364"/>
    <w:rsid w:val="00B030C7"/>
    <w:rsid w:val="00B05358"/>
    <w:rsid w:val="00B06CB5"/>
    <w:rsid w:val="00B1053D"/>
    <w:rsid w:val="00B12A30"/>
    <w:rsid w:val="00B12C91"/>
    <w:rsid w:val="00B15B48"/>
    <w:rsid w:val="00B163F2"/>
    <w:rsid w:val="00B20FEA"/>
    <w:rsid w:val="00B21966"/>
    <w:rsid w:val="00B2461E"/>
    <w:rsid w:val="00B26477"/>
    <w:rsid w:val="00B26CDC"/>
    <w:rsid w:val="00B27FAA"/>
    <w:rsid w:val="00B3228C"/>
    <w:rsid w:val="00B328CD"/>
    <w:rsid w:val="00B35DD9"/>
    <w:rsid w:val="00B37E45"/>
    <w:rsid w:val="00B402C8"/>
    <w:rsid w:val="00B40898"/>
    <w:rsid w:val="00B4185A"/>
    <w:rsid w:val="00B41949"/>
    <w:rsid w:val="00B42D63"/>
    <w:rsid w:val="00B57028"/>
    <w:rsid w:val="00B572E3"/>
    <w:rsid w:val="00B60B6D"/>
    <w:rsid w:val="00B60E02"/>
    <w:rsid w:val="00B60E60"/>
    <w:rsid w:val="00B70B3C"/>
    <w:rsid w:val="00B728B0"/>
    <w:rsid w:val="00B73ACA"/>
    <w:rsid w:val="00B7580E"/>
    <w:rsid w:val="00B774CE"/>
    <w:rsid w:val="00B81E36"/>
    <w:rsid w:val="00B82B52"/>
    <w:rsid w:val="00B952E7"/>
    <w:rsid w:val="00BA06CC"/>
    <w:rsid w:val="00BA1C24"/>
    <w:rsid w:val="00BA21FB"/>
    <w:rsid w:val="00BA222F"/>
    <w:rsid w:val="00BA445B"/>
    <w:rsid w:val="00BA7C43"/>
    <w:rsid w:val="00BB01C5"/>
    <w:rsid w:val="00BB3514"/>
    <w:rsid w:val="00BB5886"/>
    <w:rsid w:val="00BB6058"/>
    <w:rsid w:val="00BC0DDC"/>
    <w:rsid w:val="00BC53EE"/>
    <w:rsid w:val="00BC6092"/>
    <w:rsid w:val="00BC7017"/>
    <w:rsid w:val="00BD0462"/>
    <w:rsid w:val="00BD36D4"/>
    <w:rsid w:val="00BD6D9D"/>
    <w:rsid w:val="00BE3767"/>
    <w:rsid w:val="00BE4226"/>
    <w:rsid w:val="00BE7769"/>
    <w:rsid w:val="00BF1E80"/>
    <w:rsid w:val="00BF4724"/>
    <w:rsid w:val="00C01440"/>
    <w:rsid w:val="00C01F50"/>
    <w:rsid w:val="00C043D4"/>
    <w:rsid w:val="00C06D77"/>
    <w:rsid w:val="00C112DC"/>
    <w:rsid w:val="00C13744"/>
    <w:rsid w:val="00C17617"/>
    <w:rsid w:val="00C200ED"/>
    <w:rsid w:val="00C20B90"/>
    <w:rsid w:val="00C236F1"/>
    <w:rsid w:val="00C2496D"/>
    <w:rsid w:val="00C25A73"/>
    <w:rsid w:val="00C318B7"/>
    <w:rsid w:val="00C3345E"/>
    <w:rsid w:val="00C340D4"/>
    <w:rsid w:val="00C4613F"/>
    <w:rsid w:val="00C46A7B"/>
    <w:rsid w:val="00C46CA0"/>
    <w:rsid w:val="00C51361"/>
    <w:rsid w:val="00C5330D"/>
    <w:rsid w:val="00C61B03"/>
    <w:rsid w:val="00C62715"/>
    <w:rsid w:val="00C6389C"/>
    <w:rsid w:val="00C72467"/>
    <w:rsid w:val="00C753FF"/>
    <w:rsid w:val="00C766E5"/>
    <w:rsid w:val="00C77483"/>
    <w:rsid w:val="00C82984"/>
    <w:rsid w:val="00C829CD"/>
    <w:rsid w:val="00C83E66"/>
    <w:rsid w:val="00C949C9"/>
    <w:rsid w:val="00C952E3"/>
    <w:rsid w:val="00C96D6D"/>
    <w:rsid w:val="00CA084B"/>
    <w:rsid w:val="00CA0A9F"/>
    <w:rsid w:val="00CA6B37"/>
    <w:rsid w:val="00CA79C7"/>
    <w:rsid w:val="00CB0F60"/>
    <w:rsid w:val="00CB4B6D"/>
    <w:rsid w:val="00CB4C44"/>
    <w:rsid w:val="00CB62AC"/>
    <w:rsid w:val="00CC62D3"/>
    <w:rsid w:val="00CD2BA3"/>
    <w:rsid w:val="00CD429C"/>
    <w:rsid w:val="00CD4A95"/>
    <w:rsid w:val="00CE0611"/>
    <w:rsid w:val="00CE242A"/>
    <w:rsid w:val="00CE3B20"/>
    <w:rsid w:val="00CF053C"/>
    <w:rsid w:val="00CF12FB"/>
    <w:rsid w:val="00CF41BB"/>
    <w:rsid w:val="00CF646F"/>
    <w:rsid w:val="00D005E5"/>
    <w:rsid w:val="00D01878"/>
    <w:rsid w:val="00D03311"/>
    <w:rsid w:val="00D03EC3"/>
    <w:rsid w:val="00D11F5D"/>
    <w:rsid w:val="00D137A5"/>
    <w:rsid w:val="00D15C1F"/>
    <w:rsid w:val="00D15EE2"/>
    <w:rsid w:val="00D20051"/>
    <w:rsid w:val="00D219A5"/>
    <w:rsid w:val="00D23D6F"/>
    <w:rsid w:val="00D27467"/>
    <w:rsid w:val="00D341B1"/>
    <w:rsid w:val="00D34F9B"/>
    <w:rsid w:val="00D366D8"/>
    <w:rsid w:val="00D40B62"/>
    <w:rsid w:val="00D40D3C"/>
    <w:rsid w:val="00D42EF9"/>
    <w:rsid w:val="00D43806"/>
    <w:rsid w:val="00D43886"/>
    <w:rsid w:val="00D43B13"/>
    <w:rsid w:val="00D57937"/>
    <w:rsid w:val="00D57B93"/>
    <w:rsid w:val="00D60D56"/>
    <w:rsid w:val="00D6175D"/>
    <w:rsid w:val="00D66F65"/>
    <w:rsid w:val="00D67B29"/>
    <w:rsid w:val="00D7219D"/>
    <w:rsid w:val="00D721F0"/>
    <w:rsid w:val="00D7594D"/>
    <w:rsid w:val="00D7645C"/>
    <w:rsid w:val="00D80AAC"/>
    <w:rsid w:val="00D82009"/>
    <w:rsid w:val="00D82457"/>
    <w:rsid w:val="00D83A3B"/>
    <w:rsid w:val="00D84F89"/>
    <w:rsid w:val="00D90A95"/>
    <w:rsid w:val="00D93F9E"/>
    <w:rsid w:val="00D97782"/>
    <w:rsid w:val="00DA60D1"/>
    <w:rsid w:val="00DB09C8"/>
    <w:rsid w:val="00DB182A"/>
    <w:rsid w:val="00DB48AB"/>
    <w:rsid w:val="00DC4981"/>
    <w:rsid w:val="00DC7FEF"/>
    <w:rsid w:val="00DD2980"/>
    <w:rsid w:val="00DD4EAB"/>
    <w:rsid w:val="00DD5188"/>
    <w:rsid w:val="00DD5AE6"/>
    <w:rsid w:val="00DE4C23"/>
    <w:rsid w:val="00DE58C1"/>
    <w:rsid w:val="00DF0513"/>
    <w:rsid w:val="00DF1605"/>
    <w:rsid w:val="00DF34DD"/>
    <w:rsid w:val="00DF4706"/>
    <w:rsid w:val="00DF519A"/>
    <w:rsid w:val="00DF7163"/>
    <w:rsid w:val="00E00F6F"/>
    <w:rsid w:val="00E04FCE"/>
    <w:rsid w:val="00E05365"/>
    <w:rsid w:val="00E06C3B"/>
    <w:rsid w:val="00E1128E"/>
    <w:rsid w:val="00E125BC"/>
    <w:rsid w:val="00E20695"/>
    <w:rsid w:val="00E25A27"/>
    <w:rsid w:val="00E25C34"/>
    <w:rsid w:val="00E26FE2"/>
    <w:rsid w:val="00E36EAF"/>
    <w:rsid w:val="00E42128"/>
    <w:rsid w:val="00E44243"/>
    <w:rsid w:val="00E502A9"/>
    <w:rsid w:val="00E517D0"/>
    <w:rsid w:val="00E530A2"/>
    <w:rsid w:val="00E537E1"/>
    <w:rsid w:val="00E53A47"/>
    <w:rsid w:val="00E557A0"/>
    <w:rsid w:val="00E5697F"/>
    <w:rsid w:val="00E574F9"/>
    <w:rsid w:val="00E57E59"/>
    <w:rsid w:val="00E60114"/>
    <w:rsid w:val="00E607B4"/>
    <w:rsid w:val="00E6153A"/>
    <w:rsid w:val="00E71010"/>
    <w:rsid w:val="00E73319"/>
    <w:rsid w:val="00E739DC"/>
    <w:rsid w:val="00E73D2A"/>
    <w:rsid w:val="00E951F2"/>
    <w:rsid w:val="00E96865"/>
    <w:rsid w:val="00EA3B49"/>
    <w:rsid w:val="00EB366E"/>
    <w:rsid w:val="00EB4628"/>
    <w:rsid w:val="00EB717D"/>
    <w:rsid w:val="00EB7252"/>
    <w:rsid w:val="00EC15D0"/>
    <w:rsid w:val="00EC3188"/>
    <w:rsid w:val="00ED6D1E"/>
    <w:rsid w:val="00EE2F61"/>
    <w:rsid w:val="00EE30B5"/>
    <w:rsid w:val="00EE65E6"/>
    <w:rsid w:val="00EE681D"/>
    <w:rsid w:val="00EF0073"/>
    <w:rsid w:val="00EF40E0"/>
    <w:rsid w:val="00EF4606"/>
    <w:rsid w:val="00F007F9"/>
    <w:rsid w:val="00F00BFD"/>
    <w:rsid w:val="00F03AEC"/>
    <w:rsid w:val="00F040D1"/>
    <w:rsid w:val="00F04508"/>
    <w:rsid w:val="00F045C3"/>
    <w:rsid w:val="00F07033"/>
    <w:rsid w:val="00F07D42"/>
    <w:rsid w:val="00F11ACF"/>
    <w:rsid w:val="00F139FB"/>
    <w:rsid w:val="00F16318"/>
    <w:rsid w:val="00F232F9"/>
    <w:rsid w:val="00F2382A"/>
    <w:rsid w:val="00F24AD5"/>
    <w:rsid w:val="00F25EDC"/>
    <w:rsid w:val="00F26261"/>
    <w:rsid w:val="00F270D4"/>
    <w:rsid w:val="00F31D2C"/>
    <w:rsid w:val="00F339C6"/>
    <w:rsid w:val="00F35303"/>
    <w:rsid w:val="00F354CA"/>
    <w:rsid w:val="00F35A54"/>
    <w:rsid w:val="00F36435"/>
    <w:rsid w:val="00F37E31"/>
    <w:rsid w:val="00F40FEA"/>
    <w:rsid w:val="00F5103C"/>
    <w:rsid w:val="00F6472A"/>
    <w:rsid w:val="00F67F54"/>
    <w:rsid w:val="00F7273B"/>
    <w:rsid w:val="00F75D5F"/>
    <w:rsid w:val="00F76078"/>
    <w:rsid w:val="00F80607"/>
    <w:rsid w:val="00F8118E"/>
    <w:rsid w:val="00F82E46"/>
    <w:rsid w:val="00F844EF"/>
    <w:rsid w:val="00F84A74"/>
    <w:rsid w:val="00F910BD"/>
    <w:rsid w:val="00F94CE4"/>
    <w:rsid w:val="00F97516"/>
    <w:rsid w:val="00FA0120"/>
    <w:rsid w:val="00FA09EC"/>
    <w:rsid w:val="00FA0BE2"/>
    <w:rsid w:val="00FA0C1F"/>
    <w:rsid w:val="00FB76EB"/>
    <w:rsid w:val="00FC068F"/>
    <w:rsid w:val="00FC0D8B"/>
    <w:rsid w:val="00FC4D9F"/>
    <w:rsid w:val="00FD0B18"/>
    <w:rsid w:val="00FD30CF"/>
    <w:rsid w:val="00FD4BE0"/>
    <w:rsid w:val="00FD5AB9"/>
    <w:rsid w:val="00FD5D2A"/>
    <w:rsid w:val="00FD5D67"/>
    <w:rsid w:val="00FD7DFB"/>
    <w:rsid w:val="00FE17B4"/>
    <w:rsid w:val="00FF31DB"/>
    <w:rsid w:val="00FF3947"/>
    <w:rsid w:val="00FF4EE1"/>
    <w:rsid w:val="00FF53BD"/>
    <w:rsid w:val="00FF63C5"/>
    <w:rsid w:val="0109449D"/>
    <w:rsid w:val="016267AF"/>
    <w:rsid w:val="01A054EB"/>
    <w:rsid w:val="020A533B"/>
    <w:rsid w:val="020E11E6"/>
    <w:rsid w:val="02CB7387"/>
    <w:rsid w:val="035E5A50"/>
    <w:rsid w:val="03BB72CB"/>
    <w:rsid w:val="040E0336"/>
    <w:rsid w:val="05996C41"/>
    <w:rsid w:val="05B261EE"/>
    <w:rsid w:val="05B94174"/>
    <w:rsid w:val="06025D37"/>
    <w:rsid w:val="0646018C"/>
    <w:rsid w:val="06745162"/>
    <w:rsid w:val="06872D56"/>
    <w:rsid w:val="06A115EB"/>
    <w:rsid w:val="0710543F"/>
    <w:rsid w:val="071E4D7A"/>
    <w:rsid w:val="072365A6"/>
    <w:rsid w:val="07EE6F8A"/>
    <w:rsid w:val="084144A6"/>
    <w:rsid w:val="08E45F22"/>
    <w:rsid w:val="08F12536"/>
    <w:rsid w:val="0934768A"/>
    <w:rsid w:val="09C00A46"/>
    <w:rsid w:val="0A2E299B"/>
    <w:rsid w:val="0A5811F2"/>
    <w:rsid w:val="0B12318C"/>
    <w:rsid w:val="0B1D164B"/>
    <w:rsid w:val="0B8A2CB3"/>
    <w:rsid w:val="0BB319F7"/>
    <w:rsid w:val="0C091117"/>
    <w:rsid w:val="0C4C3EA5"/>
    <w:rsid w:val="0C722FE0"/>
    <w:rsid w:val="0DCC6A32"/>
    <w:rsid w:val="0E0E7D9E"/>
    <w:rsid w:val="0F0B5702"/>
    <w:rsid w:val="0FEF02B3"/>
    <w:rsid w:val="10154C7D"/>
    <w:rsid w:val="103A0E75"/>
    <w:rsid w:val="115A3F83"/>
    <w:rsid w:val="11722104"/>
    <w:rsid w:val="11BE59B7"/>
    <w:rsid w:val="11CF2D47"/>
    <w:rsid w:val="12622E11"/>
    <w:rsid w:val="12DC207D"/>
    <w:rsid w:val="12ED1E9A"/>
    <w:rsid w:val="13112957"/>
    <w:rsid w:val="13D7686E"/>
    <w:rsid w:val="13E06AA1"/>
    <w:rsid w:val="144559C7"/>
    <w:rsid w:val="15817A31"/>
    <w:rsid w:val="16212D47"/>
    <w:rsid w:val="16BF5E8B"/>
    <w:rsid w:val="16EF4467"/>
    <w:rsid w:val="176628A6"/>
    <w:rsid w:val="1801155D"/>
    <w:rsid w:val="18593DCA"/>
    <w:rsid w:val="188F425B"/>
    <w:rsid w:val="188F6D10"/>
    <w:rsid w:val="189317E1"/>
    <w:rsid w:val="18DC4F2E"/>
    <w:rsid w:val="196F4C16"/>
    <w:rsid w:val="198F39B3"/>
    <w:rsid w:val="19AC7FDA"/>
    <w:rsid w:val="1A1232E3"/>
    <w:rsid w:val="1A480A58"/>
    <w:rsid w:val="1AA14C2C"/>
    <w:rsid w:val="1AE96F5E"/>
    <w:rsid w:val="1B482BAF"/>
    <w:rsid w:val="1B637B01"/>
    <w:rsid w:val="1B6C0AC2"/>
    <w:rsid w:val="1C1604BD"/>
    <w:rsid w:val="1C242645"/>
    <w:rsid w:val="1C553106"/>
    <w:rsid w:val="1C5C5475"/>
    <w:rsid w:val="1CA70991"/>
    <w:rsid w:val="1CEE20FD"/>
    <w:rsid w:val="1E4F46DE"/>
    <w:rsid w:val="1E57514E"/>
    <w:rsid w:val="1EB25297"/>
    <w:rsid w:val="1F045739"/>
    <w:rsid w:val="1F7F2339"/>
    <w:rsid w:val="200741FE"/>
    <w:rsid w:val="2217457B"/>
    <w:rsid w:val="22970932"/>
    <w:rsid w:val="22AD4E6D"/>
    <w:rsid w:val="23410D13"/>
    <w:rsid w:val="23D779B1"/>
    <w:rsid w:val="244C5ECA"/>
    <w:rsid w:val="24DD6377"/>
    <w:rsid w:val="25E77368"/>
    <w:rsid w:val="264100CC"/>
    <w:rsid w:val="268D5098"/>
    <w:rsid w:val="269C40FA"/>
    <w:rsid w:val="26A73075"/>
    <w:rsid w:val="26B6427B"/>
    <w:rsid w:val="26D80E30"/>
    <w:rsid w:val="27083122"/>
    <w:rsid w:val="270F17A0"/>
    <w:rsid w:val="272F5791"/>
    <w:rsid w:val="27561289"/>
    <w:rsid w:val="27624414"/>
    <w:rsid w:val="284B0617"/>
    <w:rsid w:val="290820F7"/>
    <w:rsid w:val="29363E93"/>
    <w:rsid w:val="29DB165E"/>
    <w:rsid w:val="29F2514F"/>
    <w:rsid w:val="2A257206"/>
    <w:rsid w:val="2AA21FC5"/>
    <w:rsid w:val="2AAF63C7"/>
    <w:rsid w:val="2B3E1355"/>
    <w:rsid w:val="2B8A3F6C"/>
    <w:rsid w:val="2DA60509"/>
    <w:rsid w:val="2E6F739C"/>
    <w:rsid w:val="2EB268FD"/>
    <w:rsid w:val="2F0823C6"/>
    <w:rsid w:val="2F315232"/>
    <w:rsid w:val="2F3B040D"/>
    <w:rsid w:val="2F45200D"/>
    <w:rsid w:val="2F4E29C3"/>
    <w:rsid w:val="30706B6B"/>
    <w:rsid w:val="30800489"/>
    <w:rsid w:val="308754BF"/>
    <w:rsid w:val="30BD6A03"/>
    <w:rsid w:val="30D47E06"/>
    <w:rsid w:val="30FC001F"/>
    <w:rsid w:val="31335A72"/>
    <w:rsid w:val="31AA6490"/>
    <w:rsid w:val="31EE4B36"/>
    <w:rsid w:val="322E7B02"/>
    <w:rsid w:val="329802DA"/>
    <w:rsid w:val="32B21087"/>
    <w:rsid w:val="330146FE"/>
    <w:rsid w:val="335D75EB"/>
    <w:rsid w:val="33D7599C"/>
    <w:rsid w:val="346045FB"/>
    <w:rsid w:val="3464369B"/>
    <w:rsid w:val="36CE71D3"/>
    <w:rsid w:val="372236AF"/>
    <w:rsid w:val="38296DEB"/>
    <w:rsid w:val="382A3E42"/>
    <w:rsid w:val="38B144A1"/>
    <w:rsid w:val="394F695D"/>
    <w:rsid w:val="395B1E22"/>
    <w:rsid w:val="39773BA2"/>
    <w:rsid w:val="39A0476E"/>
    <w:rsid w:val="39BF6BB9"/>
    <w:rsid w:val="3A117D91"/>
    <w:rsid w:val="3BC44B7A"/>
    <w:rsid w:val="3BD56116"/>
    <w:rsid w:val="3C310BCE"/>
    <w:rsid w:val="3C6B58D1"/>
    <w:rsid w:val="3CD11481"/>
    <w:rsid w:val="3D0F545F"/>
    <w:rsid w:val="3D4D3707"/>
    <w:rsid w:val="3D805A00"/>
    <w:rsid w:val="3E0028F8"/>
    <w:rsid w:val="3E3C5E53"/>
    <w:rsid w:val="3F082F78"/>
    <w:rsid w:val="3F3146B5"/>
    <w:rsid w:val="3FAF0F8B"/>
    <w:rsid w:val="40456F00"/>
    <w:rsid w:val="408753EB"/>
    <w:rsid w:val="40D554EA"/>
    <w:rsid w:val="414473E5"/>
    <w:rsid w:val="41C2107D"/>
    <w:rsid w:val="42833F2C"/>
    <w:rsid w:val="43D503BB"/>
    <w:rsid w:val="44647FC2"/>
    <w:rsid w:val="447A3CB3"/>
    <w:rsid w:val="44CE0F4D"/>
    <w:rsid w:val="45424BB5"/>
    <w:rsid w:val="45B24026"/>
    <w:rsid w:val="465368E1"/>
    <w:rsid w:val="46FB537F"/>
    <w:rsid w:val="477101D8"/>
    <w:rsid w:val="477956BD"/>
    <w:rsid w:val="47A34110"/>
    <w:rsid w:val="47C565ED"/>
    <w:rsid w:val="4823683B"/>
    <w:rsid w:val="483F074C"/>
    <w:rsid w:val="48AC07D9"/>
    <w:rsid w:val="491E172A"/>
    <w:rsid w:val="4933648F"/>
    <w:rsid w:val="493375A8"/>
    <w:rsid w:val="49A427C7"/>
    <w:rsid w:val="4A896855"/>
    <w:rsid w:val="4A916990"/>
    <w:rsid w:val="4AC778FD"/>
    <w:rsid w:val="4B1A6964"/>
    <w:rsid w:val="4B1C0999"/>
    <w:rsid w:val="4B2B1EF8"/>
    <w:rsid w:val="4B6236CA"/>
    <w:rsid w:val="4BA9472E"/>
    <w:rsid w:val="4BB916E0"/>
    <w:rsid w:val="4CCB4B7B"/>
    <w:rsid w:val="4CEF617E"/>
    <w:rsid w:val="4CF20BD5"/>
    <w:rsid w:val="4D255FA0"/>
    <w:rsid w:val="4D7C592E"/>
    <w:rsid w:val="4DAC7878"/>
    <w:rsid w:val="4DD35C44"/>
    <w:rsid w:val="4E2F52BD"/>
    <w:rsid w:val="4F676753"/>
    <w:rsid w:val="4FA42AAD"/>
    <w:rsid w:val="4FEF3B18"/>
    <w:rsid w:val="4FFB4AB9"/>
    <w:rsid w:val="500A6ACF"/>
    <w:rsid w:val="50462BED"/>
    <w:rsid w:val="50732BF9"/>
    <w:rsid w:val="50BF5CCC"/>
    <w:rsid w:val="50C06248"/>
    <w:rsid w:val="51BE60E7"/>
    <w:rsid w:val="51F75A75"/>
    <w:rsid w:val="527C37E2"/>
    <w:rsid w:val="527D0DF9"/>
    <w:rsid w:val="52C164D5"/>
    <w:rsid w:val="53486998"/>
    <w:rsid w:val="53617407"/>
    <w:rsid w:val="53FA754C"/>
    <w:rsid w:val="550E3B1C"/>
    <w:rsid w:val="554344C8"/>
    <w:rsid w:val="55A73FC5"/>
    <w:rsid w:val="560E64BE"/>
    <w:rsid w:val="563E38BD"/>
    <w:rsid w:val="56907F35"/>
    <w:rsid w:val="56BB705A"/>
    <w:rsid w:val="56DA1C15"/>
    <w:rsid w:val="57B35204"/>
    <w:rsid w:val="58A978B0"/>
    <w:rsid w:val="58E501C4"/>
    <w:rsid w:val="591879F5"/>
    <w:rsid w:val="59894B9F"/>
    <w:rsid w:val="5A263A8C"/>
    <w:rsid w:val="5AD55F41"/>
    <w:rsid w:val="5B206B04"/>
    <w:rsid w:val="5B4049E0"/>
    <w:rsid w:val="5BAB0E99"/>
    <w:rsid w:val="5C095DE3"/>
    <w:rsid w:val="5CE9016E"/>
    <w:rsid w:val="5D153266"/>
    <w:rsid w:val="5D177E5E"/>
    <w:rsid w:val="5D3C4BDE"/>
    <w:rsid w:val="5D651FE8"/>
    <w:rsid w:val="5DD34D49"/>
    <w:rsid w:val="5DFF3AC4"/>
    <w:rsid w:val="5E002337"/>
    <w:rsid w:val="5E870DE3"/>
    <w:rsid w:val="5EA02081"/>
    <w:rsid w:val="5EB021A9"/>
    <w:rsid w:val="5F890094"/>
    <w:rsid w:val="604D7CC5"/>
    <w:rsid w:val="60863D99"/>
    <w:rsid w:val="609571EC"/>
    <w:rsid w:val="60C44AC5"/>
    <w:rsid w:val="60FE55BD"/>
    <w:rsid w:val="611D5159"/>
    <w:rsid w:val="612E7869"/>
    <w:rsid w:val="61360729"/>
    <w:rsid w:val="61611F1C"/>
    <w:rsid w:val="61784A39"/>
    <w:rsid w:val="61B06BEC"/>
    <w:rsid w:val="61D11487"/>
    <w:rsid w:val="61F017BB"/>
    <w:rsid w:val="61FC37ED"/>
    <w:rsid w:val="624F57BA"/>
    <w:rsid w:val="62567D6F"/>
    <w:rsid w:val="62B07C9F"/>
    <w:rsid w:val="639351F2"/>
    <w:rsid w:val="639925CA"/>
    <w:rsid w:val="643D2685"/>
    <w:rsid w:val="658BB9D0"/>
    <w:rsid w:val="65CC595E"/>
    <w:rsid w:val="6651700F"/>
    <w:rsid w:val="66607BB5"/>
    <w:rsid w:val="66DA7F7C"/>
    <w:rsid w:val="675A04A9"/>
    <w:rsid w:val="67C81147"/>
    <w:rsid w:val="68086DBE"/>
    <w:rsid w:val="680925D5"/>
    <w:rsid w:val="680D241E"/>
    <w:rsid w:val="6836629A"/>
    <w:rsid w:val="687014C9"/>
    <w:rsid w:val="68847AA9"/>
    <w:rsid w:val="688849DA"/>
    <w:rsid w:val="694546C4"/>
    <w:rsid w:val="6988602D"/>
    <w:rsid w:val="6A8C2018"/>
    <w:rsid w:val="6B026BA0"/>
    <w:rsid w:val="6B2A3981"/>
    <w:rsid w:val="6B96448A"/>
    <w:rsid w:val="6BA74ECA"/>
    <w:rsid w:val="6BDA5545"/>
    <w:rsid w:val="6C16151F"/>
    <w:rsid w:val="6CDC784B"/>
    <w:rsid w:val="6D2F1066"/>
    <w:rsid w:val="6E940BEF"/>
    <w:rsid w:val="6EA67D62"/>
    <w:rsid w:val="6EDD397F"/>
    <w:rsid w:val="6F03012E"/>
    <w:rsid w:val="6F39069D"/>
    <w:rsid w:val="6F7F1A93"/>
    <w:rsid w:val="6F8A7431"/>
    <w:rsid w:val="70542B7D"/>
    <w:rsid w:val="708F508D"/>
    <w:rsid w:val="70A67BB3"/>
    <w:rsid w:val="70C614C2"/>
    <w:rsid w:val="70C84FB5"/>
    <w:rsid w:val="71035075"/>
    <w:rsid w:val="710C0C25"/>
    <w:rsid w:val="71105B0B"/>
    <w:rsid w:val="71376883"/>
    <w:rsid w:val="71412385"/>
    <w:rsid w:val="716F0DA2"/>
    <w:rsid w:val="7289330B"/>
    <w:rsid w:val="72DA7695"/>
    <w:rsid w:val="72E4154B"/>
    <w:rsid w:val="73CB7F1D"/>
    <w:rsid w:val="740030F2"/>
    <w:rsid w:val="75B0046F"/>
    <w:rsid w:val="75EF2DFD"/>
    <w:rsid w:val="76D71891"/>
    <w:rsid w:val="7746079B"/>
    <w:rsid w:val="77AC1B48"/>
    <w:rsid w:val="783074D9"/>
    <w:rsid w:val="78E4356D"/>
    <w:rsid w:val="79C627D6"/>
    <w:rsid w:val="79D65A32"/>
    <w:rsid w:val="79FC0B99"/>
    <w:rsid w:val="7A090E9C"/>
    <w:rsid w:val="7A19133B"/>
    <w:rsid w:val="7B2C41DA"/>
    <w:rsid w:val="7B413180"/>
    <w:rsid w:val="7C052ADA"/>
    <w:rsid w:val="7C0E781F"/>
    <w:rsid w:val="7C195B55"/>
    <w:rsid w:val="7C33608D"/>
    <w:rsid w:val="7D653F46"/>
    <w:rsid w:val="7D940FDA"/>
    <w:rsid w:val="7F04064C"/>
    <w:rsid w:val="7F3E1444"/>
    <w:rsid w:val="7F423327"/>
    <w:rsid w:val="7F6409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10F558"/>
  <w15:docId w15:val="{B2FC8F6F-8063-47F8-964E-3A060F154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paragraph" w:styleId="3">
    <w:name w:val="heading 3"/>
    <w:basedOn w:val="a"/>
    <w:next w:val="a"/>
    <w:uiPriority w:val="9"/>
    <w:semiHidden/>
    <w:unhideWhenUsed/>
    <w:qFormat/>
    <w:pPr>
      <w:spacing w:beforeAutospacing="1" w:afterAutospacing="1"/>
      <w:jc w:val="left"/>
      <w:outlineLvl w:val="2"/>
    </w:pPr>
    <w:rPr>
      <w:rFonts w:ascii="宋体" w:hAnsi="宋体" w:hint="eastAsia"/>
      <w:b/>
      <w:bCs/>
      <w:kern w:val="0"/>
      <w:sz w:val="27"/>
      <w:szCs w:val="27"/>
    </w:rPr>
  </w:style>
  <w:style w:type="paragraph" w:styleId="5">
    <w:name w:val="heading 5"/>
    <w:basedOn w:val="a"/>
    <w:next w:val="a"/>
    <w:uiPriority w:val="9"/>
    <w:semiHidden/>
    <w:unhideWhenUsed/>
    <w:qFormat/>
    <w:pPr>
      <w:spacing w:beforeAutospacing="1" w:afterAutospacing="1"/>
      <w:jc w:val="left"/>
      <w:outlineLvl w:val="4"/>
    </w:pPr>
    <w:rPr>
      <w:rFonts w:ascii="宋体" w:hAnsi="宋体" w:hint="eastAsia"/>
      <w:b/>
      <w:bCs/>
      <w:kern w:val="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Indent"/>
    <w:basedOn w:val="a"/>
    <w:link w:val="a6"/>
    <w:qFormat/>
    <w:pPr>
      <w:spacing w:after="120"/>
      <w:ind w:leftChars="200" w:left="200"/>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3"/>
    <w:next w:val="a3"/>
    <w:link w:val="ae"/>
    <w:uiPriority w:val="99"/>
    <w:semiHidden/>
    <w:unhideWhenUsed/>
    <w:qFormat/>
    <w:rPr>
      <w:b/>
      <w:bCs/>
    </w:rPr>
  </w:style>
  <w:style w:type="character" w:styleId="af">
    <w:name w:val="Strong"/>
    <w:basedOn w:val="a0"/>
    <w:uiPriority w:val="22"/>
    <w:qFormat/>
    <w:rPr>
      <w:b/>
    </w:rPr>
  </w:style>
  <w:style w:type="character" w:styleId="af0">
    <w:name w:val="Hyperlink"/>
    <w:basedOn w:val="a0"/>
    <w:uiPriority w:val="99"/>
    <w:unhideWhenUsed/>
    <w:qFormat/>
    <w:rPr>
      <w:color w:val="0000FF"/>
      <w:u w:val="single"/>
    </w:rPr>
  </w:style>
  <w:style w:type="character" w:styleId="af1">
    <w:name w:val="annotation reference"/>
    <w:basedOn w:val="a0"/>
    <w:uiPriority w:val="99"/>
    <w:semiHidden/>
    <w:unhideWhenUsed/>
    <w:qFormat/>
    <w:rPr>
      <w:sz w:val="21"/>
      <w:szCs w:val="21"/>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6">
    <w:name w:val="正文文本缩进 字符"/>
    <w:basedOn w:val="a0"/>
    <w:link w:val="a5"/>
    <w:qFormat/>
    <w:rPr>
      <w:rFonts w:ascii="Times New Roman" w:eastAsia="宋体" w:hAnsi="Times New Roman" w:cs="Times New Roman"/>
      <w:szCs w:val="20"/>
    </w:rPr>
  </w:style>
  <w:style w:type="character" w:customStyle="1" w:styleId="a8">
    <w:name w:val="批注框文本 字符"/>
    <w:basedOn w:val="a0"/>
    <w:link w:val="a7"/>
    <w:uiPriority w:val="99"/>
    <w:semiHidden/>
    <w:qFormat/>
    <w:rPr>
      <w:rFonts w:ascii="Times New Roman" w:eastAsia="宋体" w:hAnsi="Times New Roman" w:cs="Times New Roman"/>
      <w:sz w:val="18"/>
      <w:szCs w:val="18"/>
    </w:rPr>
  </w:style>
  <w:style w:type="paragraph" w:styleId="af2">
    <w:name w:val="List Paragraph"/>
    <w:basedOn w:val="a"/>
    <w:uiPriority w:val="34"/>
    <w:qFormat/>
    <w:pPr>
      <w:ind w:firstLineChars="200" w:firstLine="420"/>
    </w:pPr>
  </w:style>
  <w:style w:type="character" w:customStyle="1" w:styleId="a4">
    <w:name w:val="批注文字 字符"/>
    <w:basedOn w:val="a0"/>
    <w:link w:val="a3"/>
    <w:uiPriority w:val="99"/>
    <w:semiHidden/>
    <w:qFormat/>
    <w:rPr>
      <w:rFonts w:ascii="Times New Roman" w:eastAsia="宋体" w:hAnsi="Times New Roman" w:cs="Times New Roman"/>
      <w:kern w:val="2"/>
      <w:sz w:val="21"/>
    </w:rPr>
  </w:style>
  <w:style w:type="character" w:customStyle="1" w:styleId="ae">
    <w:name w:val="批注主题 字符"/>
    <w:basedOn w:val="a4"/>
    <w:link w:val="ad"/>
    <w:uiPriority w:val="99"/>
    <w:semiHidden/>
    <w:qFormat/>
    <w:rPr>
      <w:rFonts w:ascii="Times New Roman" w:eastAsia="宋体" w:hAnsi="Times New Roman" w:cs="Times New Roman"/>
      <w:b/>
      <w:bCs/>
      <w:kern w:val="2"/>
      <w:sz w:val="21"/>
    </w:rPr>
  </w:style>
  <w:style w:type="paragraph" w:customStyle="1" w:styleId="1">
    <w:name w:val="修订1"/>
    <w:hidden/>
    <w:uiPriority w:val="99"/>
    <w:semiHidden/>
    <w:qFormat/>
    <w:rPr>
      <w:kern w:val="2"/>
      <w:sz w:val="21"/>
    </w:rPr>
  </w:style>
  <w:style w:type="paragraph" w:customStyle="1" w:styleId="2">
    <w:name w:val="修订2"/>
    <w:hidden/>
    <w:uiPriority w:val="99"/>
    <w:semiHidden/>
    <w:qFormat/>
    <w:rPr>
      <w:kern w:val="2"/>
      <w:sz w:val="21"/>
    </w:rPr>
  </w:style>
  <w:style w:type="paragraph" w:customStyle="1" w:styleId="30">
    <w:name w:val="修订3"/>
    <w:hidden/>
    <w:uiPriority w:val="99"/>
    <w:unhideWhenUsed/>
    <w:qFormat/>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264804">
      <w:bodyDiv w:val="1"/>
      <w:marLeft w:val="0"/>
      <w:marRight w:val="0"/>
      <w:marTop w:val="0"/>
      <w:marBottom w:val="0"/>
      <w:divBdr>
        <w:top w:val="none" w:sz="0" w:space="0" w:color="auto"/>
        <w:left w:val="none" w:sz="0" w:space="0" w:color="auto"/>
        <w:bottom w:val="none" w:sz="0" w:space="0" w:color="auto"/>
        <w:right w:val="none" w:sz="0" w:space="0" w:color="auto"/>
      </w:divBdr>
      <w:divsChild>
        <w:div w:id="184191924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D095D86C-396B-4645-BFBA-DE0DADC82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4</Pages>
  <Words>370</Words>
  <Characters>2111</Characters>
  <Application>Microsoft Office Word</Application>
  <DocSecurity>0</DocSecurity>
  <Lines>17</Lines>
  <Paragraphs>4</Paragraphs>
  <ScaleCrop>false</ScaleCrop>
  <Company>小康工业集团股份有限公司</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jingwen.zhang(张敬文237318)</cp:lastModifiedBy>
  <cp:revision>4</cp:revision>
  <cp:lastPrinted>2026-01-07T09:52:00Z</cp:lastPrinted>
  <dcterms:created xsi:type="dcterms:W3CDTF">2026-10-08T08:43:00Z</dcterms:created>
  <dcterms:modified xsi:type="dcterms:W3CDTF">2026-10-08T07:32:00Z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2052-12.9.0.20771</vt:lpwstr>
  </property>
  <property fmtid="{D5CDD505-2E9C-101B-9397-08002B2CF9AE}" pid="3" name="ICV">
    <vt:lpwstr>8FF3A414056E28A01812C76A872B13E9_43</vt:lpwstr>
  </property>
</Properties>
</file>