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9FC381">
      <w:pPr>
        <w:jc w:val="left"/>
        <w:rPr>
          <w:rFonts w:hint="default" w:ascii="宋体" w:hAnsi="宋体"/>
          <w:sz w:val="24"/>
          <w:szCs w:val="24"/>
          <w:lang w:val="en-US"/>
        </w:rPr>
      </w:pPr>
      <w:r>
        <w:rPr>
          <w:rFonts w:hint="eastAsia" w:ascii="宋体" w:hAnsi="宋体"/>
          <w:sz w:val="24"/>
          <w:szCs w:val="24"/>
        </w:rPr>
        <w:t>证券代码：</w:t>
      </w:r>
      <w:r>
        <w:rPr>
          <w:rFonts w:hint="default" w:ascii="宋体" w:hAnsi="宋体"/>
          <w:sz w:val="24"/>
          <w:szCs w:val="24"/>
          <w:lang w:val="en-US"/>
        </w:rPr>
        <w:t>603777</w:t>
      </w:r>
      <w:r>
        <w:rPr>
          <w:rFonts w:hint="eastAsia" w:ascii="宋体" w:hAnsi="宋体"/>
          <w:sz w:val="24"/>
          <w:szCs w:val="24"/>
        </w:rPr>
        <w:t xml:space="preserve">                      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hint="eastAsia" w:ascii="宋体" w:hAnsi="宋体"/>
          <w:sz w:val="24"/>
          <w:szCs w:val="24"/>
        </w:rPr>
        <w:t>公司简称：</w:t>
      </w:r>
      <w:r>
        <w:rPr>
          <w:rFonts w:hint="default" w:ascii="宋体" w:hAnsi="宋体"/>
          <w:sz w:val="24"/>
          <w:szCs w:val="24"/>
          <w:lang w:val="en-US"/>
        </w:rPr>
        <w:t>来伊份</w:t>
      </w:r>
    </w:p>
    <w:p w14:paraId="4B23DF91">
      <w:pPr>
        <w:jc w:val="left"/>
        <w:rPr>
          <w:rFonts w:hint="default" w:ascii="宋体" w:hAnsi="宋体"/>
          <w:sz w:val="24"/>
          <w:szCs w:val="24"/>
          <w:lang w:val="en-US"/>
        </w:rPr>
      </w:pPr>
    </w:p>
    <w:p w14:paraId="4E53B9B4">
      <w:pPr>
        <w:jc w:val="center"/>
        <w:rPr>
          <w:rFonts w:hint="eastAsia" w:ascii="宋体" w:hAnsi="宋体" w:eastAsia="宋体" w:cs="宋体"/>
          <w:b w:val="0"/>
          <w:bCs w:val="0"/>
          <w:sz w:val="36"/>
          <w:szCs w:val="36"/>
        </w:rPr>
      </w:pPr>
      <w:r>
        <w:rPr>
          <w:rFonts w:hint="eastAsia" w:ascii="宋体" w:hAnsi="宋体" w:eastAsia="宋体" w:cs="宋体"/>
          <w:b w:val="0"/>
          <w:bCs w:val="0"/>
          <w:sz w:val="36"/>
          <w:szCs w:val="36"/>
        </w:rPr>
        <w:t>上海来伊份股份有限公司</w:t>
      </w:r>
    </w:p>
    <w:p w14:paraId="335680A6">
      <w:pPr>
        <w:jc w:val="center"/>
        <w:rPr>
          <w:rFonts w:hint="eastAsia" w:ascii="宋体" w:hAnsi="宋体" w:eastAsia="宋体" w:cs="宋体"/>
          <w:b w:val="0"/>
          <w:bCs w:val="0"/>
          <w:sz w:val="36"/>
          <w:szCs w:val="36"/>
        </w:rPr>
      </w:pPr>
      <w:r>
        <w:rPr>
          <w:rFonts w:hint="eastAsia" w:ascii="宋体" w:hAnsi="宋体" w:eastAsia="宋体" w:cs="宋体"/>
          <w:b w:val="0"/>
          <w:bCs w:val="0"/>
          <w:sz w:val="36"/>
          <w:szCs w:val="36"/>
        </w:rPr>
        <w:t>投资者关系活动记录表</w:t>
      </w:r>
    </w:p>
    <w:p w14:paraId="2D594F8F">
      <w:pPr>
        <w:jc w:val="center"/>
        <w:rPr>
          <w:rFonts w:ascii="黑体" w:hAnsi="黑体" w:eastAsia="黑体"/>
          <w:sz w:val="24"/>
          <w:szCs w:val="24"/>
        </w:rPr>
      </w:pPr>
    </w:p>
    <w:p w14:paraId="715C62C1">
      <w:pPr>
        <w:ind w:right="720"/>
        <w:jc w:val="right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</w:rPr>
        <w:t>编号：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2026-002</w:t>
      </w:r>
    </w:p>
    <w:tbl>
      <w:tblPr>
        <w:tblStyle w:val="4"/>
        <w:tblW w:w="871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7191"/>
      </w:tblGrid>
      <w:tr w14:paraId="78B03F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526" w:type="dxa"/>
            <w:noWrap w:val="0"/>
            <w:vAlign w:val="center"/>
          </w:tcPr>
          <w:p w14:paraId="78ABCCA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投资者关系活动类别</w:t>
            </w:r>
          </w:p>
        </w:tc>
        <w:tc>
          <w:tcPr>
            <w:tcW w:w="7191" w:type="dxa"/>
            <w:noWrap w:val="0"/>
            <w:vAlign w:val="center"/>
          </w:tcPr>
          <w:p w14:paraId="44D0929B">
            <w:pPr>
              <w:spacing w:line="360" w:lineRule="auto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业绩说明会</w:t>
            </w:r>
          </w:p>
        </w:tc>
      </w:tr>
      <w:tr w14:paraId="55B2B9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526" w:type="dxa"/>
            <w:noWrap w:val="0"/>
            <w:vAlign w:val="center"/>
          </w:tcPr>
          <w:p w14:paraId="617D09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活动主题</w:t>
            </w:r>
          </w:p>
        </w:tc>
        <w:tc>
          <w:tcPr>
            <w:tcW w:w="7191" w:type="dxa"/>
            <w:noWrap w:val="0"/>
            <w:vAlign w:val="center"/>
          </w:tcPr>
          <w:p w14:paraId="3711278E">
            <w:pPr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  <w:lang w:val="en-GB"/>
              </w:rPr>
              <w:t>来伊份2026年半年度业绩说明会</w:t>
            </w:r>
          </w:p>
        </w:tc>
      </w:tr>
      <w:tr w14:paraId="5882A5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526" w:type="dxa"/>
            <w:noWrap w:val="0"/>
            <w:vAlign w:val="center"/>
          </w:tcPr>
          <w:p w14:paraId="218862B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7191" w:type="dxa"/>
            <w:noWrap w:val="0"/>
            <w:vAlign w:val="center"/>
          </w:tcPr>
          <w:p w14:paraId="1F16AF22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</w:rPr>
              <w:t>2026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highlight w:val="none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</w:rPr>
              <w:t>10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highlight w:val="none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</w:rPr>
              <w:t>09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highlight w:val="none"/>
                <w:lang w:val="en-US" w:eastAsia="zh-CN"/>
              </w:rPr>
              <w:t xml:space="preserve">日星期五 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</w:rPr>
              <w:t xml:space="preserve"> 11:00-12:00</w:t>
            </w:r>
            <w:bookmarkStart w:id="0" w:name="_GoBack"/>
            <w:bookmarkEnd w:id="0"/>
          </w:p>
        </w:tc>
      </w:tr>
      <w:tr w14:paraId="774B27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526" w:type="dxa"/>
            <w:noWrap w:val="0"/>
            <w:vAlign w:val="center"/>
          </w:tcPr>
          <w:p w14:paraId="2D9DC3F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地点</w:t>
            </w:r>
            <w:r>
              <w:rPr>
                <w:rFonts w:hint="eastAsia" w:ascii="宋体" w:hAnsi="宋体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7191" w:type="dxa"/>
            <w:noWrap w:val="0"/>
            <w:vAlign w:val="top"/>
          </w:tcPr>
          <w:p w14:paraId="0E863345">
            <w:pPr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上证路演中心 </w:t>
            </w:r>
            <w:r>
              <w:fldChar w:fldCharType="begin"/>
            </w:r>
            <w:r>
              <w:instrText xml:space="preserve"> HYPERLINK "https://roadshow.sseinfo.com" </w:instrText>
            </w:r>
            <w:r>
              <w:fldChar w:fldCharType="separate"/>
            </w:r>
            <w:r>
              <w:rPr>
                <w:rStyle w:val="6"/>
                <w:rFonts w:hint="eastAsia" w:ascii="宋体" w:hAnsi="宋体"/>
                <w:bCs/>
                <w:sz w:val="24"/>
              </w:rPr>
              <w:t>https://roadshow.sseinfo.com</w:t>
            </w:r>
            <w:r>
              <w:rPr>
                <w:rStyle w:val="6"/>
                <w:rFonts w:hint="eastAsia" w:ascii="宋体" w:hAnsi="宋体"/>
                <w:bCs/>
                <w:sz w:val="24"/>
              </w:rPr>
              <w:fldChar w:fldCharType="end"/>
            </w:r>
          </w:p>
          <w:p w14:paraId="3D970AD5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网络文字互动</w:t>
            </w:r>
          </w:p>
        </w:tc>
      </w:tr>
      <w:tr w14:paraId="403788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526" w:type="dxa"/>
            <w:noWrap w:val="0"/>
            <w:vAlign w:val="center"/>
          </w:tcPr>
          <w:p w14:paraId="774CBF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参会人员</w:t>
            </w:r>
          </w:p>
        </w:tc>
        <w:tc>
          <w:tcPr>
            <w:tcW w:w="7191" w:type="dxa"/>
            <w:noWrap w:val="0"/>
            <w:vAlign w:val="center"/>
          </w:tcPr>
          <w:p w14:paraId="41C929A0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董事长：施永雷</w:t>
            </w:r>
          </w:p>
          <w:p w14:paraId="2C8DB2FD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董事、总裁：郁瑞芬</w:t>
            </w:r>
          </w:p>
          <w:p w14:paraId="0D3BCE55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董事、财务总监：徐珮珊</w:t>
            </w:r>
          </w:p>
          <w:p w14:paraId="19D0EC73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董事会秘书：林云</w:t>
            </w:r>
          </w:p>
          <w:p w14:paraId="286E845A">
            <w:pPr>
              <w:spacing w:line="360" w:lineRule="auto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独立董事：过聚荣</w:t>
            </w:r>
          </w:p>
        </w:tc>
      </w:tr>
      <w:tr w14:paraId="07CAC2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526" w:type="dxa"/>
            <w:noWrap w:val="0"/>
            <w:vAlign w:val="center"/>
          </w:tcPr>
          <w:p w14:paraId="1EC355C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投资者关系活动主要内容介绍</w:t>
            </w:r>
          </w:p>
        </w:tc>
        <w:tc>
          <w:tcPr>
            <w:tcW w:w="7191" w:type="dxa"/>
            <w:noWrap w:val="0"/>
            <w:vAlign w:val="top"/>
          </w:tcPr>
          <w:p w14:paraId="7FD71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7" w:afterLines="50" w:line="46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2"/>
              </w:rPr>
              <w:t>投资者关系活动主要内容</w:t>
            </w:r>
            <w:r>
              <w:rPr>
                <w:rFonts w:hint="eastAsia" w:ascii="宋体" w:hAnsi="宋体" w:cs="宋体"/>
                <w:b w:val="0"/>
                <w:bCs/>
                <w:sz w:val="24"/>
                <w:szCs w:val="22"/>
                <w:lang w:val="en-US" w:eastAsia="zh-CN"/>
              </w:rPr>
              <w:t>如下：</w:t>
            </w:r>
          </w:p>
          <w:p w14:paraId="60640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textAlignment w:val="auto"/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问题1：</w:t>
            </w:r>
            <w:r>
              <w:rPr>
                <w:rFonts w:hint="default" w:ascii="宋体" w:hAnsi="宋体" w:cs="宋体"/>
                <w:b/>
                <w:bCs/>
                <w:sz w:val="24"/>
                <w:lang w:val="en-US" w:eastAsia="zh-CN"/>
              </w:rPr>
              <w:t>新鲜零食目前有多少家门店？今年预计会开多少家？门店利润率水平如何？</w:t>
            </w:r>
          </w:p>
          <w:p w14:paraId="7F705730">
            <w:pPr>
              <w:spacing w:line="360" w:lineRule="auto"/>
              <w:ind w:firstLine="480" w:firstLineChars="200"/>
              <w:rPr>
                <w:rFonts w:hint="default" w:ascii="宋体"/>
                <w:sz w:val="24"/>
                <w:lang w:val="en-US"/>
              </w:rPr>
            </w:pPr>
            <w:r>
              <w:rPr>
                <w:rFonts w:hint="default" w:ascii="宋体" w:hAnsi="宋体" w:eastAsia="宋体" w:cs="宋体"/>
                <w:sz w:val="24"/>
                <w:lang w:val="en-US"/>
              </w:rPr>
              <w:t>答:尊敬的投资者，您好！公司于2020年率先提出“新鲜零食”战略，目前已形成新鲜生活店与社区生活店两类店型：社区生活店聚焦邻里生活圈，新鲜生活店侧重商圈年轻即时消费，二者形成业态互补。其中“LYFEN life新鲜生活”全球首店于今年7月在上海开业，公司正依托首店直营打磨全链路单店模型；待模型验证成熟后，计划在上海核心标杆购物中心布局同业态门店。相关业态尚处于培育打磨阶段，门店具体数量及单店盈利情况暂未达到披露标准，</w:t>
            </w:r>
            <w:r>
              <w:rPr>
                <w:rFonts w:hint="default" w:ascii="宋体"/>
                <w:sz w:val="24"/>
                <w:lang w:val="en-US"/>
              </w:rPr>
              <w:t>具体情况请以公司定期报告及相关公告为准。感谢您的关注！</w:t>
            </w:r>
          </w:p>
          <w:p w14:paraId="3A492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textAlignment w:val="auto"/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问题2</w:t>
            </w:r>
            <w:r>
              <w:rPr>
                <w:rFonts w:hint="default" w:ascii="宋体" w:hAnsi="宋体" w:cs="宋体"/>
                <w:b/>
                <w:bCs/>
                <w:sz w:val="24"/>
                <w:lang w:val="en-US" w:eastAsia="zh-CN"/>
              </w:rPr>
              <w:t>：当前加盟批发收入有所增长，但整体营收仍在下滑。管理层预计何时，加盟业务增量能够完全覆盖直营门店收缩带来的营收损失，实现整体营收企稳？</w:t>
            </w:r>
          </w:p>
          <w:p w14:paraId="2B042678">
            <w:pPr>
              <w:spacing w:line="360" w:lineRule="auto"/>
              <w:ind w:firstLine="480" w:firstLineChars="200"/>
              <w:rPr>
                <w:rFonts w:hint="default" w:ascii="宋体"/>
                <w:sz w:val="24"/>
                <w:lang w:val="en-US"/>
              </w:rPr>
            </w:pPr>
            <w:r>
              <w:rPr>
                <w:rFonts w:hint="default" w:ascii="宋体"/>
                <w:sz w:val="24"/>
                <w:lang w:val="en-US"/>
              </w:rPr>
              <w:t>答:尊敬的投资者，您好！公司将持续稳步推进“万家灯火”战略，持续优化门店结构，深化加盟转型，聚焦降本增效，加大社区团购等新业务发展，并通过数字化赋能提升运营效率，通过精益化管理提高公司盈利能力，努力改善经营业绩。相关业绩情况请以公司定期报告披露为准。感谢您的关注！</w:t>
            </w:r>
          </w:p>
          <w:p w14:paraId="3F27B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textAlignment w:val="auto"/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问题</w:t>
            </w:r>
            <w:r>
              <w:rPr>
                <w:rFonts w:hint="default" w:ascii="宋体" w:hAnsi="宋体" w:cs="宋体"/>
                <w:b/>
                <w:bCs/>
                <w:sz w:val="24"/>
                <w:lang w:val="en-US" w:eastAsia="zh-CN"/>
              </w:rPr>
              <w:t>3：公司推动直营转加盟的轻资产转型，同时配套加盟商授信与财务资助机制。从长期看，这套模式到哪个阶段，能不再需要上市公司持续给加盟商资金支持？管理层会用哪些指标，判断授信相关风险得到改善？</w:t>
            </w:r>
          </w:p>
          <w:p w14:paraId="47006F25">
            <w:pPr>
              <w:spacing w:line="360" w:lineRule="auto"/>
              <w:ind w:firstLine="480" w:firstLineChars="200"/>
              <w:rPr>
                <w:rFonts w:hint="default" w:ascii="宋体"/>
                <w:sz w:val="24"/>
                <w:lang w:val="en-US"/>
              </w:rPr>
            </w:pPr>
            <w:r>
              <w:rPr>
                <w:rFonts w:hint="default" w:ascii="宋体"/>
                <w:sz w:val="24"/>
                <w:lang w:val="en-US"/>
              </w:rPr>
              <w:t>答:尊敬的投资者，您好！公司向加盟商提供财务资助是转型过渡期的配套举措，旨在帮助加盟商平稳度过开业爬坡阶段，提升门店存活率和经营稳定性。随着加盟网络逐步成熟、单店模型跑通、加盟商自身现金流造血能力增强，对公司资金支持的需求度将自然下降。公司主要从加盟商同店销售增长及盈利改善情况、应收账款规模与周转效率变化等跟踪评估授信情况。感谢您的关注！</w:t>
            </w:r>
          </w:p>
          <w:p w14:paraId="157118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textAlignment w:val="auto"/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问题</w:t>
            </w:r>
            <w:r>
              <w:rPr>
                <w:rFonts w:hint="default" w:ascii="宋体" w:hAnsi="宋体" w:cs="宋体"/>
                <w:b/>
                <w:bCs/>
                <w:sz w:val="24"/>
                <w:lang w:val="en-US" w:eastAsia="zh-CN"/>
              </w:rPr>
              <w:t>4：与金粒门、几多全等头部品牌相比，公司的新鲜零食门店有哪些优势？</w:t>
            </w:r>
          </w:p>
          <w:p w14:paraId="52A827D1">
            <w:pPr>
              <w:spacing w:line="360" w:lineRule="auto"/>
              <w:ind w:firstLine="480" w:firstLineChars="200"/>
              <w:rPr>
                <w:rFonts w:hint="default" w:ascii="宋体"/>
                <w:sz w:val="24"/>
                <w:lang w:val="en-US"/>
              </w:rPr>
            </w:pPr>
            <w:r>
              <w:rPr>
                <w:rFonts w:hint="default" w:ascii="宋体"/>
                <w:sz w:val="24"/>
                <w:lang w:val="en-US"/>
              </w:rPr>
              <w:t>答:尊敬的投资者，您好！在新鲜零食领域，公司坚持“新鲜零食”战略，落实原料优鲜、技术保鲜、包装锁鲜、产销争鲜、配送领鲜五大标准，围绕“五低一洁”方向持续迭代产品；终端已推进新鲜生活店与社区生活店两类店型建设，提升短保烘焙、锁鲜卤味、现制饮品等品类占比。公司深耕休闲食品行业26年，自有品牌占比超70%，依托近3,000家门店和全链路质量管控体系，持续为消费者提供新鲜、健康的零食产品。感谢您的关注！</w:t>
            </w:r>
          </w:p>
          <w:p w14:paraId="12EE0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textAlignment w:val="auto"/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问题</w:t>
            </w:r>
            <w:r>
              <w:rPr>
                <w:rFonts w:hint="default" w:ascii="宋体" w:hAnsi="宋体" w:cs="宋体"/>
                <w:b/>
                <w:bCs/>
                <w:sz w:val="24"/>
                <w:lang w:val="en-US" w:eastAsia="zh-CN"/>
              </w:rPr>
              <w:t>5：施总好，加盟转型拉低毛利率但费用率在优化，想请教盈利拐点的判断节点。另外东合恒一入股后是否有产业协同的具体动作？会后希望向您请教转型期的资本规划。</w:t>
            </w:r>
          </w:p>
          <w:p w14:paraId="074D1345">
            <w:pPr>
              <w:spacing w:line="360" w:lineRule="auto"/>
              <w:ind w:firstLine="480" w:firstLineChars="20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default" w:ascii="宋体"/>
                <w:sz w:val="24"/>
                <w:lang w:val="en-US"/>
              </w:rPr>
              <w:t>答:尊敬的投资者，您好！公司坚定推进直营转加盟的轻资产转型战略，截至2026年6月底加盟门店占比已达89%，费用端优化效果已逐步显现，上半年销售费用同比下降38.28%。公司将持续优化加盟单店盈利模型、深化精益管理，努力提升盈利能力，具体经营情况请以定期报告为准。本次股东层面协议转让，系受让方对公司长期价值的认可，不改变公司控制权。截至目前，公司与东合恒一暂无已确定的产业协同安排，如有达到披露标准的事项，公司将依法及时披露。同时，公司正扎实推进“提质增效重回报”专项行动，如有再融资等重大事项将依法披露。感谢您的关注！</w:t>
            </w:r>
          </w:p>
        </w:tc>
      </w:tr>
    </w:tbl>
    <w:p w14:paraId="59D4E0B6">
      <w:pPr>
        <w:rPr>
          <w:rFonts w:hint="eastAsia"/>
        </w:rPr>
      </w:pPr>
    </w:p>
    <w:p w14:paraId="5D00DB6B"/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A536DA">
    <w:pPr>
      <w:pStyle w:val="2"/>
      <w:tabs>
        <w:tab w:val="clear" w:pos="4153"/>
      </w:tabs>
      <w:jc w:val="right"/>
    </w:pPr>
    <w:r>
      <w:rPr>
        <w:rFonts w:hint="eastAsia"/>
      </w:rPr>
      <w:t>上海来伊份股份有限公司投资者关系活动记录表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3NTlhNGJhZTk1YmZkMTc2MTM0MTg2MGI3NTFmMTEifQ=="/>
  </w:docVars>
  <w:rsids>
    <w:rsidRoot w:val="00000000"/>
    <w:rsid w:val="1CB2496B"/>
    <w:rsid w:val="287C7778"/>
    <w:rsid w:val="348C0444"/>
    <w:rsid w:val="41F2135C"/>
    <w:rsid w:val="61B42C51"/>
    <w:rsid w:val="670E1BEF"/>
    <w:rsid w:val="6C2008BD"/>
    <w:rsid w:val="75D91A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">
    <w:name w:val="Hyperlink"/>
    <w:basedOn w:val="5"/>
    <w:unhideWhenUsed/>
    <w:qFormat/>
    <w:uiPriority w:val="99"/>
    <w:rPr>
      <w:color w:val="0563C1"/>
      <w:u w:val="single"/>
    </w:rPr>
  </w:style>
  <w:style w:type="paragraph" w:customStyle="1" w:styleId="7">
    <w:name w:val="_Style 6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1537</Words>
  <Characters>1669</Characters>
  <Lines>0</Lines>
  <Paragraphs>0</Paragraphs>
  <TotalTime>1</TotalTime>
  <ScaleCrop>false</ScaleCrop>
  <LinksUpToDate>false</LinksUpToDate>
  <CharactersWithSpaces>1700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2023-06-30T02:03:00Z</dcterms:created>
  <dc:creator>Administrator</dc:creator>
  <cp:lastModifiedBy>zzy</cp:lastModifiedBy>
  <dcterms:modified xsi:type="dcterms:W3CDTF">2026-10-09T05:23:51Z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5314956914654EECB4BCB9672B9F8EC7_13</vt:lpwstr>
  </property>
  <property fmtid="{D5CDD505-2E9C-101B-9397-08002B2CF9AE}" pid="4" name="KSOTemplateDocerSaveRecord">
    <vt:lpwstr>eyJoZGlkIjoiYmNlYWY5MTAxMzRmY2VmZjdjNzkxODBiMWZjMzU3YTYiLCJ1c2VySWQiOiI0NzM5NzIzMjkifQ==</vt:lpwstr>
  </property>
</Properties>
</file>