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01884" w14:textId="5D2EA699" w:rsidR="00CF7D10" w:rsidRDefault="00A01212">
      <w:pPr>
        <w:spacing w:beforeLines="50" w:before="156" w:afterLines="50" w:after="156" w:line="400" w:lineRule="exact"/>
        <w:rPr>
          <w:rFonts w:ascii="Times New Roman" w:hAnsi="Times New Roman" w:cs="Times New Roman"/>
          <w:bCs/>
          <w:iCs/>
          <w:color w:val="000000"/>
          <w:sz w:val="28"/>
        </w:rPr>
      </w:pPr>
      <w:r>
        <w:rPr>
          <w:rFonts w:ascii="Times New Roman" w:hAnsi="Times New Roman" w:cs="Times New Roman" w:hint="eastAsia"/>
          <w:bCs/>
          <w:iCs/>
          <w:color w:val="000000"/>
          <w:sz w:val="28"/>
        </w:rPr>
        <w:t>证券代码：</w:t>
      </w:r>
      <w:r>
        <w:rPr>
          <w:rFonts w:ascii="Times New Roman" w:hAnsi="Times New Roman" w:cs="Times New Roman" w:hint="eastAsia"/>
          <w:bCs/>
          <w:iCs/>
          <w:color w:val="000000"/>
          <w:sz w:val="28"/>
        </w:rPr>
        <w:t xml:space="preserve">688578                           </w:t>
      </w:r>
      <w:r>
        <w:rPr>
          <w:rFonts w:ascii="Times New Roman" w:hAnsi="Times New Roman" w:cs="Times New Roman" w:hint="eastAsia"/>
          <w:bCs/>
          <w:iCs/>
          <w:color w:val="000000"/>
          <w:sz w:val="28"/>
        </w:rPr>
        <w:t>证券简称：艾力斯</w:t>
      </w:r>
    </w:p>
    <w:p w14:paraId="05596F60" w14:textId="77777777" w:rsidR="00CF7D10" w:rsidRDefault="00CF7D10">
      <w:pPr>
        <w:spacing w:beforeLines="50" w:before="156" w:afterLines="50" w:after="156" w:line="400" w:lineRule="exact"/>
        <w:jc w:val="center"/>
        <w:rPr>
          <w:rFonts w:ascii="Times New Roman" w:hAnsi="Times New Roman" w:cs="Times New Roman"/>
          <w:b/>
          <w:bCs/>
          <w:iCs/>
          <w:color w:val="000000"/>
          <w:sz w:val="32"/>
          <w:szCs w:val="32"/>
        </w:rPr>
      </w:pPr>
    </w:p>
    <w:p w14:paraId="53126D2C" w14:textId="77777777" w:rsidR="00CF7D10" w:rsidRDefault="00A01212">
      <w:pPr>
        <w:spacing w:beforeLines="50" w:before="156" w:afterLines="50" w:after="156" w:line="400" w:lineRule="exact"/>
        <w:jc w:val="center"/>
        <w:rPr>
          <w:rFonts w:ascii="Times New Roman" w:hAnsi="Times New Roman" w:cs="Times New Roman"/>
          <w:b/>
          <w:bCs/>
          <w:iCs/>
          <w:color w:val="000000"/>
          <w:sz w:val="32"/>
          <w:szCs w:val="32"/>
        </w:rPr>
      </w:pPr>
      <w:r>
        <w:rPr>
          <w:rFonts w:ascii="Times New Roman" w:hAnsi="Times New Roman" w:cs="Times New Roman" w:hint="eastAsia"/>
          <w:b/>
          <w:bCs/>
          <w:iCs/>
          <w:color w:val="000000"/>
          <w:sz w:val="32"/>
          <w:szCs w:val="32"/>
        </w:rPr>
        <w:t>上海艾力斯医药科技股份有限公司投资者关系活动记录表</w:t>
      </w:r>
    </w:p>
    <w:p w14:paraId="04F30CC7" w14:textId="77777777" w:rsidR="00CF7D10" w:rsidRDefault="00A01212">
      <w:pPr>
        <w:spacing w:beforeLines="50" w:before="156" w:afterLines="50" w:after="156"/>
        <w:jc w:val="center"/>
        <w:rPr>
          <w:rFonts w:ascii="Times New Roman" w:hAnsi="Times New Roman" w:cs="Times New Roman"/>
          <w:bCs/>
          <w:iCs/>
          <w:color w:val="000000"/>
          <w:sz w:val="24"/>
        </w:rPr>
      </w:pPr>
      <w:r>
        <w:rPr>
          <w:rFonts w:ascii="Times New Roman" w:hAnsi="Times New Roman" w:cs="Times New Roman" w:hint="eastAsia"/>
          <w:b/>
          <w:bCs/>
          <w:iCs/>
          <w:color w:val="000000"/>
          <w:sz w:val="32"/>
          <w:szCs w:val="32"/>
        </w:rPr>
        <w:t>（</w:t>
      </w:r>
      <w:r>
        <w:rPr>
          <w:rFonts w:ascii="Times New Roman" w:hAnsi="Times New Roman" w:cs="Times New Roman"/>
          <w:b/>
          <w:bCs/>
          <w:iCs/>
          <w:color w:val="000000"/>
          <w:sz w:val="32"/>
          <w:szCs w:val="32"/>
        </w:rPr>
        <w:t>202</w:t>
      </w:r>
      <w:r>
        <w:rPr>
          <w:rFonts w:ascii="Times New Roman" w:hAnsi="Times New Roman" w:cs="Times New Roman" w:hint="eastAsia"/>
          <w:b/>
          <w:bCs/>
          <w:iCs/>
          <w:color w:val="000000"/>
          <w:sz w:val="32"/>
          <w:szCs w:val="32"/>
        </w:rPr>
        <w:t>6</w:t>
      </w:r>
      <w:r>
        <w:rPr>
          <w:rFonts w:ascii="Times New Roman" w:hAnsi="Times New Roman" w:cs="Times New Roman" w:hint="eastAsia"/>
          <w:b/>
          <w:bCs/>
          <w:iCs/>
          <w:color w:val="000000"/>
          <w:sz w:val="32"/>
          <w:szCs w:val="32"/>
        </w:rPr>
        <w:t>年</w:t>
      </w:r>
      <w:r>
        <w:rPr>
          <w:rFonts w:ascii="Times New Roman" w:hAnsi="Times New Roman" w:cs="Times New Roman" w:hint="eastAsia"/>
          <w:b/>
          <w:bCs/>
          <w:iCs/>
          <w:color w:val="000000"/>
          <w:sz w:val="32"/>
          <w:szCs w:val="32"/>
        </w:rPr>
        <w:t>10</w:t>
      </w:r>
      <w:r>
        <w:rPr>
          <w:rFonts w:ascii="Times New Roman" w:hAnsi="Times New Roman" w:cs="Times New Roman" w:hint="eastAsia"/>
          <w:b/>
          <w:bCs/>
          <w:iCs/>
          <w:color w:val="000000"/>
          <w:sz w:val="32"/>
          <w:szCs w:val="32"/>
        </w:rPr>
        <w:t>月</w:t>
      </w:r>
      <w:r>
        <w:rPr>
          <w:rFonts w:ascii="Times New Roman" w:hAnsi="Times New Roman" w:cs="Times New Roman" w:hint="eastAsia"/>
          <w:b/>
          <w:bCs/>
          <w:iCs/>
          <w:color w:val="000000"/>
          <w:sz w:val="32"/>
          <w:szCs w:val="32"/>
        </w:rPr>
        <w:t>8</w:t>
      </w:r>
      <w:r>
        <w:rPr>
          <w:rFonts w:ascii="Times New Roman" w:hAnsi="Times New Roman" w:cs="Times New Roman" w:hint="eastAsia"/>
          <w:b/>
          <w:bCs/>
          <w:iCs/>
          <w:color w:val="000000"/>
          <w:sz w:val="32"/>
          <w:szCs w:val="32"/>
        </w:rPr>
        <w:t>日）</w:t>
      </w:r>
      <w:r>
        <w:rPr>
          <w:rFonts w:ascii="Times New Roman" w:hAnsi="Times New Roman" w:cs="Times New Roman"/>
          <w:bCs/>
          <w:iCs/>
          <w:color w:val="000000"/>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6357"/>
      </w:tblGrid>
      <w:tr w:rsidR="00CF7D10" w14:paraId="34CFD52E" w14:textId="77777777">
        <w:trPr>
          <w:jc w:val="center"/>
        </w:trPr>
        <w:tc>
          <w:tcPr>
            <w:tcW w:w="1860" w:type="dxa"/>
            <w:tcBorders>
              <w:top w:val="single" w:sz="4" w:space="0" w:color="auto"/>
              <w:left w:val="single" w:sz="4" w:space="0" w:color="auto"/>
              <w:bottom w:val="single" w:sz="4" w:space="0" w:color="auto"/>
              <w:right w:val="single" w:sz="4" w:space="0" w:color="auto"/>
            </w:tcBorders>
            <w:vAlign w:val="center"/>
          </w:tcPr>
          <w:p w14:paraId="7B3DCEF5"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投资者关系活动类别</w:t>
            </w:r>
          </w:p>
          <w:p w14:paraId="0D3994B4" w14:textId="77777777" w:rsidR="00CF7D10" w:rsidRDefault="00CF7D10">
            <w:pPr>
              <w:rPr>
                <w:rFonts w:ascii="Times New Roman" w:hAnsi="Times New Roman" w:cs="Times New Roman"/>
                <w:bCs/>
                <w:iCs/>
                <w:color w:val="000000"/>
                <w:sz w:val="24"/>
                <w:szCs w:val="24"/>
              </w:rPr>
            </w:pPr>
          </w:p>
        </w:tc>
        <w:tc>
          <w:tcPr>
            <w:tcW w:w="6357" w:type="dxa"/>
            <w:tcBorders>
              <w:top w:val="single" w:sz="4" w:space="0" w:color="auto"/>
              <w:left w:val="single" w:sz="4" w:space="0" w:color="auto"/>
              <w:bottom w:val="single" w:sz="4" w:space="0" w:color="auto"/>
              <w:right w:val="single" w:sz="4" w:space="0" w:color="auto"/>
            </w:tcBorders>
            <w:vAlign w:val="center"/>
            <w:hideMark/>
          </w:tcPr>
          <w:p w14:paraId="750A6F11" w14:textId="77777777"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hint="eastAsia"/>
                <w:sz w:val="24"/>
                <w:szCs w:val="24"/>
              </w:rPr>
              <w:t>特定对象调研</w:t>
            </w:r>
            <w:r>
              <w:rPr>
                <w:rFonts w:ascii="Times New Roman" w:hAnsi="Times New Roman" w:cs="Times New Roman" w:hint="eastAsia"/>
                <w:sz w:val="24"/>
                <w:szCs w:val="24"/>
              </w:rPr>
              <w:t xml:space="preserve">        </w:t>
            </w:r>
            <w:r>
              <w:rPr>
                <w:rFonts w:ascii="Times New Roman" w:hAnsi="Times New Roman" w:cs="Times New Roman"/>
                <w:bCs/>
                <w:iCs/>
                <w:color w:val="000000"/>
                <w:sz w:val="24"/>
                <w:szCs w:val="24"/>
              </w:rPr>
              <w:t>□</w:t>
            </w:r>
            <w:r>
              <w:rPr>
                <w:rFonts w:ascii="Times New Roman" w:hAnsi="Times New Roman" w:cs="Times New Roman" w:hint="eastAsia"/>
                <w:sz w:val="24"/>
                <w:szCs w:val="24"/>
              </w:rPr>
              <w:t>分析师会议</w:t>
            </w:r>
          </w:p>
          <w:p w14:paraId="2C53C96D" w14:textId="77777777"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hint="eastAsia"/>
                <w:sz w:val="24"/>
                <w:szCs w:val="24"/>
              </w:rPr>
              <w:t>媒体采访</w:t>
            </w:r>
            <w:r>
              <w:rPr>
                <w:rFonts w:ascii="Times New Roman" w:hAnsi="Times New Roman" w:cs="Times New Roman" w:hint="eastAsia"/>
                <w:sz w:val="24"/>
                <w:szCs w:val="24"/>
              </w:rPr>
              <w:t xml:space="preserve">            </w:t>
            </w:r>
            <w:r>
              <w:rPr>
                <w:rFonts w:ascii="Times New Roman" w:hAnsi="Times New Roman" w:cs="Times New Roman"/>
                <w:bCs/>
                <w:iCs/>
                <w:color w:val="000000"/>
                <w:sz w:val="24"/>
                <w:szCs w:val="24"/>
              </w:rPr>
              <w:t>□</w:t>
            </w:r>
            <w:r>
              <w:rPr>
                <w:rFonts w:ascii="Times New Roman" w:hAnsi="Times New Roman" w:cs="Times New Roman" w:hint="eastAsia"/>
                <w:sz w:val="24"/>
                <w:szCs w:val="24"/>
              </w:rPr>
              <w:t>业绩说明会</w:t>
            </w:r>
          </w:p>
          <w:p w14:paraId="256323F4" w14:textId="77777777"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hint="eastAsia"/>
                <w:sz w:val="24"/>
                <w:szCs w:val="24"/>
              </w:rPr>
              <w:t>新闻发布会</w:t>
            </w:r>
            <w:r>
              <w:rPr>
                <w:rFonts w:ascii="Times New Roman" w:hAnsi="Times New Roman" w:cs="Times New Roman" w:hint="eastAsia"/>
                <w:sz w:val="24"/>
                <w:szCs w:val="24"/>
              </w:rPr>
              <w:t xml:space="preserve">          </w:t>
            </w:r>
            <w:r>
              <w:rPr>
                <w:rFonts w:ascii="Times New Roman" w:hAnsi="Times New Roman" w:cs="Times New Roman"/>
                <w:bCs/>
                <w:iCs/>
                <w:color w:val="000000"/>
                <w:sz w:val="24"/>
                <w:szCs w:val="24"/>
              </w:rPr>
              <w:t>□</w:t>
            </w:r>
            <w:r>
              <w:rPr>
                <w:rFonts w:ascii="Times New Roman" w:hAnsi="Times New Roman" w:cs="Times New Roman" w:hint="eastAsia"/>
                <w:sz w:val="24"/>
                <w:szCs w:val="24"/>
              </w:rPr>
              <w:t>路演活动</w:t>
            </w:r>
          </w:p>
          <w:p w14:paraId="67671ACF" w14:textId="77777777" w:rsidR="00CF7D10" w:rsidRDefault="00A01212">
            <w:pPr>
              <w:tabs>
                <w:tab w:val="left" w:pos="3045"/>
                <w:tab w:val="center" w:pos="3199"/>
              </w:tabs>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w:t>
            </w:r>
            <w:r>
              <w:rPr>
                <w:rFonts w:ascii="Times New Roman" w:hAnsi="Times New Roman" w:cs="Times New Roman" w:hint="eastAsia"/>
                <w:sz w:val="24"/>
                <w:szCs w:val="24"/>
              </w:rPr>
              <w:t>现场参观</w:t>
            </w:r>
            <w:r>
              <w:rPr>
                <w:rFonts w:ascii="Times New Roman" w:hAnsi="Times New Roman" w:cs="Times New Roman"/>
                <w:bCs/>
                <w:iCs/>
                <w:color w:val="000000"/>
                <w:sz w:val="24"/>
                <w:szCs w:val="24"/>
              </w:rPr>
              <w:tab/>
            </w:r>
          </w:p>
          <w:p w14:paraId="797C68DD" w14:textId="77777777" w:rsidR="00CF7D10" w:rsidRDefault="00A01212">
            <w:pPr>
              <w:tabs>
                <w:tab w:val="center" w:pos="3199"/>
              </w:tabs>
              <w:spacing w:line="360" w:lineRule="auto"/>
              <w:rPr>
                <w:rFonts w:ascii="Times New Roman" w:hAnsi="Times New Roman" w:cs="Times New Roman"/>
                <w:bCs/>
                <w:iCs/>
                <w:color w:val="000000"/>
                <w:sz w:val="24"/>
                <w:szCs w:val="24"/>
              </w:rPr>
            </w:pPr>
            <w:r>
              <w:rPr>
                <w:rFonts w:ascii="Times New Roman" w:hAnsi="Times New Roman" w:cs="Times New Roman" w:hint="eastAsia"/>
                <w:sz w:val="24"/>
                <w:szCs w:val="24"/>
              </w:rPr>
              <w:t>√其他</w:t>
            </w:r>
            <w:r>
              <w:rPr>
                <w:rFonts w:ascii="Times New Roman" w:hAnsi="Times New Roman" w:cs="Times New Roman" w:hint="eastAsia"/>
                <w:sz w:val="24"/>
                <w:szCs w:val="24"/>
              </w:rPr>
              <w:t xml:space="preserve"> </w:t>
            </w:r>
            <w:r>
              <w:rPr>
                <w:rFonts w:ascii="Times New Roman" w:hAnsi="Times New Roman" w:cs="Times New Roman" w:hint="eastAsia"/>
                <w:sz w:val="24"/>
                <w:szCs w:val="24"/>
                <w:u w:val="single"/>
              </w:rPr>
              <w:t>投资者电话交流会</w:t>
            </w:r>
          </w:p>
        </w:tc>
      </w:tr>
      <w:tr w:rsidR="00CF7D10" w14:paraId="0A9DB6C7" w14:textId="77777777">
        <w:trPr>
          <w:trHeight w:val="416"/>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243218F5"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参与单位名称及人员姓名</w:t>
            </w:r>
          </w:p>
        </w:tc>
        <w:tc>
          <w:tcPr>
            <w:tcW w:w="6357" w:type="dxa"/>
            <w:tcBorders>
              <w:top w:val="single" w:sz="4" w:space="0" w:color="auto"/>
              <w:left w:val="single" w:sz="4" w:space="0" w:color="auto"/>
              <w:bottom w:val="single" w:sz="4" w:space="0" w:color="auto"/>
              <w:right w:val="single" w:sz="4" w:space="0" w:color="auto"/>
            </w:tcBorders>
          </w:tcPr>
          <w:p w14:paraId="30F44147" w14:textId="3F77CC7F" w:rsidR="00CF7D10" w:rsidRDefault="00A01212">
            <w:pPr>
              <w:spacing w:line="360" w:lineRule="auto"/>
              <w:rPr>
                <w:rFonts w:ascii="Times New Roman" w:hAnsi="Times New Roman" w:cs="Times New Roman"/>
                <w:b/>
                <w:bCs/>
                <w:iCs/>
                <w:color w:val="000000"/>
                <w:sz w:val="24"/>
                <w:szCs w:val="24"/>
              </w:rPr>
            </w:pPr>
            <w:r>
              <w:rPr>
                <w:rFonts w:ascii="Times New Roman" w:hAnsi="Times New Roman" w:cs="Times New Roman"/>
                <w:b/>
                <w:bCs/>
                <w:iCs/>
                <w:color w:val="000000"/>
                <w:sz w:val="24"/>
                <w:szCs w:val="24"/>
              </w:rPr>
              <w:t>202</w:t>
            </w:r>
            <w:r>
              <w:rPr>
                <w:rFonts w:ascii="Times New Roman" w:hAnsi="Times New Roman" w:cs="Times New Roman" w:hint="eastAsia"/>
                <w:b/>
                <w:bCs/>
                <w:iCs/>
                <w:color w:val="000000"/>
                <w:sz w:val="24"/>
                <w:szCs w:val="24"/>
              </w:rPr>
              <w:t>6</w:t>
            </w:r>
            <w:r>
              <w:rPr>
                <w:rFonts w:ascii="Times New Roman" w:hAnsi="Times New Roman" w:cs="Times New Roman" w:hint="eastAsia"/>
                <w:b/>
                <w:bCs/>
                <w:iCs/>
                <w:color w:val="000000"/>
                <w:sz w:val="24"/>
                <w:szCs w:val="24"/>
              </w:rPr>
              <w:t>年</w:t>
            </w:r>
            <w:r>
              <w:rPr>
                <w:rFonts w:ascii="Times New Roman" w:hAnsi="Times New Roman" w:cs="Times New Roman" w:hint="eastAsia"/>
                <w:b/>
                <w:bCs/>
                <w:iCs/>
                <w:color w:val="000000"/>
                <w:sz w:val="24"/>
                <w:szCs w:val="24"/>
              </w:rPr>
              <w:t>10</w:t>
            </w:r>
            <w:r>
              <w:rPr>
                <w:rFonts w:ascii="Times New Roman" w:hAnsi="Times New Roman" w:cs="Times New Roman" w:hint="eastAsia"/>
                <w:b/>
                <w:bCs/>
                <w:iCs/>
                <w:color w:val="000000"/>
                <w:sz w:val="24"/>
                <w:szCs w:val="24"/>
              </w:rPr>
              <w:t>月</w:t>
            </w:r>
            <w:r>
              <w:rPr>
                <w:rFonts w:ascii="Times New Roman" w:hAnsi="Times New Roman" w:cs="Times New Roman" w:hint="eastAsia"/>
                <w:b/>
                <w:bCs/>
                <w:iCs/>
                <w:color w:val="000000"/>
                <w:sz w:val="24"/>
                <w:szCs w:val="24"/>
              </w:rPr>
              <w:t>8</w:t>
            </w:r>
            <w:r>
              <w:rPr>
                <w:rFonts w:ascii="Times New Roman" w:hAnsi="Times New Roman" w:cs="Times New Roman" w:hint="eastAsia"/>
                <w:b/>
                <w:bCs/>
                <w:iCs/>
                <w:color w:val="000000"/>
                <w:sz w:val="24"/>
                <w:szCs w:val="24"/>
              </w:rPr>
              <w:t>日</w:t>
            </w:r>
            <w:r>
              <w:rPr>
                <w:rFonts w:ascii="Times New Roman" w:hAnsi="Times New Roman" w:cs="Times New Roman" w:hint="eastAsia"/>
                <w:b/>
                <w:bCs/>
                <w:iCs/>
                <w:color w:val="000000"/>
                <w:sz w:val="24"/>
                <w:szCs w:val="24"/>
              </w:rPr>
              <w:t xml:space="preserve"> 17:00</w:t>
            </w:r>
            <w:r>
              <w:rPr>
                <w:rFonts w:ascii="Times New Roman" w:hAnsi="Times New Roman" w:cs="Times New Roman" w:hint="eastAsia"/>
                <w:b/>
                <w:bCs/>
                <w:iCs/>
                <w:color w:val="000000"/>
                <w:sz w:val="24"/>
                <w:szCs w:val="24"/>
              </w:rPr>
              <w:t>—</w:t>
            </w:r>
            <w:r>
              <w:rPr>
                <w:rFonts w:ascii="Times New Roman" w:hAnsi="Times New Roman" w:cs="Times New Roman" w:hint="eastAsia"/>
                <w:b/>
                <w:bCs/>
                <w:iCs/>
                <w:color w:val="000000"/>
                <w:sz w:val="24"/>
                <w:szCs w:val="24"/>
              </w:rPr>
              <w:t>18:00</w:t>
            </w:r>
            <w:bookmarkStart w:id="0" w:name="OLE_LINK1"/>
          </w:p>
          <w:bookmarkEnd w:id="0"/>
          <w:p w14:paraId="25790534" w14:textId="71ECEF83" w:rsidR="00CF7D10" w:rsidRDefault="00A01212">
            <w:pPr>
              <w:spacing w:line="360" w:lineRule="auto"/>
              <w:rPr>
                <w:rFonts w:ascii="Times New Roman" w:hAnsi="Times New Roman" w:cs="Times New Roman"/>
                <w:b/>
                <w:bCs/>
                <w:iCs/>
                <w:color w:val="000000"/>
                <w:sz w:val="24"/>
                <w:szCs w:val="24"/>
              </w:rPr>
            </w:pPr>
            <w:r>
              <w:rPr>
                <w:rFonts w:ascii="Times New Roman" w:hAnsi="Times New Roman" w:cs="Times New Roman" w:hint="eastAsia"/>
                <w:b/>
                <w:bCs/>
                <w:iCs/>
                <w:color w:val="000000"/>
                <w:sz w:val="24"/>
                <w:szCs w:val="24"/>
              </w:rPr>
              <w:t>线上参会投资者：</w:t>
            </w:r>
          </w:p>
          <w:p w14:paraId="00C7C358" w14:textId="50E60982" w:rsidR="00CF7D10" w:rsidRDefault="00D14F1D">
            <w:pPr>
              <w:widowControl/>
              <w:spacing w:line="360" w:lineRule="auto"/>
              <w:rPr>
                <w:rFonts w:ascii="Times New Roman" w:hAnsi="Times New Roman" w:cs="Times New Roman"/>
                <w:bCs/>
                <w:iCs/>
                <w:color w:val="000000"/>
                <w:sz w:val="24"/>
                <w:szCs w:val="24"/>
              </w:rPr>
            </w:pPr>
            <w:r w:rsidRPr="00D14F1D">
              <w:rPr>
                <w:rFonts w:ascii="Times New Roman" w:hAnsi="Times New Roman" w:cs="Times New Roman" w:hint="eastAsia"/>
                <w:bCs/>
                <w:iCs/>
                <w:color w:val="000000"/>
                <w:sz w:val="24"/>
                <w:szCs w:val="24"/>
              </w:rPr>
              <w:t>AIHC Capital</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Artisan Partners Hong Kong</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Boyu Capital</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China Pacific Insurance</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Haitong International Securities</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IDG</w:t>
            </w:r>
            <w:r w:rsidRPr="00D14F1D">
              <w:rPr>
                <w:rFonts w:ascii="Times New Roman" w:hAnsi="Times New Roman" w:cs="Times New Roman" w:hint="eastAsia"/>
                <w:bCs/>
                <w:iCs/>
                <w:color w:val="000000"/>
                <w:sz w:val="24"/>
                <w:szCs w:val="24"/>
              </w:rPr>
              <w:t>资本、</w:t>
            </w:r>
            <w:r w:rsidRPr="00D14F1D">
              <w:rPr>
                <w:rFonts w:ascii="Times New Roman" w:hAnsi="Times New Roman" w:cs="Times New Roman" w:hint="eastAsia"/>
                <w:bCs/>
                <w:iCs/>
                <w:color w:val="000000"/>
                <w:sz w:val="24"/>
                <w:szCs w:val="24"/>
              </w:rPr>
              <w:t>New China Asset</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Open Door Investment</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ORCHID PUBLIC INVESTMENT</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Shanghai International Group</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Yong Rong</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HK</w:t>
            </w:r>
            <w:r w:rsidRPr="00D14F1D">
              <w:rPr>
                <w:rFonts w:ascii="Times New Roman" w:hAnsi="Times New Roman" w:cs="Times New Roman" w:hint="eastAsia"/>
                <w:bCs/>
                <w:iCs/>
                <w:color w:val="000000"/>
                <w:sz w:val="24"/>
                <w:szCs w:val="24"/>
              </w:rPr>
              <w:t>）</w:t>
            </w:r>
            <w:r w:rsidRPr="00D14F1D">
              <w:rPr>
                <w:rFonts w:ascii="Times New Roman" w:hAnsi="Times New Roman" w:cs="Times New Roman" w:hint="eastAsia"/>
                <w:bCs/>
                <w:iCs/>
                <w:color w:val="000000"/>
                <w:sz w:val="24"/>
                <w:szCs w:val="24"/>
              </w:rPr>
              <w:t>Asset</w:t>
            </w:r>
            <w:r w:rsidRPr="00D14F1D">
              <w:rPr>
                <w:rFonts w:ascii="Times New Roman" w:hAnsi="Times New Roman" w:cs="Times New Roman" w:hint="eastAsia"/>
                <w:bCs/>
                <w:iCs/>
                <w:color w:val="000000"/>
                <w:sz w:val="24"/>
                <w:szCs w:val="24"/>
              </w:rPr>
              <w:t>、霸菱资产、宝盈基金、宝盈基金、北京东方引擎投资、北京泓澄投资、北京明希资本、博远基金、渤海证券、财通基金、创金合信基金、大家资产、德邦基金、东方财富证券、东方证券、东吴证券、丰琰资产、富安达基金、富国基金、高盛、工银理财、工银瑞信基金、光大理财、光大证券、广州由榕、国海证券、国金医药、国联安基金、国泰海通证券、国泰基金、国新投资、国信证券、果实资本、杭州德亚投资、杭州钱唐汇鑫、杭州弈宸、恒生前海基金、宏利基金、华安基金、华宝信托、华润元大基金、华泰保兴基金、华泰证券、华鑫证券、汇丰晋信基金、汇丰医药、混沌天成、济峰资本、嘉实基金、建信保险、建信基金、金鹰基金、景顺长城基金、开源证券、陆家嘴国际信托、路华资产、摩根基金、南方基金、宁波市浪石投资、宁波银行、农</w:t>
            </w:r>
            <w:r w:rsidRPr="00D14F1D">
              <w:rPr>
                <w:rFonts w:ascii="Times New Roman" w:hAnsi="Times New Roman" w:cs="Times New Roman" w:hint="eastAsia"/>
                <w:bCs/>
                <w:iCs/>
                <w:color w:val="000000"/>
                <w:sz w:val="24"/>
                <w:szCs w:val="24"/>
              </w:rPr>
              <w:lastRenderedPageBreak/>
              <w:t>银汇理基金、鹏华基金、平安基金、平安养老保险、平安资产、浦银基金、青岛洪运瑞恒、青骊投资、青榕资产、日盛投信、融通基金、瑞达基金、上海阿杏投资、上海丹羿投资、上海东方证券、上海沣谊投资、上海高毅资产、上海六禾致谦、上海明河投资、上海明汯投资、上海彤源投资、上海途灵资产、上海域秀资产、上海煜德投资、申万菱信基金、深圳山石、深圳市日斗投资、太保私募基金、太平洋资产、太平资产、天弘基金、西部医药、西部证券、新华基金、新华资产、新加坡新思路、信达澳亚基金、兴业基金、兴业证券、兴银基金、兴银理财、兴证全球基金、阳光资产、翼虎投资、银河基金、银华基金、英大基金、永安国富资产、永赢基金、圆信永丰基金、长安基金、长江养老保险、长盛基金、招商医药、招商证券、招银理财、浙江白鹭资产、浙江浙商证券、中国国金、民生银行、人寿资产、中欧基金、中融汇信、中信建投基金、中信建投证券、中信证券、中银基金</w:t>
            </w:r>
            <w:r w:rsidR="000870D4">
              <w:rPr>
                <w:rFonts w:ascii="Times New Roman" w:hAnsi="Times New Roman" w:cs="Times New Roman" w:hint="eastAsia"/>
                <w:bCs/>
                <w:iCs/>
                <w:color w:val="000000"/>
                <w:sz w:val="24"/>
                <w:szCs w:val="24"/>
              </w:rPr>
              <w:t>等机构投资者</w:t>
            </w:r>
            <w:r w:rsidRPr="00D14F1D">
              <w:rPr>
                <w:rFonts w:ascii="Times New Roman" w:hAnsi="Times New Roman" w:cs="Times New Roman" w:hint="eastAsia"/>
                <w:bCs/>
                <w:iCs/>
                <w:color w:val="000000"/>
                <w:sz w:val="24"/>
                <w:szCs w:val="24"/>
              </w:rPr>
              <w:t>及个人投资者共计</w:t>
            </w:r>
            <w:r w:rsidRPr="00D14F1D">
              <w:rPr>
                <w:rFonts w:ascii="Times New Roman" w:hAnsi="Times New Roman" w:cs="Times New Roman" w:hint="eastAsia"/>
                <w:bCs/>
                <w:iCs/>
                <w:color w:val="000000"/>
                <w:sz w:val="24"/>
                <w:szCs w:val="24"/>
              </w:rPr>
              <w:t>191</w:t>
            </w:r>
            <w:r w:rsidRPr="00D14F1D">
              <w:rPr>
                <w:rFonts w:ascii="Times New Roman" w:hAnsi="Times New Roman" w:cs="Times New Roman" w:hint="eastAsia"/>
                <w:bCs/>
                <w:iCs/>
                <w:color w:val="000000"/>
                <w:sz w:val="24"/>
                <w:szCs w:val="24"/>
              </w:rPr>
              <w:t>人参加会议。</w:t>
            </w:r>
          </w:p>
        </w:tc>
      </w:tr>
      <w:tr w:rsidR="00CF7D10" w14:paraId="28FED201" w14:textId="77777777">
        <w:trPr>
          <w:trHeight w:val="553"/>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5F799F6C"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lastRenderedPageBreak/>
              <w:t>时间</w:t>
            </w:r>
          </w:p>
        </w:tc>
        <w:tc>
          <w:tcPr>
            <w:tcW w:w="6357" w:type="dxa"/>
            <w:tcBorders>
              <w:top w:val="single" w:sz="4" w:space="0" w:color="auto"/>
              <w:left w:val="single" w:sz="4" w:space="0" w:color="auto"/>
              <w:bottom w:val="single" w:sz="4" w:space="0" w:color="auto"/>
              <w:right w:val="single" w:sz="4" w:space="0" w:color="auto"/>
            </w:tcBorders>
            <w:vAlign w:val="center"/>
          </w:tcPr>
          <w:p w14:paraId="57E5E13D" w14:textId="3956EFD3"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bCs/>
                <w:iCs/>
                <w:color w:val="000000"/>
                <w:sz w:val="24"/>
                <w:szCs w:val="24"/>
              </w:rPr>
              <w:t>202</w:t>
            </w:r>
            <w:r>
              <w:rPr>
                <w:rFonts w:ascii="Times New Roman" w:hAnsi="Times New Roman" w:cs="Times New Roman" w:hint="eastAsia"/>
                <w:bCs/>
                <w:iCs/>
                <w:color w:val="000000"/>
                <w:sz w:val="24"/>
                <w:szCs w:val="24"/>
              </w:rPr>
              <w:t>6</w:t>
            </w:r>
            <w:r>
              <w:rPr>
                <w:rFonts w:ascii="Times New Roman" w:hAnsi="Times New Roman" w:cs="Times New Roman" w:hint="eastAsia"/>
                <w:bCs/>
                <w:iCs/>
                <w:color w:val="000000"/>
                <w:sz w:val="24"/>
                <w:szCs w:val="24"/>
              </w:rPr>
              <w:t>年</w:t>
            </w:r>
            <w:r>
              <w:rPr>
                <w:rFonts w:ascii="Times New Roman" w:hAnsi="Times New Roman" w:cs="Times New Roman" w:hint="eastAsia"/>
                <w:bCs/>
                <w:iCs/>
                <w:color w:val="000000"/>
                <w:sz w:val="24"/>
                <w:szCs w:val="24"/>
              </w:rPr>
              <w:t>10</w:t>
            </w:r>
            <w:r>
              <w:rPr>
                <w:rFonts w:ascii="Times New Roman" w:hAnsi="Times New Roman" w:cs="Times New Roman" w:hint="eastAsia"/>
                <w:bCs/>
                <w:iCs/>
                <w:color w:val="000000"/>
                <w:sz w:val="24"/>
                <w:szCs w:val="24"/>
              </w:rPr>
              <w:t>月</w:t>
            </w:r>
            <w:r>
              <w:rPr>
                <w:rFonts w:ascii="Times New Roman" w:hAnsi="Times New Roman" w:cs="Times New Roman" w:hint="eastAsia"/>
                <w:bCs/>
                <w:iCs/>
                <w:color w:val="000000"/>
                <w:sz w:val="24"/>
                <w:szCs w:val="24"/>
              </w:rPr>
              <w:t>8</w:t>
            </w:r>
            <w:r>
              <w:rPr>
                <w:rFonts w:ascii="Times New Roman" w:hAnsi="Times New Roman" w:cs="Times New Roman" w:hint="eastAsia"/>
                <w:bCs/>
                <w:iCs/>
                <w:color w:val="000000"/>
                <w:sz w:val="24"/>
                <w:szCs w:val="24"/>
              </w:rPr>
              <w:t>日（周四）</w:t>
            </w:r>
            <w:r>
              <w:rPr>
                <w:rFonts w:ascii="Times New Roman" w:hAnsi="Times New Roman" w:cs="Times New Roman" w:hint="eastAsia"/>
                <w:bCs/>
                <w:iCs/>
                <w:color w:val="000000"/>
                <w:sz w:val="24"/>
                <w:szCs w:val="24"/>
              </w:rPr>
              <w:t>17:00</w:t>
            </w:r>
            <w:r>
              <w:rPr>
                <w:rFonts w:ascii="Times New Roman" w:hAnsi="Times New Roman" w:cs="Times New Roman" w:hint="eastAsia"/>
                <w:bCs/>
                <w:iCs/>
                <w:color w:val="000000"/>
                <w:sz w:val="24"/>
                <w:szCs w:val="24"/>
              </w:rPr>
              <w:t>—</w:t>
            </w:r>
            <w:r>
              <w:rPr>
                <w:rFonts w:ascii="Times New Roman" w:hAnsi="Times New Roman" w:cs="Times New Roman" w:hint="eastAsia"/>
                <w:bCs/>
                <w:iCs/>
                <w:color w:val="000000"/>
                <w:sz w:val="24"/>
                <w:szCs w:val="24"/>
              </w:rPr>
              <w:t>18:00</w:t>
            </w:r>
          </w:p>
        </w:tc>
      </w:tr>
      <w:tr w:rsidR="00CF7D10" w14:paraId="3AC310DA" w14:textId="77777777">
        <w:trPr>
          <w:trHeight w:val="558"/>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52CB38F8"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地点</w:t>
            </w:r>
          </w:p>
        </w:tc>
        <w:tc>
          <w:tcPr>
            <w:tcW w:w="6357" w:type="dxa"/>
            <w:tcBorders>
              <w:top w:val="single" w:sz="4" w:space="0" w:color="auto"/>
              <w:left w:val="single" w:sz="4" w:space="0" w:color="auto"/>
              <w:bottom w:val="single" w:sz="4" w:space="0" w:color="auto"/>
              <w:right w:val="single" w:sz="4" w:space="0" w:color="auto"/>
            </w:tcBorders>
            <w:vAlign w:val="center"/>
          </w:tcPr>
          <w:p w14:paraId="59555C4E" w14:textId="77777777"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w:t>
            </w:r>
          </w:p>
        </w:tc>
      </w:tr>
      <w:tr w:rsidR="00CF7D10" w14:paraId="6585BAA9" w14:textId="77777777">
        <w:trPr>
          <w:trHeight w:val="740"/>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686A3FFA"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上市公司接待人员姓名</w:t>
            </w:r>
          </w:p>
        </w:tc>
        <w:tc>
          <w:tcPr>
            <w:tcW w:w="6357" w:type="dxa"/>
            <w:tcBorders>
              <w:top w:val="single" w:sz="4" w:space="0" w:color="auto"/>
              <w:left w:val="single" w:sz="4" w:space="0" w:color="auto"/>
              <w:bottom w:val="single" w:sz="4" w:space="0" w:color="auto"/>
              <w:right w:val="single" w:sz="4" w:space="0" w:color="auto"/>
            </w:tcBorders>
            <w:vAlign w:val="center"/>
          </w:tcPr>
          <w:p w14:paraId="4F255048" w14:textId="77777777"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杜锦豪、胡捷、黄晨</w:t>
            </w:r>
          </w:p>
        </w:tc>
      </w:tr>
      <w:tr w:rsidR="00CF7D10" w14:paraId="621D0CD5" w14:textId="77777777">
        <w:trPr>
          <w:jc w:val="center"/>
        </w:trPr>
        <w:tc>
          <w:tcPr>
            <w:tcW w:w="1860" w:type="dxa"/>
            <w:tcBorders>
              <w:top w:val="single" w:sz="4" w:space="0" w:color="auto"/>
              <w:left w:val="single" w:sz="4" w:space="0" w:color="auto"/>
              <w:bottom w:val="single" w:sz="4" w:space="0" w:color="auto"/>
              <w:right w:val="single" w:sz="4" w:space="0" w:color="auto"/>
            </w:tcBorders>
            <w:vAlign w:val="center"/>
          </w:tcPr>
          <w:p w14:paraId="5656E3CC"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投资者关系活动主要内容介绍</w:t>
            </w:r>
          </w:p>
          <w:p w14:paraId="5E6DF35B" w14:textId="77777777" w:rsidR="00CF7D10" w:rsidRDefault="00CF7D10">
            <w:pPr>
              <w:rPr>
                <w:rFonts w:ascii="Times New Roman" w:hAnsi="Times New Roman" w:cs="Times New Roman"/>
                <w:bCs/>
                <w:iCs/>
                <w:color w:val="000000"/>
                <w:sz w:val="24"/>
                <w:szCs w:val="24"/>
              </w:rPr>
            </w:pPr>
          </w:p>
        </w:tc>
        <w:tc>
          <w:tcPr>
            <w:tcW w:w="6357" w:type="dxa"/>
            <w:tcBorders>
              <w:top w:val="single" w:sz="4" w:space="0" w:color="auto"/>
              <w:left w:val="single" w:sz="4" w:space="0" w:color="auto"/>
              <w:bottom w:val="single" w:sz="4" w:space="0" w:color="auto"/>
              <w:right w:val="single" w:sz="4" w:space="0" w:color="auto"/>
            </w:tcBorders>
          </w:tcPr>
          <w:p w14:paraId="5B56B2EE" w14:textId="0F1F2E3C" w:rsidR="00CF7D10" w:rsidRP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近期，公司公布了伏美替尼用于</w:t>
            </w:r>
            <w:r>
              <w:rPr>
                <w:rFonts w:ascii="Times New Roman" w:hAnsi="Times New Roman" w:cs="Times New Roman" w:hint="eastAsia"/>
                <w:bCs/>
                <w:iCs/>
                <w:sz w:val="24"/>
                <w:szCs w:val="24"/>
              </w:rPr>
              <w:t xml:space="preserve"> EGFR 20 </w:t>
            </w:r>
            <w:r>
              <w:rPr>
                <w:rFonts w:ascii="Times New Roman" w:hAnsi="Times New Roman" w:cs="Times New Roman" w:hint="eastAsia"/>
                <w:bCs/>
                <w:iCs/>
                <w:sz w:val="24"/>
                <w:szCs w:val="24"/>
              </w:rPr>
              <w:t>外显子插入突变一线治疗的</w:t>
            </w:r>
            <w:r>
              <w:rPr>
                <w:rFonts w:ascii="Times New Roman" w:hAnsi="Times New Roman" w:cs="Times New Roman" w:hint="eastAsia"/>
                <w:bCs/>
                <w:iCs/>
                <w:sz w:val="24"/>
                <w:szCs w:val="24"/>
              </w:rPr>
              <w:t xml:space="preserve"> FURVENT </w:t>
            </w:r>
            <w:r>
              <w:rPr>
                <w:rFonts w:ascii="Times New Roman" w:hAnsi="Times New Roman" w:cs="Times New Roman" w:hint="eastAsia"/>
                <w:bCs/>
                <w:iCs/>
                <w:sz w:val="24"/>
                <w:szCs w:val="24"/>
              </w:rPr>
              <w:t>研究结果，该结果令公司、研究者及投资者感到意外。化疗组经盲态独立中心审评（</w:t>
            </w:r>
            <w:r>
              <w:rPr>
                <w:rFonts w:ascii="Times New Roman" w:hAnsi="Times New Roman" w:cs="Times New Roman" w:hint="eastAsia"/>
                <w:bCs/>
                <w:iCs/>
                <w:sz w:val="24"/>
                <w:szCs w:val="24"/>
              </w:rPr>
              <w:t>BICR</w:t>
            </w:r>
            <w:r>
              <w:rPr>
                <w:rFonts w:ascii="Times New Roman" w:hAnsi="Times New Roman" w:cs="Times New Roman" w:hint="eastAsia"/>
                <w:bCs/>
                <w:iCs/>
                <w:sz w:val="24"/>
                <w:szCs w:val="24"/>
              </w:rPr>
              <w:t>）评估的无进展生存期（</w:t>
            </w:r>
            <w:r>
              <w:rPr>
                <w:rFonts w:ascii="Times New Roman" w:hAnsi="Times New Roman" w:cs="Times New Roman" w:hint="eastAsia"/>
                <w:bCs/>
                <w:iCs/>
                <w:sz w:val="24"/>
                <w:szCs w:val="24"/>
              </w:rPr>
              <w:t>PFS</w:t>
            </w:r>
            <w:r>
              <w:rPr>
                <w:rFonts w:ascii="Times New Roman" w:hAnsi="Times New Roman" w:cs="Times New Roman" w:hint="eastAsia"/>
                <w:bCs/>
                <w:iCs/>
                <w:sz w:val="24"/>
                <w:szCs w:val="24"/>
              </w:rPr>
              <w:t>）与研究者评估结果存在较大差异；除这一差异外，公司认为伏美替尼的其他各项数据表现良好。公司仍在对数据进行详细分析，以确定后续工作计划。</w:t>
            </w:r>
          </w:p>
          <w:p w14:paraId="281B4B39" w14:textId="0B219A70" w:rsidR="00CF7D10" w:rsidRP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公司认为，伏美替尼是一款优秀的第三代酪氨酸激酶抑制剂（</w:t>
            </w:r>
            <w:r>
              <w:rPr>
                <w:rFonts w:ascii="Times New Roman" w:hAnsi="Times New Roman" w:cs="Times New Roman" w:hint="eastAsia"/>
                <w:bCs/>
                <w:iCs/>
                <w:sz w:val="24"/>
                <w:szCs w:val="24"/>
              </w:rPr>
              <w:t>EGFR-TKI</w:t>
            </w:r>
            <w:r>
              <w:rPr>
                <w:rFonts w:ascii="Times New Roman" w:hAnsi="Times New Roman" w:cs="Times New Roman" w:hint="eastAsia"/>
                <w:bCs/>
                <w:iCs/>
                <w:sz w:val="24"/>
                <w:szCs w:val="24"/>
              </w:rPr>
              <w:t>），其疗效及安全性已在既往临床研究和获</w:t>
            </w:r>
            <w:r>
              <w:rPr>
                <w:rFonts w:ascii="Times New Roman" w:hAnsi="Times New Roman" w:cs="Times New Roman" w:hint="eastAsia"/>
                <w:bCs/>
                <w:iCs/>
                <w:sz w:val="24"/>
                <w:szCs w:val="24"/>
              </w:rPr>
              <w:lastRenderedPageBreak/>
              <w:t>批上市后的临床实践中得到验证。公司召开了</w:t>
            </w:r>
            <w:r>
              <w:rPr>
                <w:rFonts w:ascii="Times New Roman" w:hAnsi="Times New Roman" w:cs="Times New Roman" w:hint="eastAsia"/>
                <w:bCs/>
                <w:iCs/>
                <w:sz w:val="24"/>
                <w:szCs w:val="24"/>
              </w:rPr>
              <w:t xml:space="preserve"> FURVENT </w:t>
            </w:r>
            <w:r>
              <w:rPr>
                <w:rFonts w:ascii="Times New Roman" w:hAnsi="Times New Roman" w:cs="Times New Roman" w:hint="eastAsia"/>
                <w:bCs/>
                <w:iCs/>
                <w:sz w:val="24"/>
                <w:szCs w:val="24"/>
              </w:rPr>
              <w:t>研究全球研究者会议，与会专家一致认为，伏美替尼对</w:t>
            </w:r>
            <w:r>
              <w:rPr>
                <w:rFonts w:ascii="Times New Roman" w:hAnsi="Times New Roman" w:cs="Times New Roman" w:hint="eastAsia"/>
                <w:bCs/>
                <w:iCs/>
                <w:sz w:val="24"/>
                <w:szCs w:val="24"/>
              </w:rPr>
              <w:t xml:space="preserve"> EGFR 20</w:t>
            </w:r>
            <w:r>
              <w:rPr>
                <w:rFonts w:ascii="Times New Roman" w:hAnsi="Times New Roman" w:cs="Times New Roman" w:hint="eastAsia"/>
                <w:bCs/>
                <w:iCs/>
                <w:sz w:val="24"/>
                <w:szCs w:val="24"/>
              </w:rPr>
              <w:t>外显子插入突变具有疗效，且安全性良好；专家们普遍对化疗组经</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评估的结果感到意外。</w:t>
            </w:r>
          </w:p>
          <w:p w14:paraId="3A219FBA" w14:textId="56BCDC36" w:rsidR="00CF7D10" w:rsidRP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需要特别说明的是，公司认为，化疗组经</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评估的中位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为</w:t>
            </w:r>
            <w:r>
              <w:rPr>
                <w:rFonts w:ascii="Times New Roman" w:hAnsi="Times New Roman" w:cs="Times New Roman" w:hint="eastAsia"/>
                <w:bCs/>
                <w:iCs/>
                <w:sz w:val="24"/>
                <w:szCs w:val="24"/>
              </w:rPr>
              <w:t>9.5</w:t>
            </w:r>
            <w:r>
              <w:rPr>
                <w:rFonts w:ascii="Times New Roman" w:hAnsi="Times New Roman" w:cs="Times New Roman" w:hint="eastAsia"/>
                <w:bCs/>
                <w:iCs/>
                <w:sz w:val="24"/>
                <w:szCs w:val="24"/>
              </w:rPr>
              <w:t>个月，明显高于近期同类研究的结果。本研究为全球多中心研究，脑转移患者占比达</w:t>
            </w:r>
            <w:r>
              <w:rPr>
                <w:rFonts w:ascii="Times New Roman" w:hAnsi="Times New Roman" w:cs="Times New Roman" w:hint="eastAsia"/>
                <w:bCs/>
                <w:iCs/>
                <w:sz w:val="24"/>
                <w:szCs w:val="24"/>
              </w:rPr>
              <w:t>40%</w:t>
            </w:r>
            <w:r>
              <w:rPr>
                <w:rFonts w:ascii="Times New Roman" w:hAnsi="Times New Roman" w:cs="Times New Roman" w:hint="eastAsia"/>
                <w:bCs/>
                <w:iCs/>
                <w:sz w:val="24"/>
                <w:szCs w:val="24"/>
              </w:rPr>
              <w:t>，在相关研究中处于较高水平。在此患者构成下，伏美替尼</w:t>
            </w:r>
            <w:r w:rsidR="000870D4">
              <w:rPr>
                <w:rFonts w:ascii="Times New Roman" w:hAnsi="Times New Roman" w:cs="Times New Roman" w:hint="eastAsia"/>
                <w:bCs/>
                <w:iCs/>
                <w:sz w:val="24"/>
                <w:szCs w:val="24"/>
              </w:rPr>
              <w:t>240mg</w:t>
            </w:r>
            <w:r>
              <w:rPr>
                <w:rFonts w:ascii="Times New Roman" w:hAnsi="Times New Roman" w:cs="Times New Roman" w:hint="eastAsia"/>
                <w:bCs/>
                <w:iCs/>
                <w:sz w:val="24"/>
                <w:szCs w:val="24"/>
              </w:rPr>
              <w:t>组经</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评估的中位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仍达到</w:t>
            </w:r>
            <w:r>
              <w:rPr>
                <w:rFonts w:ascii="Times New Roman" w:hAnsi="Times New Roman" w:cs="Times New Roman" w:hint="eastAsia"/>
                <w:bCs/>
                <w:iCs/>
                <w:sz w:val="24"/>
                <w:szCs w:val="24"/>
              </w:rPr>
              <w:t>11.0</w:t>
            </w:r>
            <w:r>
              <w:rPr>
                <w:rFonts w:ascii="Times New Roman" w:hAnsi="Times New Roman" w:cs="Times New Roman" w:hint="eastAsia"/>
                <w:bCs/>
                <w:iCs/>
                <w:sz w:val="24"/>
                <w:szCs w:val="24"/>
              </w:rPr>
              <w:t>个月</w:t>
            </w:r>
            <w:r w:rsidR="00D37F27">
              <w:rPr>
                <w:rFonts w:ascii="Times New Roman" w:hAnsi="Times New Roman" w:cs="Times New Roman" w:hint="eastAsia"/>
                <w:bCs/>
                <w:iCs/>
                <w:sz w:val="24"/>
                <w:szCs w:val="24"/>
              </w:rPr>
              <w:t>，</w:t>
            </w:r>
            <w:r>
              <w:rPr>
                <w:rFonts w:ascii="Times New Roman" w:hAnsi="Times New Roman" w:cs="Times New Roman" w:hint="eastAsia"/>
                <w:bCs/>
                <w:iCs/>
                <w:sz w:val="24"/>
                <w:szCs w:val="24"/>
              </w:rPr>
              <w:t>研究者评估的化疗组中位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为</w:t>
            </w:r>
            <w:r>
              <w:rPr>
                <w:rFonts w:ascii="Times New Roman" w:hAnsi="Times New Roman" w:cs="Times New Roman" w:hint="eastAsia"/>
                <w:bCs/>
                <w:iCs/>
                <w:sz w:val="24"/>
                <w:szCs w:val="24"/>
              </w:rPr>
              <w:t>7.1</w:t>
            </w:r>
            <w:r>
              <w:rPr>
                <w:rFonts w:ascii="Times New Roman" w:hAnsi="Times New Roman" w:cs="Times New Roman" w:hint="eastAsia"/>
                <w:bCs/>
                <w:iCs/>
                <w:sz w:val="24"/>
                <w:szCs w:val="24"/>
              </w:rPr>
              <w:t>个月，与公司的预期及同类研究中的化疗组结果较为接近。</w:t>
            </w:r>
          </w:p>
          <w:p w14:paraId="36F96A21" w14:textId="5E18C9CC" w:rsidR="00CF7D10" w:rsidRP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艾力斯是一家创新药企业，自</w:t>
            </w:r>
            <w:r>
              <w:rPr>
                <w:rFonts w:ascii="Times New Roman" w:hAnsi="Times New Roman" w:cs="Times New Roman" w:hint="eastAsia"/>
                <w:bCs/>
                <w:iCs/>
                <w:sz w:val="24"/>
                <w:szCs w:val="24"/>
              </w:rPr>
              <w:t>2004</w:t>
            </w:r>
            <w:r>
              <w:rPr>
                <w:rFonts w:ascii="Times New Roman" w:hAnsi="Times New Roman" w:cs="Times New Roman" w:hint="eastAsia"/>
                <w:bCs/>
                <w:iCs/>
                <w:sz w:val="24"/>
                <w:szCs w:val="24"/>
              </w:rPr>
              <w:t>年成立以来，已有三款创新药获批上市，其中伏美替尼获得中国专利金奖。伏美替尼是一款原研第三代</w:t>
            </w:r>
            <w:r>
              <w:rPr>
                <w:rFonts w:ascii="Times New Roman" w:hAnsi="Times New Roman" w:cs="Times New Roman" w:hint="eastAsia"/>
                <w:bCs/>
                <w:iCs/>
                <w:sz w:val="24"/>
                <w:szCs w:val="24"/>
              </w:rPr>
              <w:t xml:space="preserve"> EGFR-TKI</w:t>
            </w:r>
            <w:r>
              <w:rPr>
                <w:rFonts w:ascii="Times New Roman" w:hAnsi="Times New Roman" w:cs="Times New Roman" w:hint="eastAsia"/>
                <w:bCs/>
                <w:iCs/>
                <w:sz w:val="24"/>
                <w:szCs w:val="24"/>
              </w:rPr>
              <w:t>，获批以来销售屡创新高，为患者缓解病痛，也为投资者创造了价值。公司认为，伏美替尼体现了国产药物和中国创新的实力。目前，公司已有三款产品在市场销售，并持续投入大分子和小分子管线的研发。</w:t>
            </w:r>
          </w:p>
          <w:p w14:paraId="19693960" w14:textId="3BA156AA" w:rsidR="00CF7D10" w:rsidRPr="003D2DEC" w:rsidRDefault="003D2DEC"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后续，公司将进一步加大研发投入，并加快推进临床研究和海外合作。公司高度重视海外市场，将与</w:t>
            </w:r>
            <w:r>
              <w:rPr>
                <w:rFonts w:ascii="Times New Roman" w:hAnsi="Times New Roman" w:cs="Times New Roman" w:hint="eastAsia"/>
                <w:bCs/>
                <w:iCs/>
                <w:sz w:val="24"/>
                <w:szCs w:val="24"/>
              </w:rPr>
              <w:t xml:space="preserve"> ArriVent </w:t>
            </w:r>
            <w:r>
              <w:rPr>
                <w:rFonts w:ascii="Times New Roman" w:hAnsi="Times New Roman" w:cs="Times New Roman" w:hint="eastAsia"/>
                <w:bCs/>
                <w:iCs/>
                <w:sz w:val="24"/>
                <w:szCs w:val="24"/>
              </w:rPr>
              <w:t>保持密切协作，持续推进包括</w:t>
            </w:r>
            <w:r>
              <w:rPr>
                <w:rFonts w:ascii="Times New Roman" w:hAnsi="Times New Roman" w:cs="Times New Roman" w:hint="eastAsia"/>
                <w:bCs/>
                <w:iCs/>
                <w:sz w:val="24"/>
                <w:szCs w:val="24"/>
              </w:rPr>
              <w:t xml:space="preserve"> PACC </w:t>
            </w:r>
            <w:r>
              <w:rPr>
                <w:rFonts w:ascii="Times New Roman" w:hAnsi="Times New Roman" w:cs="Times New Roman" w:hint="eastAsia"/>
                <w:bCs/>
                <w:iCs/>
                <w:sz w:val="24"/>
                <w:szCs w:val="24"/>
              </w:rPr>
              <w:t>突变全球多中心研究在内的后续研发工作；同时总结本次研究的经验，以推动</w:t>
            </w:r>
            <w:r>
              <w:rPr>
                <w:rFonts w:ascii="Times New Roman" w:hAnsi="Times New Roman" w:cs="Times New Roman" w:hint="eastAsia"/>
                <w:bCs/>
                <w:iCs/>
                <w:sz w:val="24"/>
                <w:szCs w:val="24"/>
              </w:rPr>
              <w:t xml:space="preserve"> PACC </w:t>
            </w:r>
            <w:r>
              <w:rPr>
                <w:rFonts w:ascii="Times New Roman" w:hAnsi="Times New Roman" w:cs="Times New Roman" w:hint="eastAsia"/>
                <w:bCs/>
                <w:iCs/>
                <w:sz w:val="24"/>
                <w:szCs w:val="24"/>
              </w:rPr>
              <w:t>研究更加顺利地开展。公司还将加强与其他海外优秀公司的交流合作，逐步构建自身的全球研发和临床拓展能力。公司对未来发展始终充满信心，本次研究结果使公司更加坚定创新与全球化的发展方向，公司将以实际业绩回应投资者的信任。</w:t>
            </w:r>
          </w:p>
          <w:p w14:paraId="74CAD2FE" w14:textId="77777777" w:rsidR="00CF7D10" w:rsidRDefault="00CF7D10" w:rsidP="003D2DEC">
            <w:pPr>
              <w:spacing w:line="360" w:lineRule="auto"/>
              <w:ind w:firstLineChars="200" w:firstLine="480"/>
              <w:rPr>
                <w:rFonts w:ascii="Times New Roman" w:hAnsi="Times New Roman" w:cs="Times New Roman"/>
                <w:bCs/>
                <w:iCs/>
                <w:sz w:val="24"/>
                <w:szCs w:val="24"/>
              </w:rPr>
            </w:pPr>
          </w:p>
          <w:p w14:paraId="240D402E" w14:textId="2D025B89"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lastRenderedPageBreak/>
              <w:t>问题一：本次研究中，化疗对照组经</w:t>
            </w:r>
            <w:r>
              <w:rPr>
                <w:rFonts w:ascii="Times New Roman" w:hAnsi="Times New Roman" w:cs="Times New Roman" w:hint="eastAsia"/>
                <w:b/>
                <w:iCs/>
                <w:sz w:val="24"/>
                <w:szCs w:val="24"/>
              </w:rPr>
              <w:t xml:space="preserve"> BICR </w:t>
            </w:r>
            <w:r>
              <w:rPr>
                <w:rFonts w:ascii="Times New Roman" w:hAnsi="Times New Roman" w:cs="Times New Roman" w:hint="eastAsia"/>
                <w:b/>
                <w:iCs/>
                <w:sz w:val="24"/>
                <w:szCs w:val="24"/>
              </w:rPr>
              <w:t>和研究者评估的结果存在一定差异，公司如何解读？后续开发计划如何？</w:t>
            </w:r>
          </w:p>
          <w:p w14:paraId="2B63D963" w14:textId="3EE53F2E"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答复：从已公开的结果看，伏美替尼</w:t>
            </w:r>
            <w:r>
              <w:rPr>
                <w:rFonts w:ascii="Times New Roman" w:hAnsi="Times New Roman" w:cs="Times New Roman" w:hint="eastAsia"/>
                <w:bCs/>
                <w:iCs/>
                <w:sz w:val="24"/>
                <w:szCs w:val="24"/>
              </w:rPr>
              <w:t>240 mg</w:t>
            </w:r>
            <w:r>
              <w:rPr>
                <w:rFonts w:ascii="Times New Roman" w:hAnsi="Times New Roman" w:cs="Times New Roman" w:hint="eastAsia"/>
                <w:bCs/>
                <w:iCs/>
                <w:sz w:val="24"/>
                <w:szCs w:val="24"/>
              </w:rPr>
              <w:t>组经</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和研究者评估的中位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分别为</w:t>
            </w:r>
            <w:r>
              <w:rPr>
                <w:rFonts w:ascii="Times New Roman" w:hAnsi="Times New Roman" w:cs="Times New Roman" w:hint="eastAsia"/>
                <w:bCs/>
                <w:iCs/>
                <w:sz w:val="24"/>
                <w:szCs w:val="24"/>
              </w:rPr>
              <w:t>11.0</w:t>
            </w:r>
            <w:r>
              <w:rPr>
                <w:rFonts w:ascii="Times New Roman" w:hAnsi="Times New Roman" w:cs="Times New Roman" w:hint="eastAsia"/>
                <w:bCs/>
                <w:iCs/>
                <w:sz w:val="24"/>
                <w:szCs w:val="24"/>
              </w:rPr>
              <w:t>个月和</w:t>
            </w:r>
            <w:r>
              <w:rPr>
                <w:rFonts w:ascii="Times New Roman" w:hAnsi="Times New Roman" w:cs="Times New Roman" w:hint="eastAsia"/>
                <w:bCs/>
                <w:iCs/>
                <w:sz w:val="24"/>
                <w:szCs w:val="24"/>
              </w:rPr>
              <w:t>11.1</w:t>
            </w:r>
            <w:r>
              <w:rPr>
                <w:rFonts w:ascii="Times New Roman" w:hAnsi="Times New Roman" w:cs="Times New Roman" w:hint="eastAsia"/>
                <w:bCs/>
                <w:iCs/>
                <w:sz w:val="24"/>
                <w:szCs w:val="24"/>
              </w:rPr>
              <w:t>个月，结果较为接近；化疗组的相应结果分别为</w:t>
            </w:r>
            <w:r>
              <w:rPr>
                <w:rFonts w:ascii="Times New Roman" w:hAnsi="Times New Roman" w:cs="Times New Roman" w:hint="eastAsia"/>
                <w:bCs/>
                <w:iCs/>
                <w:sz w:val="24"/>
                <w:szCs w:val="24"/>
              </w:rPr>
              <w:t>9.5</w:t>
            </w:r>
            <w:r>
              <w:rPr>
                <w:rFonts w:ascii="Times New Roman" w:hAnsi="Times New Roman" w:cs="Times New Roman" w:hint="eastAsia"/>
                <w:bCs/>
                <w:iCs/>
                <w:sz w:val="24"/>
                <w:szCs w:val="24"/>
              </w:rPr>
              <w:t>个月和</w:t>
            </w:r>
            <w:r>
              <w:rPr>
                <w:rFonts w:ascii="Times New Roman" w:hAnsi="Times New Roman" w:cs="Times New Roman" w:hint="eastAsia"/>
                <w:bCs/>
                <w:iCs/>
                <w:sz w:val="24"/>
                <w:szCs w:val="24"/>
              </w:rPr>
              <w:t>7.1</w:t>
            </w:r>
            <w:r>
              <w:rPr>
                <w:rFonts w:ascii="Times New Roman" w:hAnsi="Times New Roman" w:cs="Times New Roman" w:hint="eastAsia"/>
                <w:bCs/>
                <w:iCs/>
                <w:sz w:val="24"/>
                <w:szCs w:val="24"/>
              </w:rPr>
              <w:t>个月，差异较大。</w:t>
            </w:r>
          </w:p>
          <w:p w14:paraId="3097790B" w14:textId="0CDC9345"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上述差异值得深入分析，但仅凭汇总数据尚不足以解释其原因。影像学判定、疾病进展时间及随访等信息，均需结合完整数据进行分析。公司与</w:t>
            </w:r>
            <w:r>
              <w:rPr>
                <w:rFonts w:ascii="Times New Roman" w:hAnsi="Times New Roman" w:cs="Times New Roman" w:hint="eastAsia"/>
                <w:bCs/>
                <w:iCs/>
                <w:sz w:val="24"/>
                <w:szCs w:val="24"/>
              </w:rPr>
              <w:t xml:space="preserve"> ArriVent </w:t>
            </w:r>
            <w:r>
              <w:rPr>
                <w:rFonts w:ascii="Times New Roman" w:hAnsi="Times New Roman" w:cs="Times New Roman" w:hint="eastAsia"/>
                <w:bCs/>
                <w:iCs/>
                <w:sz w:val="24"/>
                <w:szCs w:val="24"/>
              </w:rPr>
              <w:t>正在组织双方团队分析完整数据，包括</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的影像学判定及具体的疾病进展判定时间等。目前分析仍在进行中，公司将根据分析结果确定后续方案。</w:t>
            </w:r>
          </w:p>
          <w:p w14:paraId="40E093CA" w14:textId="7E08D360" w:rsidR="00CF7D10" w:rsidRDefault="00CF7D10" w:rsidP="003D2DEC">
            <w:pPr>
              <w:spacing w:line="360" w:lineRule="auto"/>
              <w:ind w:firstLineChars="200" w:firstLine="480"/>
              <w:rPr>
                <w:rFonts w:ascii="Times New Roman" w:hAnsi="Times New Roman" w:cs="Times New Roman"/>
                <w:bCs/>
                <w:iCs/>
                <w:sz w:val="24"/>
                <w:szCs w:val="24"/>
              </w:rPr>
            </w:pPr>
          </w:p>
          <w:p w14:paraId="029287F3" w14:textId="4ACBE113"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t>问题二：化疗对照组经</w:t>
            </w:r>
            <w:r>
              <w:rPr>
                <w:rFonts w:ascii="Times New Roman" w:hAnsi="Times New Roman" w:cs="Times New Roman" w:hint="eastAsia"/>
                <w:b/>
                <w:iCs/>
                <w:sz w:val="24"/>
                <w:szCs w:val="24"/>
              </w:rPr>
              <w:t xml:space="preserve"> BICR </w:t>
            </w:r>
            <w:r>
              <w:rPr>
                <w:rFonts w:ascii="Times New Roman" w:hAnsi="Times New Roman" w:cs="Times New Roman" w:hint="eastAsia"/>
                <w:b/>
                <w:iCs/>
                <w:sz w:val="24"/>
                <w:szCs w:val="24"/>
              </w:rPr>
              <w:t>评估的中位</w:t>
            </w:r>
            <w:r>
              <w:rPr>
                <w:rFonts w:ascii="Times New Roman" w:hAnsi="Times New Roman" w:cs="Times New Roman" w:hint="eastAsia"/>
                <w:b/>
                <w:iCs/>
                <w:sz w:val="24"/>
                <w:szCs w:val="24"/>
              </w:rPr>
              <w:t xml:space="preserve"> PFS </w:t>
            </w:r>
            <w:r>
              <w:rPr>
                <w:rFonts w:ascii="Times New Roman" w:hAnsi="Times New Roman" w:cs="Times New Roman" w:hint="eastAsia"/>
                <w:b/>
                <w:iCs/>
                <w:sz w:val="24"/>
                <w:szCs w:val="24"/>
              </w:rPr>
              <w:t>为</w:t>
            </w:r>
            <w:r>
              <w:rPr>
                <w:rFonts w:ascii="Times New Roman" w:hAnsi="Times New Roman" w:cs="Times New Roman" w:hint="eastAsia"/>
                <w:b/>
                <w:iCs/>
                <w:sz w:val="24"/>
                <w:szCs w:val="24"/>
              </w:rPr>
              <w:t>9.5</w:t>
            </w:r>
            <w:r>
              <w:rPr>
                <w:rFonts w:ascii="Times New Roman" w:hAnsi="Times New Roman" w:cs="Times New Roman" w:hint="eastAsia"/>
                <w:b/>
                <w:iCs/>
                <w:sz w:val="24"/>
                <w:szCs w:val="24"/>
              </w:rPr>
              <w:t>个月，高于历史研究结果，具体原因是什么？后续是否会继续随访总生存期（</w:t>
            </w:r>
            <w:r>
              <w:rPr>
                <w:rFonts w:ascii="Times New Roman" w:hAnsi="Times New Roman" w:cs="Times New Roman" w:hint="eastAsia"/>
                <w:b/>
                <w:iCs/>
                <w:sz w:val="24"/>
                <w:szCs w:val="24"/>
              </w:rPr>
              <w:t>OS</w:t>
            </w:r>
            <w:r>
              <w:rPr>
                <w:rFonts w:ascii="Times New Roman" w:hAnsi="Times New Roman" w:cs="Times New Roman" w:hint="eastAsia"/>
                <w:b/>
                <w:iCs/>
                <w:sz w:val="24"/>
                <w:szCs w:val="24"/>
              </w:rPr>
              <w:t>）？国内</w:t>
            </w:r>
            <w:r>
              <w:rPr>
                <w:rFonts w:ascii="Times New Roman" w:hAnsi="Times New Roman" w:cs="Times New Roman" w:hint="eastAsia"/>
                <w:b/>
                <w:iCs/>
                <w:sz w:val="24"/>
                <w:szCs w:val="24"/>
              </w:rPr>
              <w:t xml:space="preserve"> EGFR 20 </w:t>
            </w:r>
            <w:r>
              <w:rPr>
                <w:rFonts w:ascii="Times New Roman" w:hAnsi="Times New Roman" w:cs="Times New Roman" w:hint="eastAsia"/>
                <w:b/>
                <w:iCs/>
                <w:sz w:val="24"/>
                <w:szCs w:val="24"/>
              </w:rPr>
              <w:t>外显子插入突变二线治疗适应症为附条件批准，本次研究对该适应症的批准状态及销售有何影响？</w:t>
            </w:r>
          </w:p>
          <w:p w14:paraId="4A762767" w14:textId="77777777"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w:t>
            </w:r>
          </w:p>
          <w:p w14:paraId="74BCAE61" w14:textId="07D428B6"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不同研究中化疗组的</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并非固定数值，患者构成、治疗及维持治疗安排、评估频率和随访情况等均可能影响结果。本研究中，脑转移患者占比达</w:t>
            </w:r>
            <w:r>
              <w:rPr>
                <w:rFonts w:ascii="Times New Roman" w:hAnsi="Times New Roman" w:cs="Times New Roman" w:hint="eastAsia"/>
                <w:bCs/>
                <w:iCs/>
                <w:sz w:val="24"/>
                <w:szCs w:val="24"/>
              </w:rPr>
              <w:t>40%</w:t>
            </w:r>
            <w:r>
              <w:rPr>
                <w:rFonts w:ascii="Times New Roman" w:hAnsi="Times New Roman" w:cs="Times New Roman" w:hint="eastAsia"/>
                <w:bCs/>
                <w:iCs/>
                <w:sz w:val="24"/>
                <w:szCs w:val="24"/>
              </w:rPr>
              <w:t>，研究者评估的化疗组中位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为</w:t>
            </w:r>
            <w:r>
              <w:rPr>
                <w:rFonts w:ascii="Times New Roman" w:hAnsi="Times New Roman" w:cs="Times New Roman" w:hint="eastAsia"/>
                <w:bCs/>
                <w:iCs/>
                <w:sz w:val="24"/>
                <w:szCs w:val="24"/>
              </w:rPr>
              <w:t>7.1</w:t>
            </w:r>
            <w:r>
              <w:rPr>
                <w:rFonts w:ascii="Times New Roman" w:hAnsi="Times New Roman" w:cs="Times New Roman" w:hint="eastAsia"/>
                <w:bCs/>
                <w:iCs/>
                <w:sz w:val="24"/>
                <w:szCs w:val="24"/>
              </w:rPr>
              <w:t>个月，与公司的认识和预期相符；</w:t>
            </w:r>
            <w:r>
              <w:rPr>
                <w:rFonts w:ascii="Times New Roman" w:hAnsi="Times New Roman" w:cs="Times New Roman" w:hint="eastAsia"/>
                <w:bCs/>
                <w:iCs/>
                <w:sz w:val="24"/>
                <w:szCs w:val="24"/>
              </w:rPr>
              <w:t xml:space="preserve">BICR </w:t>
            </w:r>
            <w:r>
              <w:rPr>
                <w:rFonts w:ascii="Times New Roman" w:hAnsi="Times New Roman" w:cs="Times New Roman" w:hint="eastAsia"/>
                <w:bCs/>
                <w:iCs/>
                <w:sz w:val="24"/>
                <w:szCs w:val="24"/>
              </w:rPr>
              <w:t>评估的中位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为</w:t>
            </w:r>
            <w:r>
              <w:rPr>
                <w:rFonts w:ascii="Times New Roman" w:hAnsi="Times New Roman" w:cs="Times New Roman" w:hint="eastAsia"/>
                <w:bCs/>
                <w:iCs/>
                <w:sz w:val="24"/>
                <w:szCs w:val="24"/>
              </w:rPr>
              <w:t>9.5</w:t>
            </w:r>
            <w:r>
              <w:rPr>
                <w:rFonts w:ascii="Times New Roman" w:hAnsi="Times New Roman" w:cs="Times New Roman" w:hint="eastAsia"/>
                <w:bCs/>
                <w:iCs/>
                <w:sz w:val="24"/>
                <w:szCs w:val="24"/>
              </w:rPr>
              <w:t>个月，高于公司预期。目前，公司仍在分析完整数据。</w:t>
            </w:r>
          </w:p>
          <w:p w14:paraId="4CF31321" w14:textId="69452700"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公司仍在进行</w:t>
            </w:r>
            <w:r>
              <w:rPr>
                <w:rFonts w:ascii="Times New Roman" w:hAnsi="Times New Roman" w:cs="Times New Roman" w:hint="eastAsia"/>
                <w:bCs/>
                <w:iCs/>
                <w:sz w:val="24"/>
                <w:szCs w:val="24"/>
              </w:rPr>
              <w:t xml:space="preserve"> OS </w:t>
            </w:r>
            <w:r>
              <w:rPr>
                <w:rFonts w:ascii="Times New Roman" w:hAnsi="Times New Roman" w:cs="Times New Roman" w:hint="eastAsia"/>
                <w:bCs/>
                <w:iCs/>
                <w:sz w:val="24"/>
                <w:szCs w:val="24"/>
              </w:rPr>
              <w:t>随访，当前</w:t>
            </w:r>
            <w:r>
              <w:rPr>
                <w:rFonts w:ascii="Times New Roman" w:hAnsi="Times New Roman" w:cs="Times New Roman" w:hint="eastAsia"/>
                <w:bCs/>
                <w:iCs/>
                <w:sz w:val="24"/>
                <w:szCs w:val="24"/>
              </w:rPr>
              <w:t xml:space="preserve"> OS </w:t>
            </w:r>
            <w:r>
              <w:rPr>
                <w:rFonts w:ascii="Times New Roman" w:hAnsi="Times New Roman" w:cs="Times New Roman" w:hint="eastAsia"/>
                <w:bCs/>
                <w:iCs/>
                <w:sz w:val="24"/>
                <w:szCs w:val="24"/>
              </w:rPr>
              <w:t>数据尚未成熟。</w:t>
            </w:r>
          </w:p>
          <w:p w14:paraId="2472007D" w14:textId="5FF1DE79"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伏美替尼用于</w:t>
            </w:r>
            <w:r>
              <w:rPr>
                <w:rFonts w:ascii="Times New Roman" w:hAnsi="Times New Roman" w:cs="Times New Roman" w:hint="eastAsia"/>
                <w:bCs/>
                <w:iCs/>
                <w:sz w:val="24"/>
                <w:szCs w:val="24"/>
              </w:rPr>
              <w:t xml:space="preserve"> EGFR 20 </w:t>
            </w:r>
            <w:r>
              <w:rPr>
                <w:rFonts w:ascii="Times New Roman" w:hAnsi="Times New Roman" w:cs="Times New Roman" w:hint="eastAsia"/>
                <w:bCs/>
                <w:iCs/>
                <w:sz w:val="24"/>
                <w:szCs w:val="24"/>
              </w:rPr>
              <w:t>外显子插入突变二线治疗的适应症已获附条件批准。公司原本即计划开展联合用药研</w:t>
            </w:r>
            <w:r>
              <w:rPr>
                <w:rFonts w:ascii="Times New Roman" w:hAnsi="Times New Roman" w:cs="Times New Roman" w:hint="eastAsia"/>
                <w:bCs/>
                <w:iCs/>
                <w:sz w:val="24"/>
                <w:szCs w:val="24"/>
              </w:rPr>
              <w:lastRenderedPageBreak/>
              <w:t>究，以提高该突变类型一线治疗的疗效，目前正在撰写研究方案，并将加快推进。公司对完成二线适应症附条件批准所要求的相关工作有信心。</w:t>
            </w:r>
          </w:p>
          <w:p w14:paraId="4489781A" w14:textId="72578BA7"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伏美替尼目前的销售主要来自</w:t>
            </w:r>
            <w:r>
              <w:rPr>
                <w:rFonts w:ascii="Times New Roman" w:hAnsi="Times New Roman" w:cs="Times New Roman" w:hint="eastAsia"/>
                <w:bCs/>
                <w:iCs/>
                <w:sz w:val="24"/>
                <w:szCs w:val="24"/>
              </w:rPr>
              <w:t xml:space="preserve"> EGFR </w:t>
            </w:r>
            <w:r>
              <w:rPr>
                <w:rFonts w:ascii="Times New Roman" w:hAnsi="Times New Roman" w:cs="Times New Roman" w:hint="eastAsia"/>
                <w:bCs/>
                <w:iCs/>
                <w:sz w:val="24"/>
                <w:szCs w:val="24"/>
              </w:rPr>
              <w:t>敏感突变一线治疗适应症。敏感突变术后辅助治疗适应症的新药上市申请（</w:t>
            </w:r>
            <w:r>
              <w:rPr>
                <w:rFonts w:ascii="Times New Roman" w:hAnsi="Times New Roman" w:cs="Times New Roman" w:hint="eastAsia"/>
                <w:bCs/>
                <w:iCs/>
                <w:sz w:val="24"/>
                <w:szCs w:val="24"/>
              </w:rPr>
              <w:t>NDA</w:t>
            </w:r>
            <w:r>
              <w:rPr>
                <w:rFonts w:ascii="Times New Roman" w:hAnsi="Times New Roman" w:cs="Times New Roman" w:hint="eastAsia"/>
                <w:bCs/>
                <w:iCs/>
                <w:sz w:val="24"/>
                <w:szCs w:val="24"/>
              </w:rPr>
              <w:t>）已提交，公司对伏美替尼未来的销售前景有信心。</w:t>
            </w:r>
          </w:p>
          <w:p w14:paraId="68D15C3A" w14:textId="77777777" w:rsidR="00CF7D10" w:rsidRDefault="00CF7D10" w:rsidP="003D2DEC">
            <w:pPr>
              <w:spacing w:line="360" w:lineRule="auto"/>
              <w:ind w:firstLineChars="200" w:firstLine="480"/>
              <w:rPr>
                <w:rFonts w:ascii="Times New Roman" w:hAnsi="Times New Roman" w:cs="Times New Roman"/>
                <w:bCs/>
                <w:iCs/>
                <w:sz w:val="24"/>
                <w:szCs w:val="24"/>
              </w:rPr>
            </w:pPr>
          </w:p>
          <w:p w14:paraId="3F766892" w14:textId="51835C81"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t>问题三：伏美替尼</w:t>
            </w:r>
            <w:r>
              <w:rPr>
                <w:rFonts w:ascii="Times New Roman" w:hAnsi="Times New Roman" w:cs="Times New Roman" w:hint="eastAsia"/>
                <w:b/>
                <w:iCs/>
                <w:sz w:val="24"/>
                <w:szCs w:val="24"/>
              </w:rPr>
              <w:t xml:space="preserve"> EGFR 20 </w:t>
            </w:r>
            <w:r>
              <w:rPr>
                <w:rFonts w:ascii="Times New Roman" w:hAnsi="Times New Roman" w:cs="Times New Roman" w:hint="eastAsia"/>
                <w:b/>
                <w:iCs/>
                <w:sz w:val="24"/>
                <w:szCs w:val="24"/>
              </w:rPr>
              <w:t>外显子插入突变适应症在美国的后续开发，是等待</w:t>
            </w:r>
            <w:r>
              <w:rPr>
                <w:rFonts w:ascii="Times New Roman" w:hAnsi="Times New Roman" w:cs="Times New Roman" w:hint="eastAsia"/>
                <w:b/>
                <w:iCs/>
                <w:sz w:val="24"/>
                <w:szCs w:val="24"/>
              </w:rPr>
              <w:t xml:space="preserve"> OS </w:t>
            </w:r>
            <w:r>
              <w:rPr>
                <w:rFonts w:ascii="Times New Roman" w:hAnsi="Times New Roman" w:cs="Times New Roman" w:hint="eastAsia"/>
                <w:b/>
                <w:iCs/>
                <w:sz w:val="24"/>
                <w:szCs w:val="24"/>
              </w:rPr>
              <w:t>随访数据更新，还是有其他与美国食品药品监督管理局（</w:t>
            </w:r>
            <w:r>
              <w:rPr>
                <w:rFonts w:ascii="Times New Roman" w:hAnsi="Times New Roman" w:cs="Times New Roman" w:hint="eastAsia"/>
                <w:b/>
                <w:iCs/>
                <w:sz w:val="24"/>
                <w:szCs w:val="24"/>
              </w:rPr>
              <w:t>FDA</w:t>
            </w:r>
            <w:r>
              <w:rPr>
                <w:rFonts w:ascii="Times New Roman" w:hAnsi="Times New Roman" w:cs="Times New Roman" w:hint="eastAsia"/>
                <w:b/>
                <w:iCs/>
                <w:sz w:val="24"/>
                <w:szCs w:val="24"/>
              </w:rPr>
              <w:t>）沟通的方案或计划？</w:t>
            </w:r>
          </w:p>
          <w:p w14:paraId="3C967252" w14:textId="77777777"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w:t>
            </w:r>
          </w:p>
          <w:p w14:paraId="72AC7FFD" w14:textId="5A7F8B49"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根据目前的随访数据，</w:t>
            </w:r>
            <w:r>
              <w:rPr>
                <w:rFonts w:ascii="Times New Roman" w:hAnsi="Times New Roman" w:cs="Times New Roman" w:hint="eastAsia"/>
                <w:bCs/>
                <w:iCs/>
                <w:sz w:val="24"/>
                <w:szCs w:val="24"/>
              </w:rPr>
              <w:t xml:space="preserve">OS </w:t>
            </w:r>
            <w:r>
              <w:rPr>
                <w:rFonts w:ascii="Times New Roman" w:hAnsi="Times New Roman" w:cs="Times New Roman" w:hint="eastAsia"/>
                <w:bCs/>
                <w:iCs/>
                <w:sz w:val="24"/>
                <w:szCs w:val="24"/>
              </w:rPr>
              <w:t>数据虽尚未成熟，但公司已观察到明显的改善趋势。公司将基于对现有数据的充分分析，确定后续开发及监管沟通方案。</w:t>
            </w:r>
          </w:p>
          <w:p w14:paraId="71A410DB" w14:textId="77777777"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bCs/>
                <w:iCs/>
                <w:sz w:val="24"/>
                <w:szCs w:val="24"/>
              </w:rPr>
              <w:t> </w:t>
            </w:r>
          </w:p>
          <w:p w14:paraId="3E278AAF" w14:textId="6A0F683A"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t>问题四：伏美替尼术后辅助治疗的上市申请进展如何？</w:t>
            </w:r>
          </w:p>
          <w:p w14:paraId="3827FF87" w14:textId="6F6E9E02"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答复：伏美替尼用于</w:t>
            </w:r>
            <w:r>
              <w:rPr>
                <w:rFonts w:ascii="Times New Roman" w:hAnsi="Times New Roman" w:cs="Times New Roman" w:hint="eastAsia"/>
                <w:bCs/>
                <w:iCs/>
                <w:sz w:val="24"/>
                <w:szCs w:val="24"/>
              </w:rPr>
              <w:t xml:space="preserve"> EGFR </w:t>
            </w:r>
            <w:r>
              <w:rPr>
                <w:rFonts w:ascii="Times New Roman" w:hAnsi="Times New Roman" w:cs="Times New Roman" w:hint="eastAsia"/>
                <w:bCs/>
                <w:iCs/>
                <w:sz w:val="24"/>
                <w:szCs w:val="24"/>
              </w:rPr>
              <w:t>敏感突变患者术后辅助治疗的上市申请已获国家药品监督管理局药品审评中心（</w:t>
            </w:r>
            <w:r>
              <w:rPr>
                <w:rFonts w:ascii="Times New Roman" w:hAnsi="Times New Roman" w:cs="Times New Roman" w:hint="eastAsia"/>
                <w:bCs/>
                <w:iCs/>
                <w:sz w:val="24"/>
                <w:szCs w:val="24"/>
              </w:rPr>
              <w:t>CDE</w:t>
            </w:r>
            <w:r>
              <w:rPr>
                <w:rFonts w:ascii="Times New Roman" w:hAnsi="Times New Roman" w:cs="Times New Roman" w:hint="eastAsia"/>
                <w:bCs/>
                <w:iCs/>
                <w:sz w:val="24"/>
                <w:szCs w:val="24"/>
              </w:rPr>
              <w:t>）受理，目前相关工作正在正常推进。</w:t>
            </w:r>
          </w:p>
          <w:p w14:paraId="644D7366" w14:textId="2037CE0B" w:rsidR="00CF7D10" w:rsidRDefault="00CF7D10" w:rsidP="003D2DEC">
            <w:pPr>
              <w:spacing w:line="360" w:lineRule="auto"/>
              <w:ind w:firstLineChars="200" w:firstLine="480"/>
              <w:rPr>
                <w:rFonts w:ascii="Times New Roman" w:hAnsi="Times New Roman" w:cs="Times New Roman"/>
                <w:bCs/>
                <w:iCs/>
                <w:sz w:val="24"/>
                <w:szCs w:val="24"/>
              </w:rPr>
            </w:pPr>
          </w:p>
          <w:p w14:paraId="0A5100D3" w14:textId="10A3E0D2"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t>问题五：伏美替尼后续海外适应症如何布局？</w:t>
            </w:r>
            <w:r>
              <w:rPr>
                <w:rFonts w:ascii="Times New Roman" w:hAnsi="Times New Roman" w:cs="Times New Roman" w:hint="eastAsia"/>
                <w:b/>
                <w:iCs/>
                <w:sz w:val="24"/>
                <w:szCs w:val="24"/>
              </w:rPr>
              <w:t xml:space="preserve">PACC </w:t>
            </w:r>
            <w:r>
              <w:rPr>
                <w:rFonts w:ascii="Times New Roman" w:hAnsi="Times New Roman" w:cs="Times New Roman" w:hint="eastAsia"/>
                <w:b/>
                <w:iCs/>
                <w:sz w:val="24"/>
                <w:szCs w:val="24"/>
              </w:rPr>
              <w:t>突变海外Ⅲ期研究的推进情况如何？</w:t>
            </w:r>
          </w:p>
          <w:p w14:paraId="116AE485" w14:textId="5103303B" w:rsid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答复：伏美替尼用于</w:t>
            </w:r>
            <w:r>
              <w:rPr>
                <w:rFonts w:ascii="Times New Roman" w:hAnsi="Times New Roman" w:cs="Times New Roman" w:hint="eastAsia"/>
                <w:bCs/>
                <w:iCs/>
                <w:sz w:val="24"/>
                <w:szCs w:val="24"/>
              </w:rPr>
              <w:t xml:space="preserve"> PACC </w:t>
            </w:r>
            <w:r>
              <w:rPr>
                <w:rFonts w:ascii="Times New Roman" w:hAnsi="Times New Roman" w:cs="Times New Roman" w:hint="eastAsia"/>
                <w:bCs/>
                <w:iCs/>
                <w:sz w:val="24"/>
                <w:szCs w:val="24"/>
              </w:rPr>
              <w:t>突变一线治疗的全球Ⅲ期研究名称为</w:t>
            </w:r>
            <w:r>
              <w:rPr>
                <w:rFonts w:ascii="Times New Roman" w:hAnsi="Times New Roman" w:cs="Times New Roman" w:hint="eastAsia"/>
                <w:bCs/>
                <w:iCs/>
                <w:sz w:val="24"/>
                <w:szCs w:val="24"/>
              </w:rPr>
              <w:t xml:space="preserve"> ALPACCA</w:t>
            </w:r>
            <w:r>
              <w:rPr>
                <w:rFonts w:ascii="Times New Roman" w:hAnsi="Times New Roman" w:cs="Times New Roman" w:hint="eastAsia"/>
                <w:bCs/>
                <w:iCs/>
                <w:sz w:val="24"/>
                <w:szCs w:val="24"/>
              </w:rPr>
              <w:t>，目前正在全球开展患者入组，相关临床工作正常推进。</w:t>
            </w:r>
          </w:p>
          <w:p w14:paraId="0318484F" w14:textId="77777777" w:rsidR="003D2DEC" w:rsidRDefault="003D2DEC" w:rsidP="003D2DEC">
            <w:pPr>
              <w:spacing w:line="360" w:lineRule="auto"/>
              <w:ind w:firstLineChars="200" w:firstLine="480"/>
              <w:rPr>
                <w:rFonts w:ascii="Times New Roman" w:hAnsi="Times New Roman" w:cs="Times New Roman"/>
                <w:bCs/>
                <w:iCs/>
                <w:sz w:val="24"/>
                <w:szCs w:val="24"/>
              </w:rPr>
            </w:pPr>
          </w:p>
          <w:p w14:paraId="0A21E8CB" w14:textId="66876EB8" w:rsidR="003D2DEC" w:rsidRPr="003D2DEC" w:rsidRDefault="003D2DEC"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lastRenderedPageBreak/>
              <w:t>问题六：可否分别介绍</w:t>
            </w:r>
            <w:r>
              <w:rPr>
                <w:rFonts w:ascii="Times New Roman" w:hAnsi="Times New Roman" w:cs="Times New Roman" w:hint="eastAsia"/>
                <w:b/>
                <w:iCs/>
                <w:sz w:val="24"/>
                <w:szCs w:val="24"/>
              </w:rPr>
              <w:t xml:space="preserve"> EGFR 20 </w:t>
            </w:r>
            <w:r>
              <w:rPr>
                <w:rFonts w:ascii="Times New Roman" w:hAnsi="Times New Roman" w:cs="Times New Roman" w:hint="eastAsia"/>
                <w:b/>
                <w:iCs/>
                <w:sz w:val="24"/>
                <w:szCs w:val="24"/>
              </w:rPr>
              <w:t>外显子插入突变和</w:t>
            </w:r>
            <w:r>
              <w:rPr>
                <w:rFonts w:ascii="Times New Roman" w:hAnsi="Times New Roman" w:cs="Times New Roman" w:hint="eastAsia"/>
                <w:b/>
                <w:iCs/>
                <w:sz w:val="24"/>
                <w:szCs w:val="24"/>
              </w:rPr>
              <w:t xml:space="preserve"> PACC </w:t>
            </w:r>
            <w:r>
              <w:rPr>
                <w:rFonts w:ascii="Times New Roman" w:hAnsi="Times New Roman" w:cs="Times New Roman" w:hint="eastAsia"/>
                <w:b/>
                <w:iCs/>
                <w:sz w:val="24"/>
                <w:szCs w:val="24"/>
              </w:rPr>
              <w:t>突变适应症的海外市场</w:t>
            </w:r>
            <w:r>
              <w:rPr>
                <w:rFonts w:ascii="Times New Roman" w:hAnsi="Times New Roman" w:cs="Times New Roman"/>
                <w:b/>
                <w:iCs/>
                <w:sz w:val="24"/>
                <w:szCs w:val="24"/>
              </w:rPr>
              <w:t>空间？</w:t>
            </w:r>
          </w:p>
          <w:p w14:paraId="770FD537" w14:textId="6F49C96A" w:rsidR="00CF7D10" w:rsidRPr="003D2DEC" w:rsidRDefault="003D2DEC"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答复：关于市场空间，根据</w:t>
            </w:r>
            <w:r>
              <w:rPr>
                <w:rFonts w:ascii="Times New Roman" w:hAnsi="Times New Roman" w:cs="Times New Roman"/>
                <w:bCs/>
                <w:iCs/>
                <w:sz w:val="24"/>
                <w:szCs w:val="24"/>
              </w:rPr>
              <w:t xml:space="preserve"> ArriVent </w:t>
            </w:r>
            <w:r>
              <w:rPr>
                <w:rFonts w:ascii="Times New Roman" w:hAnsi="Times New Roman" w:cs="Times New Roman" w:hint="eastAsia"/>
                <w:bCs/>
                <w:iCs/>
                <w:sz w:val="24"/>
                <w:szCs w:val="24"/>
              </w:rPr>
              <w:t>此前对外披露的数据，中国以外地区</w:t>
            </w:r>
            <w:r>
              <w:rPr>
                <w:rFonts w:ascii="Times New Roman" w:hAnsi="Times New Roman" w:cs="Times New Roman" w:hint="eastAsia"/>
                <w:bCs/>
                <w:iCs/>
                <w:sz w:val="24"/>
                <w:szCs w:val="24"/>
              </w:rPr>
              <w:t xml:space="preserve"> EGFR 20</w:t>
            </w:r>
            <w:r>
              <w:rPr>
                <w:rFonts w:ascii="Times New Roman" w:hAnsi="Times New Roman" w:cs="Times New Roman" w:hint="eastAsia"/>
                <w:bCs/>
                <w:iCs/>
                <w:sz w:val="24"/>
                <w:szCs w:val="24"/>
              </w:rPr>
              <w:t>外显子插入突变非小细胞肺癌（</w:t>
            </w:r>
            <w:r>
              <w:rPr>
                <w:rFonts w:ascii="Times New Roman" w:hAnsi="Times New Roman" w:cs="Times New Roman" w:hint="eastAsia"/>
                <w:bCs/>
                <w:iCs/>
                <w:sz w:val="24"/>
                <w:szCs w:val="24"/>
              </w:rPr>
              <w:t>NSCLC</w:t>
            </w:r>
            <w:r>
              <w:rPr>
                <w:rFonts w:ascii="Times New Roman" w:hAnsi="Times New Roman" w:cs="Times New Roman" w:hint="eastAsia"/>
                <w:bCs/>
                <w:iCs/>
                <w:sz w:val="24"/>
                <w:szCs w:val="24"/>
              </w:rPr>
              <w:t>）每年新增患者约</w:t>
            </w:r>
            <w:r>
              <w:rPr>
                <w:rFonts w:ascii="Times New Roman" w:hAnsi="Times New Roman" w:cs="Times New Roman" w:hint="eastAsia"/>
                <w:bCs/>
                <w:iCs/>
                <w:sz w:val="24"/>
                <w:szCs w:val="24"/>
              </w:rPr>
              <w:t>3</w:t>
            </w:r>
            <w:r>
              <w:rPr>
                <w:rFonts w:ascii="Times New Roman" w:hAnsi="Times New Roman" w:cs="Times New Roman" w:hint="eastAsia"/>
                <w:bCs/>
                <w:iCs/>
                <w:sz w:val="24"/>
                <w:szCs w:val="24"/>
              </w:rPr>
              <w:t>万余例，</w:t>
            </w:r>
            <w:r>
              <w:rPr>
                <w:rFonts w:ascii="Times New Roman" w:hAnsi="Times New Roman" w:cs="Times New Roman" w:hint="eastAsia"/>
                <w:bCs/>
                <w:iCs/>
                <w:sz w:val="24"/>
                <w:szCs w:val="24"/>
              </w:rPr>
              <w:t xml:space="preserve">PACC </w:t>
            </w:r>
            <w:r>
              <w:rPr>
                <w:rFonts w:ascii="Times New Roman" w:hAnsi="Times New Roman" w:cs="Times New Roman" w:hint="eastAsia"/>
                <w:bCs/>
                <w:iCs/>
                <w:sz w:val="24"/>
                <w:szCs w:val="24"/>
              </w:rPr>
              <w:t>突变</w:t>
            </w:r>
            <w:r>
              <w:rPr>
                <w:rFonts w:ascii="Times New Roman" w:hAnsi="Times New Roman" w:cs="Times New Roman"/>
                <w:bCs/>
                <w:iCs/>
                <w:sz w:val="24"/>
                <w:szCs w:val="24"/>
              </w:rPr>
              <w:t xml:space="preserve"> NSCLC </w:t>
            </w:r>
            <w:r>
              <w:rPr>
                <w:rFonts w:ascii="Times New Roman" w:hAnsi="Times New Roman" w:cs="Times New Roman" w:hint="eastAsia"/>
                <w:bCs/>
                <w:iCs/>
                <w:sz w:val="24"/>
                <w:szCs w:val="24"/>
              </w:rPr>
              <w:t>每年新增患者约</w:t>
            </w:r>
            <w:r>
              <w:rPr>
                <w:rFonts w:ascii="Times New Roman" w:hAnsi="Times New Roman" w:cs="Times New Roman"/>
                <w:bCs/>
                <w:iCs/>
                <w:sz w:val="24"/>
                <w:szCs w:val="24"/>
              </w:rPr>
              <w:t>4</w:t>
            </w:r>
            <w:r>
              <w:rPr>
                <w:rFonts w:ascii="Times New Roman" w:hAnsi="Times New Roman" w:cs="Times New Roman" w:hint="eastAsia"/>
                <w:bCs/>
                <w:iCs/>
                <w:sz w:val="24"/>
                <w:szCs w:val="24"/>
              </w:rPr>
              <w:t>万余例。</w:t>
            </w:r>
            <w:r>
              <w:rPr>
                <w:rFonts w:ascii="Times New Roman" w:hAnsi="Times New Roman" w:cs="Times New Roman" w:hint="eastAsia"/>
                <w:bCs/>
                <w:iCs/>
                <w:sz w:val="24"/>
                <w:szCs w:val="24"/>
              </w:rPr>
              <w:t xml:space="preserve">EGFR 20 </w:t>
            </w:r>
            <w:r>
              <w:rPr>
                <w:rFonts w:ascii="Times New Roman" w:hAnsi="Times New Roman" w:cs="Times New Roman" w:hint="eastAsia"/>
                <w:bCs/>
                <w:iCs/>
                <w:sz w:val="24"/>
                <w:szCs w:val="24"/>
              </w:rPr>
              <w:t>外显子插入突变一线治疗已有获批药物方案，如埃万妥单抗（</w:t>
            </w:r>
            <w:r>
              <w:rPr>
                <w:rFonts w:ascii="Times New Roman" w:hAnsi="Times New Roman" w:cs="Times New Roman" w:hint="eastAsia"/>
                <w:bCs/>
                <w:iCs/>
                <w:sz w:val="24"/>
                <w:szCs w:val="24"/>
              </w:rPr>
              <w:t>amivantamab</w:t>
            </w:r>
            <w:r>
              <w:rPr>
                <w:rFonts w:ascii="Times New Roman" w:hAnsi="Times New Roman" w:cs="Times New Roman" w:hint="eastAsia"/>
                <w:bCs/>
                <w:iCs/>
                <w:sz w:val="24"/>
                <w:szCs w:val="24"/>
              </w:rPr>
              <w:t>）联合化疗，且多款产品处于申报阶段，海外市场竞争较为激烈。相比之下，公司认为</w:t>
            </w:r>
            <w:r>
              <w:rPr>
                <w:rFonts w:ascii="Times New Roman" w:hAnsi="Times New Roman" w:cs="Times New Roman"/>
                <w:bCs/>
                <w:iCs/>
                <w:sz w:val="24"/>
                <w:szCs w:val="24"/>
              </w:rPr>
              <w:t xml:space="preserve"> PACC </w:t>
            </w:r>
            <w:r>
              <w:rPr>
                <w:rFonts w:ascii="Times New Roman" w:hAnsi="Times New Roman" w:cs="Times New Roman" w:hint="eastAsia"/>
                <w:bCs/>
                <w:iCs/>
                <w:sz w:val="24"/>
                <w:szCs w:val="24"/>
              </w:rPr>
              <w:t>突变市场规模更大，目前尚无获批药物。伏美替尼在中国针对</w:t>
            </w:r>
            <w:r>
              <w:rPr>
                <w:rFonts w:ascii="Times New Roman" w:hAnsi="Times New Roman" w:cs="Times New Roman"/>
                <w:bCs/>
                <w:iCs/>
                <w:sz w:val="24"/>
                <w:szCs w:val="24"/>
              </w:rPr>
              <w:t xml:space="preserve"> PACC </w:t>
            </w:r>
            <w:r>
              <w:rPr>
                <w:rFonts w:ascii="Times New Roman" w:hAnsi="Times New Roman" w:cs="Times New Roman" w:hint="eastAsia"/>
                <w:bCs/>
                <w:iCs/>
                <w:sz w:val="24"/>
                <w:szCs w:val="24"/>
              </w:rPr>
              <w:t>突变的注册临床研究已完成患者入组；公司认为，</w:t>
            </w:r>
            <w:r w:rsidR="002D50FD">
              <w:rPr>
                <w:rFonts w:ascii="Times New Roman" w:hAnsi="Times New Roman" w:cs="Times New Roman" w:hint="eastAsia"/>
                <w:bCs/>
                <w:iCs/>
                <w:sz w:val="24"/>
                <w:szCs w:val="24"/>
              </w:rPr>
              <w:t>AL</w:t>
            </w:r>
            <w:r w:rsidR="00D14BCB">
              <w:rPr>
                <w:rFonts w:ascii="Times New Roman" w:hAnsi="Times New Roman" w:cs="Times New Roman" w:hint="eastAsia"/>
                <w:bCs/>
                <w:iCs/>
                <w:sz w:val="24"/>
                <w:szCs w:val="24"/>
              </w:rPr>
              <w:t>PACCA</w:t>
            </w:r>
            <w:r>
              <w:rPr>
                <w:rFonts w:ascii="Times New Roman" w:hAnsi="Times New Roman" w:cs="Times New Roman" w:hint="eastAsia"/>
                <w:bCs/>
                <w:iCs/>
                <w:sz w:val="24"/>
                <w:szCs w:val="24"/>
              </w:rPr>
              <w:t>全球</w:t>
            </w:r>
            <w:r w:rsidR="00D14BCB">
              <w:rPr>
                <w:rFonts w:ascii="Times New Roman" w:hAnsi="Times New Roman" w:cs="Times New Roman" w:hint="eastAsia"/>
                <w:bCs/>
                <w:iCs/>
                <w:sz w:val="24"/>
                <w:szCs w:val="24"/>
              </w:rPr>
              <w:t>注册</w:t>
            </w:r>
            <w:r>
              <w:rPr>
                <w:rFonts w:ascii="Times New Roman" w:hAnsi="Times New Roman" w:cs="Times New Roman" w:hint="eastAsia"/>
                <w:bCs/>
                <w:iCs/>
                <w:sz w:val="24"/>
                <w:szCs w:val="24"/>
              </w:rPr>
              <w:t>研究启动最早、进度最快，</w:t>
            </w:r>
            <w:r>
              <w:rPr>
                <w:rFonts w:ascii="Times New Roman" w:hAnsi="Times New Roman" w:cs="Times New Roman" w:hint="eastAsia"/>
                <w:bCs/>
                <w:iCs/>
                <w:sz w:val="24"/>
                <w:szCs w:val="24"/>
              </w:rPr>
              <w:t xml:space="preserve">PACC </w:t>
            </w:r>
            <w:r>
              <w:rPr>
                <w:rFonts w:ascii="Times New Roman" w:hAnsi="Times New Roman" w:cs="Times New Roman" w:hint="eastAsia"/>
                <w:bCs/>
                <w:iCs/>
                <w:sz w:val="24"/>
                <w:szCs w:val="24"/>
              </w:rPr>
              <w:t>突变的海外市场潜力高于</w:t>
            </w:r>
            <w:r>
              <w:rPr>
                <w:rFonts w:ascii="Times New Roman" w:hAnsi="Times New Roman" w:cs="Times New Roman" w:hint="eastAsia"/>
                <w:bCs/>
                <w:iCs/>
                <w:sz w:val="24"/>
                <w:szCs w:val="24"/>
              </w:rPr>
              <w:t xml:space="preserve"> EGFR 20</w:t>
            </w:r>
            <w:r>
              <w:rPr>
                <w:rFonts w:ascii="Times New Roman" w:hAnsi="Times New Roman" w:cs="Times New Roman" w:hint="eastAsia"/>
                <w:bCs/>
                <w:iCs/>
                <w:sz w:val="24"/>
                <w:szCs w:val="24"/>
              </w:rPr>
              <w:t>外显子插入突变。</w:t>
            </w:r>
          </w:p>
          <w:p w14:paraId="3573931F" w14:textId="33BB3D19"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公司的海外开发路径包括：与</w:t>
            </w:r>
            <w:r>
              <w:rPr>
                <w:rFonts w:ascii="Times New Roman" w:hAnsi="Times New Roman" w:cs="Times New Roman"/>
                <w:bCs/>
                <w:iCs/>
                <w:sz w:val="24"/>
                <w:szCs w:val="24"/>
              </w:rPr>
              <w:t xml:space="preserve"> ArriVent </w:t>
            </w:r>
            <w:r>
              <w:rPr>
                <w:rFonts w:ascii="Times New Roman" w:hAnsi="Times New Roman" w:cs="Times New Roman" w:hint="eastAsia"/>
                <w:bCs/>
                <w:iCs/>
                <w:sz w:val="24"/>
                <w:szCs w:val="24"/>
              </w:rPr>
              <w:t>合作开展伏美替尼</w:t>
            </w:r>
            <w:r>
              <w:rPr>
                <w:rFonts w:ascii="Times New Roman" w:hAnsi="Times New Roman" w:cs="Times New Roman" w:hint="eastAsia"/>
                <w:bCs/>
                <w:iCs/>
                <w:sz w:val="24"/>
                <w:szCs w:val="24"/>
              </w:rPr>
              <w:t xml:space="preserve"> PACC </w:t>
            </w:r>
            <w:r>
              <w:rPr>
                <w:rFonts w:ascii="Times New Roman" w:hAnsi="Times New Roman" w:cs="Times New Roman" w:hint="eastAsia"/>
                <w:bCs/>
                <w:iCs/>
                <w:sz w:val="24"/>
                <w:szCs w:val="24"/>
              </w:rPr>
              <w:t>突变</w:t>
            </w:r>
            <w:r w:rsidR="00567055">
              <w:rPr>
                <w:rFonts w:ascii="Times New Roman" w:hAnsi="Times New Roman" w:cs="Times New Roman" w:hint="eastAsia"/>
                <w:bCs/>
                <w:iCs/>
                <w:sz w:val="24"/>
                <w:szCs w:val="24"/>
              </w:rPr>
              <w:t>全球</w:t>
            </w:r>
            <w:r>
              <w:rPr>
                <w:rFonts w:ascii="Times New Roman" w:hAnsi="Times New Roman" w:cs="Times New Roman" w:hint="eastAsia"/>
                <w:bCs/>
                <w:iCs/>
                <w:sz w:val="24"/>
                <w:szCs w:val="24"/>
              </w:rPr>
              <w:t>研究（</w:t>
            </w:r>
            <w:r>
              <w:rPr>
                <w:rFonts w:ascii="Times New Roman" w:hAnsi="Times New Roman" w:cs="Times New Roman" w:hint="eastAsia"/>
                <w:bCs/>
                <w:iCs/>
                <w:sz w:val="24"/>
                <w:szCs w:val="24"/>
              </w:rPr>
              <w:t>ALPACCA</w:t>
            </w:r>
            <w:r>
              <w:rPr>
                <w:rFonts w:ascii="Times New Roman" w:hAnsi="Times New Roman" w:cs="Times New Roman" w:hint="eastAsia"/>
                <w:bCs/>
                <w:iCs/>
                <w:sz w:val="24"/>
                <w:szCs w:val="24"/>
              </w:rPr>
              <w:t>），中国协助患者入组；与</w:t>
            </w:r>
            <w:r>
              <w:rPr>
                <w:rFonts w:ascii="Times New Roman" w:hAnsi="Times New Roman" w:cs="Times New Roman"/>
                <w:bCs/>
                <w:iCs/>
                <w:sz w:val="24"/>
                <w:szCs w:val="24"/>
              </w:rPr>
              <w:t xml:space="preserve"> ArriVent </w:t>
            </w:r>
            <w:r>
              <w:rPr>
                <w:rFonts w:ascii="Times New Roman" w:hAnsi="Times New Roman" w:cs="Times New Roman" w:hint="eastAsia"/>
                <w:bCs/>
                <w:iCs/>
                <w:sz w:val="24"/>
                <w:szCs w:val="24"/>
              </w:rPr>
              <w:t>合作的双抗抗体偶联药物（</w:t>
            </w:r>
            <w:r>
              <w:rPr>
                <w:rFonts w:ascii="Times New Roman" w:hAnsi="Times New Roman" w:cs="Times New Roman" w:hint="eastAsia"/>
                <w:bCs/>
                <w:iCs/>
                <w:sz w:val="24"/>
                <w:szCs w:val="24"/>
              </w:rPr>
              <w:t>ADC</w:t>
            </w:r>
            <w:r>
              <w:rPr>
                <w:rFonts w:ascii="Times New Roman" w:hAnsi="Times New Roman" w:cs="Times New Roman" w:hint="eastAsia"/>
                <w:bCs/>
                <w:iCs/>
                <w:sz w:val="24"/>
                <w:szCs w:val="24"/>
              </w:rPr>
              <w:t>）产品已在海外启动Ⅰ期临床研究，预计近期完成首例患者入组，中国方面将补充申报材料，预计于</w:t>
            </w:r>
            <w:r>
              <w:rPr>
                <w:rFonts w:ascii="Times New Roman" w:hAnsi="Times New Roman" w:cs="Times New Roman" w:hint="eastAsia"/>
                <w:bCs/>
                <w:iCs/>
                <w:sz w:val="24"/>
                <w:szCs w:val="24"/>
              </w:rPr>
              <w:t>2027</w:t>
            </w:r>
            <w:r>
              <w:rPr>
                <w:rFonts w:ascii="Times New Roman" w:hAnsi="Times New Roman" w:cs="Times New Roman" w:hint="eastAsia"/>
                <w:bCs/>
                <w:iCs/>
                <w:sz w:val="24"/>
                <w:szCs w:val="24"/>
              </w:rPr>
              <w:t>年年初启动Ⅰ期临床研究；同时持续开展产品引进与合作。公司高度重视海外市场，坚持双向合作，既推动产品走向海外，也引进优质产品；自研产品从立项起即按照面向全球市场的目标进行设计。</w:t>
            </w:r>
          </w:p>
          <w:p w14:paraId="34488667" w14:textId="77777777" w:rsidR="003D2DEC" w:rsidRPr="003D2DEC" w:rsidRDefault="003D2DEC" w:rsidP="003D2DEC">
            <w:pPr>
              <w:spacing w:line="360" w:lineRule="auto"/>
              <w:ind w:firstLineChars="200" w:firstLine="480"/>
              <w:rPr>
                <w:rFonts w:ascii="Times New Roman" w:hAnsi="Times New Roman" w:cs="Times New Roman"/>
                <w:bCs/>
                <w:iCs/>
                <w:sz w:val="24"/>
                <w:szCs w:val="24"/>
              </w:rPr>
            </w:pPr>
          </w:p>
          <w:p w14:paraId="2DDFD4B8" w14:textId="730C5333"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sidRPr="003D2DEC">
              <w:rPr>
                <w:rFonts w:ascii="Times New Roman" w:hAnsi="Times New Roman" w:cs="Times New Roman" w:hint="eastAsia"/>
                <w:b/>
                <w:iCs/>
                <w:sz w:val="24"/>
                <w:szCs w:val="24"/>
              </w:rPr>
              <w:t>问题</w:t>
            </w:r>
            <w:r w:rsidR="003D2DEC" w:rsidRPr="003D2DEC">
              <w:rPr>
                <w:rFonts w:ascii="Times New Roman" w:hAnsi="Times New Roman" w:cs="Times New Roman" w:hint="eastAsia"/>
                <w:b/>
                <w:iCs/>
                <w:sz w:val="24"/>
                <w:szCs w:val="24"/>
              </w:rPr>
              <w:t>七</w:t>
            </w:r>
            <w:r w:rsidRPr="003D2DEC">
              <w:rPr>
                <w:rFonts w:ascii="Times New Roman" w:hAnsi="Times New Roman" w:cs="Times New Roman" w:hint="eastAsia"/>
                <w:b/>
                <w:iCs/>
                <w:sz w:val="24"/>
                <w:szCs w:val="24"/>
              </w:rPr>
              <w:t>：伏美替尼三季度国内销售情况如何？</w:t>
            </w:r>
          </w:p>
          <w:p w14:paraId="7EF0631E" w14:textId="614D7893" w:rsidR="00CF7D10" w:rsidRP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答复：就国内商业化而言，公司认为，本次研究结果不会影响伏美替尼第三季度及未来的销售。伏美替尼目前的销售主要来自</w:t>
            </w:r>
            <w:r>
              <w:rPr>
                <w:rFonts w:ascii="Times New Roman" w:hAnsi="Times New Roman" w:cs="Times New Roman" w:hint="eastAsia"/>
                <w:bCs/>
                <w:iCs/>
                <w:sz w:val="24"/>
                <w:szCs w:val="24"/>
              </w:rPr>
              <w:t xml:space="preserve"> EGFR </w:t>
            </w:r>
            <w:r>
              <w:rPr>
                <w:rFonts w:ascii="Times New Roman" w:hAnsi="Times New Roman" w:cs="Times New Roman" w:hint="eastAsia"/>
                <w:bCs/>
                <w:iCs/>
                <w:sz w:val="24"/>
                <w:szCs w:val="24"/>
              </w:rPr>
              <w:t>敏感突变一线治疗适应症，敏感突变术后辅助治疗适应症的</w:t>
            </w:r>
            <w:r>
              <w:rPr>
                <w:rFonts w:ascii="Times New Roman" w:hAnsi="Times New Roman" w:cs="Times New Roman" w:hint="eastAsia"/>
                <w:bCs/>
                <w:iCs/>
                <w:sz w:val="24"/>
                <w:szCs w:val="24"/>
              </w:rPr>
              <w:t xml:space="preserve"> NDA </w:t>
            </w:r>
            <w:r>
              <w:rPr>
                <w:rFonts w:ascii="Times New Roman" w:hAnsi="Times New Roman" w:cs="Times New Roman" w:hint="eastAsia"/>
                <w:bCs/>
                <w:iCs/>
                <w:sz w:val="24"/>
                <w:szCs w:val="24"/>
              </w:rPr>
              <w:t>已获受理，</w:t>
            </w:r>
            <w:r>
              <w:rPr>
                <w:rFonts w:ascii="Times New Roman" w:hAnsi="Times New Roman" w:cs="Times New Roman" w:hint="eastAsia"/>
                <w:bCs/>
                <w:iCs/>
                <w:sz w:val="24"/>
                <w:szCs w:val="24"/>
              </w:rPr>
              <w:t xml:space="preserve">EGFR 20 </w:t>
            </w:r>
            <w:r>
              <w:rPr>
                <w:rFonts w:ascii="Times New Roman" w:hAnsi="Times New Roman" w:cs="Times New Roman" w:hint="eastAsia"/>
                <w:bCs/>
                <w:iCs/>
                <w:sz w:val="24"/>
                <w:szCs w:val="24"/>
              </w:rPr>
              <w:t>外显子插入突变二线治疗适应症已获附条件批准。公司认为，伏美替尼具有良好的安全性和疗效，对其销售前景有信心。</w:t>
            </w:r>
          </w:p>
          <w:p w14:paraId="19550522" w14:textId="77777777" w:rsidR="003D2DEC" w:rsidRPr="003D2DEC" w:rsidRDefault="003D2DEC" w:rsidP="003D2DEC">
            <w:pPr>
              <w:spacing w:line="360" w:lineRule="auto"/>
              <w:ind w:firstLineChars="200" w:firstLine="480"/>
              <w:rPr>
                <w:rFonts w:ascii="Times New Roman" w:hAnsi="Times New Roman" w:cs="Times New Roman"/>
                <w:bCs/>
                <w:iCs/>
                <w:sz w:val="24"/>
                <w:szCs w:val="24"/>
              </w:rPr>
            </w:pPr>
          </w:p>
          <w:p w14:paraId="09965B25" w14:textId="581C9A3D" w:rsidR="00CF7D10" w:rsidRPr="003D2DEC" w:rsidRDefault="00A01212" w:rsidP="00A73F3A">
            <w:pPr>
              <w:keepNext/>
              <w:keepLines/>
              <w:spacing w:line="360" w:lineRule="auto"/>
              <w:ind w:firstLineChars="200" w:firstLine="482"/>
              <w:rPr>
                <w:rFonts w:ascii="Times New Roman" w:hAnsi="Times New Roman" w:cs="Times New Roman"/>
                <w:b/>
                <w:iCs/>
                <w:sz w:val="24"/>
                <w:szCs w:val="24"/>
              </w:rPr>
            </w:pPr>
            <w:r>
              <w:rPr>
                <w:rFonts w:ascii="Times New Roman" w:hAnsi="Times New Roman" w:cs="Times New Roman" w:hint="eastAsia"/>
                <w:b/>
                <w:iCs/>
                <w:sz w:val="24"/>
                <w:szCs w:val="24"/>
              </w:rPr>
              <w:t>问题八：</w:t>
            </w:r>
            <w:r>
              <w:rPr>
                <w:rFonts w:ascii="Times New Roman" w:hAnsi="Times New Roman" w:cs="Times New Roman"/>
                <w:b/>
                <w:iCs/>
                <w:sz w:val="24"/>
                <w:szCs w:val="24"/>
              </w:rPr>
              <w:t xml:space="preserve">EGFR 20 </w:t>
            </w:r>
            <w:r>
              <w:rPr>
                <w:rFonts w:ascii="Times New Roman" w:hAnsi="Times New Roman" w:cs="Times New Roman"/>
                <w:b/>
                <w:iCs/>
                <w:sz w:val="24"/>
                <w:szCs w:val="24"/>
              </w:rPr>
              <w:t>外显子插入突变和</w:t>
            </w:r>
            <w:r>
              <w:rPr>
                <w:rFonts w:ascii="Times New Roman" w:hAnsi="Times New Roman" w:cs="Times New Roman"/>
                <w:b/>
                <w:iCs/>
                <w:sz w:val="24"/>
                <w:szCs w:val="24"/>
              </w:rPr>
              <w:t xml:space="preserve"> PACC </w:t>
            </w:r>
            <w:r>
              <w:rPr>
                <w:rFonts w:ascii="Times New Roman" w:hAnsi="Times New Roman" w:cs="Times New Roman"/>
                <w:b/>
                <w:iCs/>
                <w:sz w:val="24"/>
                <w:szCs w:val="24"/>
              </w:rPr>
              <w:t>突变辅助治疗适应症的海外研究如何规划？是否考虑在海外开展联合用药研究</w:t>
            </w:r>
            <w:r>
              <w:rPr>
                <w:rFonts w:ascii="Times New Roman" w:hAnsi="Times New Roman" w:cs="Times New Roman" w:hint="eastAsia"/>
                <w:b/>
                <w:iCs/>
                <w:sz w:val="24"/>
                <w:szCs w:val="24"/>
              </w:rPr>
              <w:t>？</w:t>
            </w:r>
          </w:p>
          <w:p w14:paraId="68335230" w14:textId="1A1D8925" w:rsidR="00CF7D10" w:rsidRPr="003D2DEC"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答复：非</w:t>
            </w:r>
            <w:r>
              <w:rPr>
                <w:rFonts w:ascii="Times New Roman" w:hAnsi="Times New Roman" w:cs="Times New Roman" w:hint="eastAsia"/>
                <w:bCs/>
                <w:iCs/>
                <w:sz w:val="24"/>
                <w:szCs w:val="24"/>
              </w:rPr>
              <w:t xml:space="preserve"> EGFR </w:t>
            </w:r>
            <w:r>
              <w:rPr>
                <w:rFonts w:ascii="Times New Roman" w:hAnsi="Times New Roman" w:cs="Times New Roman" w:hint="eastAsia"/>
                <w:bCs/>
                <w:iCs/>
                <w:sz w:val="24"/>
                <w:szCs w:val="24"/>
              </w:rPr>
              <w:t>敏感突变患者的辅助治疗适应症研究，在设计之初即考虑采用全球多中心研究模式，目前已开始患者入组。</w:t>
            </w:r>
            <w:r>
              <w:rPr>
                <w:rFonts w:ascii="Times New Roman" w:hAnsi="Times New Roman" w:cs="Times New Roman" w:hint="eastAsia"/>
                <w:bCs/>
                <w:iCs/>
                <w:sz w:val="24"/>
                <w:szCs w:val="24"/>
              </w:rPr>
              <w:t>ArriVent</w:t>
            </w:r>
            <w:r>
              <w:rPr>
                <w:rFonts w:ascii="Times New Roman" w:hAnsi="Times New Roman" w:cs="Times New Roman" w:hint="eastAsia"/>
                <w:bCs/>
                <w:iCs/>
                <w:sz w:val="24"/>
                <w:szCs w:val="24"/>
              </w:rPr>
              <w:t>是否参与海外研究由其决定；无论其是否参与，公司在中国开展的研究均将继续推进。关于联合用药研究，需要考虑中美监管机构对标准治疗的要求存在差异。在中国，公司已确定开展相关研究，正在撰写方案，并将结合本次研究结果加快推进。</w:t>
            </w:r>
          </w:p>
          <w:p w14:paraId="438B7D5B" w14:textId="77777777" w:rsidR="00CF7D10" w:rsidRDefault="00CF7D10" w:rsidP="003D2DEC">
            <w:pPr>
              <w:spacing w:line="360" w:lineRule="auto"/>
              <w:ind w:firstLineChars="200" w:firstLine="480"/>
              <w:rPr>
                <w:rFonts w:ascii="Times New Roman" w:hAnsi="Times New Roman" w:cs="Times New Roman"/>
                <w:bCs/>
                <w:iCs/>
                <w:sz w:val="24"/>
                <w:szCs w:val="24"/>
              </w:rPr>
            </w:pPr>
          </w:p>
          <w:p w14:paraId="5954D410" w14:textId="77777777" w:rsidR="00CF7D10" w:rsidRPr="00E82549" w:rsidRDefault="00A01212" w:rsidP="00A73F3A">
            <w:pPr>
              <w:keepNext/>
              <w:keepLines/>
              <w:spacing w:line="360" w:lineRule="auto"/>
              <w:ind w:firstLineChars="200" w:firstLine="482"/>
              <w:rPr>
                <w:rFonts w:ascii="Times New Roman" w:hAnsi="Times New Roman" w:cs="Times New Roman"/>
                <w:b/>
                <w:iCs/>
                <w:sz w:val="24"/>
                <w:szCs w:val="24"/>
              </w:rPr>
            </w:pPr>
            <w:r w:rsidRPr="00E82549">
              <w:rPr>
                <w:rFonts w:ascii="Times New Roman" w:hAnsi="Times New Roman" w:cs="Times New Roman" w:hint="eastAsia"/>
                <w:b/>
                <w:iCs/>
                <w:sz w:val="24"/>
                <w:szCs w:val="24"/>
              </w:rPr>
              <w:t>董事长总结：</w:t>
            </w:r>
          </w:p>
          <w:p w14:paraId="26585902" w14:textId="7A23003E"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各位投资者、各位券商分析师，首先感谢大家出席今天的电话交流会，也感谢大家对伏美替尼</w:t>
            </w:r>
            <w:r>
              <w:rPr>
                <w:rFonts w:ascii="Times New Roman" w:hAnsi="Times New Roman" w:cs="Times New Roman" w:hint="eastAsia"/>
                <w:bCs/>
                <w:iCs/>
                <w:sz w:val="24"/>
                <w:szCs w:val="24"/>
              </w:rPr>
              <w:t xml:space="preserve"> EGFR 20</w:t>
            </w:r>
            <w:r>
              <w:rPr>
                <w:rFonts w:ascii="Times New Roman" w:hAnsi="Times New Roman" w:cs="Times New Roman" w:hint="eastAsia"/>
                <w:bCs/>
                <w:iCs/>
                <w:sz w:val="24"/>
                <w:szCs w:val="24"/>
              </w:rPr>
              <w:t>外显子插入突变一线治疗研究数据发布的关注。</w:t>
            </w:r>
          </w:p>
          <w:p w14:paraId="265B6A7C" w14:textId="7D11DAD1"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这次有两件事出乎我的预料。第一，化疗对照组经</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和研究者评估的中位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分别为</w:t>
            </w:r>
            <w:r>
              <w:rPr>
                <w:rFonts w:ascii="Times New Roman" w:hAnsi="Times New Roman" w:cs="Times New Roman" w:hint="eastAsia"/>
                <w:bCs/>
                <w:iCs/>
                <w:sz w:val="24"/>
                <w:szCs w:val="24"/>
              </w:rPr>
              <w:t>9.5</w:t>
            </w:r>
            <w:r>
              <w:rPr>
                <w:rFonts w:ascii="Times New Roman" w:hAnsi="Times New Roman" w:cs="Times New Roman" w:hint="eastAsia"/>
                <w:bCs/>
                <w:iCs/>
                <w:sz w:val="24"/>
                <w:szCs w:val="24"/>
              </w:rPr>
              <w:t>个月和</w:t>
            </w:r>
            <w:r>
              <w:rPr>
                <w:rFonts w:ascii="Times New Roman" w:hAnsi="Times New Roman" w:cs="Times New Roman" w:hint="eastAsia"/>
                <w:bCs/>
                <w:iCs/>
                <w:sz w:val="24"/>
                <w:szCs w:val="24"/>
              </w:rPr>
              <w:t>7.1</w:t>
            </w:r>
            <w:r>
              <w:rPr>
                <w:rFonts w:ascii="Times New Roman" w:hAnsi="Times New Roman" w:cs="Times New Roman" w:hint="eastAsia"/>
                <w:bCs/>
                <w:iCs/>
                <w:sz w:val="24"/>
                <w:szCs w:val="24"/>
              </w:rPr>
              <w:t>个月，差异较大，尤其是</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评估的</w:t>
            </w:r>
            <w:r>
              <w:rPr>
                <w:rFonts w:ascii="Times New Roman" w:hAnsi="Times New Roman" w:cs="Times New Roman" w:hint="eastAsia"/>
                <w:bCs/>
                <w:iCs/>
                <w:sz w:val="24"/>
                <w:szCs w:val="24"/>
              </w:rPr>
              <w:t>9.5</w:t>
            </w:r>
            <w:r>
              <w:rPr>
                <w:rFonts w:ascii="Times New Roman" w:hAnsi="Times New Roman" w:cs="Times New Roman" w:hint="eastAsia"/>
                <w:bCs/>
                <w:iCs/>
                <w:sz w:val="24"/>
                <w:szCs w:val="24"/>
              </w:rPr>
              <w:t>个月超出了我们的预期。公司认为，这是本次研究未达到主要终点的关键因素。伏美替尼</w:t>
            </w:r>
            <w:r>
              <w:rPr>
                <w:rFonts w:ascii="Times New Roman" w:hAnsi="Times New Roman" w:cs="Times New Roman" w:hint="eastAsia"/>
                <w:bCs/>
                <w:iCs/>
                <w:sz w:val="24"/>
                <w:szCs w:val="24"/>
              </w:rPr>
              <w:t>240 mg</w:t>
            </w:r>
            <w:r>
              <w:rPr>
                <w:rFonts w:ascii="Times New Roman" w:hAnsi="Times New Roman" w:cs="Times New Roman" w:hint="eastAsia"/>
                <w:bCs/>
                <w:iCs/>
                <w:sz w:val="24"/>
                <w:szCs w:val="24"/>
              </w:rPr>
              <w:t>组经</w:t>
            </w:r>
            <w:r>
              <w:rPr>
                <w:rFonts w:ascii="Times New Roman" w:hAnsi="Times New Roman" w:cs="Times New Roman" w:hint="eastAsia"/>
                <w:bCs/>
                <w:iCs/>
                <w:sz w:val="24"/>
                <w:szCs w:val="24"/>
              </w:rPr>
              <w:t xml:space="preserve"> BICR </w:t>
            </w:r>
            <w:r>
              <w:rPr>
                <w:rFonts w:ascii="Times New Roman" w:hAnsi="Times New Roman" w:cs="Times New Roman" w:hint="eastAsia"/>
                <w:bCs/>
                <w:iCs/>
                <w:sz w:val="24"/>
                <w:szCs w:val="24"/>
              </w:rPr>
              <w:t>和研究者评估的中位</w:t>
            </w:r>
            <w:r>
              <w:rPr>
                <w:rFonts w:ascii="Times New Roman" w:hAnsi="Times New Roman" w:cs="Times New Roman" w:hint="eastAsia"/>
                <w:bCs/>
                <w:iCs/>
                <w:sz w:val="24"/>
                <w:szCs w:val="24"/>
              </w:rPr>
              <w:t xml:space="preserve"> PFS </w:t>
            </w:r>
            <w:r>
              <w:rPr>
                <w:rFonts w:ascii="Times New Roman" w:hAnsi="Times New Roman" w:cs="Times New Roman" w:hint="eastAsia"/>
                <w:bCs/>
                <w:iCs/>
                <w:sz w:val="24"/>
                <w:szCs w:val="24"/>
              </w:rPr>
              <w:t>分别为</w:t>
            </w:r>
            <w:r>
              <w:rPr>
                <w:rFonts w:ascii="Times New Roman" w:hAnsi="Times New Roman" w:cs="Times New Roman" w:hint="eastAsia"/>
                <w:bCs/>
                <w:iCs/>
                <w:sz w:val="24"/>
                <w:szCs w:val="24"/>
              </w:rPr>
              <w:t>11.0</w:t>
            </w:r>
            <w:r>
              <w:rPr>
                <w:rFonts w:ascii="Times New Roman" w:hAnsi="Times New Roman" w:cs="Times New Roman" w:hint="eastAsia"/>
                <w:bCs/>
                <w:iCs/>
                <w:sz w:val="24"/>
                <w:szCs w:val="24"/>
              </w:rPr>
              <w:t>个月和</w:t>
            </w:r>
            <w:r>
              <w:rPr>
                <w:rFonts w:ascii="Times New Roman" w:hAnsi="Times New Roman" w:cs="Times New Roman" w:hint="eastAsia"/>
                <w:bCs/>
                <w:iCs/>
                <w:sz w:val="24"/>
                <w:szCs w:val="24"/>
              </w:rPr>
              <w:t>11.1</w:t>
            </w:r>
            <w:r>
              <w:rPr>
                <w:rFonts w:ascii="Times New Roman" w:hAnsi="Times New Roman" w:cs="Times New Roman" w:hint="eastAsia"/>
                <w:bCs/>
                <w:iCs/>
                <w:sz w:val="24"/>
                <w:szCs w:val="24"/>
              </w:rPr>
              <w:t>个月，结果非常接近，也达到了我们此前的疗效预期。自</w:t>
            </w:r>
            <w:r>
              <w:rPr>
                <w:rFonts w:ascii="Times New Roman" w:hAnsi="Times New Roman" w:cs="Times New Roman" w:hint="eastAsia"/>
                <w:bCs/>
                <w:iCs/>
                <w:sz w:val="24"/>
                <w:szCs w:val="24"/>
              </w:rPr>
              <w:t>10</w:t>
            </w:r>
            <w:r>
              <w:rPr>
                <w:rFonts w:ascii="Times New Roman" w:hAnsi="Times New Roman" w:cs="Times New Roman" w:hint="eastAsia"/>
                <w:bCs/>
                <w:iCs/>
                <w:sz w:val="24"/>
                <w:szCs w:val="24"/>
              </w:rPr>
              <w:t>月</w:t>
            </w:r>
            <w:r>
              <w:rPr>
                <w:rFonts w:ascii="Times New Roman" w:hAnsi="Times New Roman" w:cs="Times New Roman" w:hint="eastAsia"/>
                <w:bCs/>
                <w:iCs/>
                <w:sz w:val="24"/>
                <w:szCs w:val="24"/>
              </w:rPr>
              <w:t>5</w:t>
            </w:r>
            <w:r>
              <w:rPr>
                <w:rFonts w:ascii="Times New Roman" w:hAnsi="Times New Roman" w:cs="Times New Roman" w:hint="eastAsia"/>
                <w:bCs/>
                <w:iCs/>
                <w:sz w:val="24"/>
                <w:szCs w:val="24"/>
              </w:rPr>
              <w:t>日起，公司管理层及员工一直在认真讨论，思考后续工作如何开展。对于今天大家提出的建议和问题，我们都会认真研究、落实。第二，本次事件对股价的影响程度出乎我的预料。</w:t>
            </w:r>
            <w:r>
              <w:rPr>
                <w:rFonts w:ascii="Times New Roman" w:hAnsi="Times New Roman" w:cs="Times New Roman" w:hint="eastAsia"/>
                <w:bCs/>
                <w:iCs/>
                <w:sz w:val="24"/>
                <w:szCs w:val="24"/>
              </w:rPr>
              <w:t>EGFR 20</w:t>
            </w:r>
            <w:r>
              <w:rPr>
                <w:rFonts w:ascii="Times New Roman" w:hAnsi="Times New Roman" w:cs="Times New Roman" w:hint="eastAsia"/>
                <w:bCs/>
                <w:iCs/>
                <w:sz w:val="24"/>
                <w:szCs w:val="24"/>
              </w:rPr>
              <w:t>外显子插入突变在</w:t>
            </w:r>
            <w:r>
              <w:rPr>
                <w:rFonts w:ascii="Times New Roman" w:hAnsi="Times New Roman" w:cs="Times New Roman" w:hint="eastAsia"/>
                <w:bCs/>
                <w:iCs/>
                <w:sz w:val="24"/>
                <w:szCs w:val="24"/>
              </w:rPr>
              <w:t xml:space="preserve"> EGFR</w:t>
            </w:r>
            <w:r>
              <w:rPr>
                <w:rFonts w:ascii="Times New Roman" w:hAnsi="Times New Roman" w:cs="Times New Roman" w:hint="eastAsia"/>
                <w:bCs/>
                <w:iCs/>
                <w:sz w:val="24"/>
                <w:szCs w:val="24"/>
              </w:rPr>
              <w:t>突变患者中占比不高，公司认为其对伏美替尼销售的影响有限；但本次海外合作伙伴股价下跌，也给公司的估值带来了明显压力。在这种情况下，我们更要沉下心来，把该</w:t>
            </w:r>
            <w:r>
              <w:rPr>
                <w:rFonts w:ascii="Times New Roman" w:hAnsi="Times New Roman" w:cs="Times New Roman" w:hint="eastAsia"/>
                <w:bCs/>
                <w:iCs/>
                <w:sz w:val="24"/>
                <w:szCs w:val="24"/>
              </w:rPr>
              <w:lastRenderedPageBreak/>
              <w:t>做的事情做好。今天的股价表现给一直支持、关心和投资我们的朋友带来了影响，对此，我表示歉意。今后，我们将更加努力地工作。</w:t>
            </w:r>
          </w:p>
          <w:p w14:paraId="1C10D8D6" w14:textId="2FEB2E5C"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关于</w:t>
            </w:r>
            <w:r>
              <w:rPr>
                <w:rFonts w:ascii="Times New Roman" w:hAnsi="Times New Roman" w:cs="Times New Roman" w:hint="eastAsia"/>
                <w:bCs/>
                <w:iCs/>
                <w:sz w:val="24"/>
                <w:szCs w:val="24"/>
              </w:rPr>
              <w:t>EGFR 20</w:t>
            </w:r>
            <w:r>
              <w:rPr>
                <w:rFonts w:ascii="Times New Roman" w:hAnsi="Times New Roman" w:cs="Times New Roman" w:hint="eastAsia"/>
                <w:bCs/>
                <w:iCs/>
                <w:sz w:val="24"/>
                <w:szCs w:val="24"/>
              </w:rPr>
              <w:t>外显子插入突变一线治疗研究，我想说的是，公司对伏美替尼的疗效和安全性有信心，也认为其对</w:t>
            </w:r>
            <w:r>
              <w:rPr>
                <w:rFonts w:ascii="Times New Roman" w:hAnsi="Times New Roman" w:cs="Times New Roman" w:hint="eastAsia"/>
                <w:bCs/>
                <w:iCs/>
                <w:sz w:val="24"/>
                <w:szCs w:val="24"/>
              </w:rPr>
              <w:t xml:space="preserve"> EGFR 20</w:t>
            </w:r>
            <w:r>
              <w:rPr>
                <w:rFonts w:ascii="Times New Roman" w:hAnsi="Times New Roman" w:cs="Times New Roman" w:hint="eastAsia"/>
                <w:bCs/>
                <w:iCs/>
                <w:sz w:val="24"/>
                <w:szCs w:val="24"/>
              </w:rPr>
              <w:t>外显子插入突变</w:t>
            </w:r>
            <w:r>
              <w:rPr>
                <w:rFonts w:ascii="Times New Roman" w:hAnsi="Times New Roman" w:cs="Times New Roman" w:hint="eastAsia"/>
                <w:bCs/>
                <w:iCs/>
                <w:sz w:val="24"/>
                <w:szCs w:val="24"/>
              </w:rPr>
              <w:t>NSCLC</w:t>
            </w:r>
            <w:r>
              <w:rPr>
                <w:rFonts w:ascii="Times New Roman" w:hAnsi="Times New Roman" w:cs="Times New Roman" w:hint="eastAsia"/>
                <w:bCs/>
                <w:iCs/>
                <w:sz w:val="24"/>
                <w:szCs w:val="24"/>
              </w:rPr>
              <w:t>具有治疗效果。对于后续临床研究如何开展、如何联合用药，以及如何更好地治疗这类患者，我们将继续扎实研究。</w:t>
            </w:r>
          </w:p>
          <w:p w14:paraId="4D5B4FA6" w14:textId="76D47EFE"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 xml:space="preserve">PACC </w:t>
            </w:r>
            <w:r>
              <w:rPr>
                <w:rFonts w:ascii="Times New Roman" w:hAnsi="Times New Roman" w:cs="Times New Roman" w:hint="eastAsia"/>
                <w:bCs/>
                <w:iCs/>
                <w:sz w:val="24"/>
                <w:szCs w:val="24"/>
              </w:rPr>
              <w:t>突变一线治疗是公司更为重要的研发方向。为使后续研究更加扎实，公司采取先重点推进国内研究、再重点推进海外研究的策略。目前，国内研究已完成患者入组，正在随访。公司将认真跟进研究，发挥在这一领域的竞争优势，推进</w:t>
            </w:r>
            <w:r>
              <w:rPr>
                <w:rFonts w:ascii="Times New Roman" w:hAnsi="Times New Roman" w:cs="Times New Roman" w:hint="eastAsia"/>
                <w:bCs/>
                <w:iCs/>
                <w:sz w:val="24"/>
                <w:szCs w:val="24"/>
              </w:rPr>
              <w:t xml:space="preserve"> PACC </w:t>
            </w:r>
            <w:r>
              <w:rPr>
                <w:rFonts w:ascii="Times New Roman" w:hAnsi="Times New Roman" w:cs="Times New Roman" w:hint="eastAsia"/>
                <w:bCs/>
                <w:iCs/>
                <w:sz w:val="24"/>
                <w:szCs w:val="24"/>
              </w:rPr>
              <w:t>突变适应症的开发。</w:t>
            </w:r>
          </w:p>
          <w:p w14:paraId="430B7F34" w14:textId="6C5E4747"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这不仅关系到艾力斯的经营效益和未来发展，更重要的是让全球</w:t>
            </w:r>
            <w:r>
              <w:rPr>
                <w:rFonts w:ascii="Times New Roman" w:hAnsi="Times New Roman" w:cs="Times New Roman" w:hint="eastAsia"/>
                <w:bCs/>
                <w:iCs/>
                <w:sz w:val="24"/>
                <w:szCs w:val="24"/>
              </w:rPr>
              <w:t xml:space="preserve"> PACC </w:t>
            </w:r>
            <w:r>
              <w:rPr>
                <w:rFonts w:ascii="Times New Roman" w:hAnsi="Times New Roman" w:cs="Times New Roman" w:hint="eastAsia"/>
                <w:bCs/>
                <w:iCs/>
                <w:sz w:val="24"/>
                <w:szCs w:val="24"/>
              </w:rPr>
              <w:t>突变患者获益。前两天，我也与姚博士进行了沟通。本次</w:t>
            </w:r>
            <w:r>
              <w:rPr>
                <w:rFonts w:ascii="Times New Roman" w:hAnsi="Times New Roman" w:cs="Times New Roman" w:hint="eastAsia"/>
                <w:bCs/>
                <w:iCs/>
                <w:sz w:val="24"/>
                <w:szCs w:val="24"/>
              </w:rPr>
              <w:t xml:space="preserve"> EGFR 20</w:t>
            </w:r>
            <w:r>
              <w:rPr>
                <w:rFonts w:ascii="Times New Roman" w:hAnsi="Times New Roman" w:cs="Times New Roman" w:hint="eastAsia"/>
                <w:bCs/>
                <w:iCs/>
                <w:sz w:val="24"/>
                <w:szCs w:val="24"/>
              </w:rPr>
              <w:t>外显子插入突变研究中出现的问题，使我们更加坚定地推进</w:t>
            </w:r>
            <w:r>
              <w:rPr>
                <w:rFonts w:ascii="Times New Roman" w:hAnsi="Times New Roman" w:cs="Times New Roman" w:hint="eastAsia"/>
                <w:bCs/>
                <w:iCs/>
                <w:sz w:val="24"/>
                <w:szCs w:val="24"/>
              </w:rPr>
              <w:t xml:space="preserve"> ALPACCA </w:t>
            </w:r>
            <w:r>
              <w:rPr>
                <w:rFonts w:ascii="Times New Roman" w:hAnsi="Times New Roman" w:cs="Times New Roman" w:hint="eastAsia"/>
                <w:bCs/>
                <w:iCs/>
                <w:sz w:val="24"/>
                <w:szCs w:val="24"/>
              </w:rPr>
              <w:t>研究，以科学、严谨的研究工作，尽力避免在后续海外研究中再次出现类似</w:t>
            </w:r>
            <w:r>
              <w:rPr>
                <w:rFonts w:ascii="Times New Roman" w:hAnsi="Times New Roman" w:cs="Times New Roman" w:hint="eastAsia"/>
                <w:bCs/>
                <w:iCs/>
                <w:sz w:val="24"/>
                <w:szCs w:val="24"/>
              </w:rPr>
              <w:t xml:space="preserve"> FURVENT </w:t>
            </w:r>
            <w:r>
              <w:rPr>
                <w:rFonts w:ascii="Times New Roman" w:hAnsi="Times New Roman" w:cs="Times New Roman" w:hint="eastAsia"/>
                <w:bCs/>
                <w:iCs/>
                <w:sz w:val="24"/>
                <w:szCs w:val="24"/>
              </w:rPr>
              <w:t>研究的意外情况。</w:t>
            </w:r>
          </w:p>
          <w:p w14:paraId="2B1BB6F3" w14:textId="20A9CBCC"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大家也很关心公司的经营和销售，以及第三季度的情况，担心本次研究结果会影响整体商业化体系或导致营收下滑。目前，公司境内经营正常，销售业绩保持良好的增长势头。我对艾力斯的销售前景有信心，这一信心不会因本次海外适应症研究结果而动摇。对于即将披露的第三季度报告，公司将按规定及时、真实地披露相关信息。</w:t>
            </w:r>
          </w:p>
          <w:p w14:paraId="61463F93" w14:textId="77E1500C"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针对部分媒体关于“艾力斯出海失败”的说法，我想说明，</w:t>
            </w:r>
            <w:r>
              <w:rPr>
                <w:rFonts w:ascii="Times New Roman" w:hAnsi="Times New Roman" w:cs="Times New Roman" w:hint="eastAsia"/>
                <w:bCs/>
                <w:iCs/>
                <w:sz w:val="24"/>
                <w:szCs w:val="24"/>
              </w:rPr>
              <w:t>EGFR 20</w:t>
            </w:r>
            <w:r>
              <w:rPr>
                <w:rFonts w:ascii="Times New Roman" w:hAnsi="Times New Roman" w:cs="Times New Roman" w:hint="eastAsia"/>
                <w:bCs/>
                <w:iCs/>
                <w:sz w:val="24"/>
                <w:szCs w:val="24"/>
              </w:rPr>
              <w:t>外显子插入突变一线治疗仅是伏美替尼众多适应症之一。该项研究暂未达到预期，即使最终未能成功，也属于创新药研发可能遇到的情况。我们不认同由此得出“艾</w:t>
            </w:r>
            <w:r>
              <w:rPr>
                <w:rFonts w:ascii="Times New Roman" w:hAnsi="Times New Roman" w:cs="Times New Roman" w:hint="eastAsia"/>
                <w:bCs/>
                <w:iCs/>
                <w:sz w:val="24"/>
                <w:szCs w:val="24"/>
              </w:rPr>
              <w:lastRenderedPageBreak/>
              <w:t>力斯出海一定会失败”的结论。本次研究的经验将帮助公司继续推进海外开发。即使未来仍有困难和挑战，公司也将坚定地走下去。公司领导班子团结一致，对发展充满热情，将努力把艾力斯建设成为优秀企业，实现全球化发展。</w:t>
            </w:r>
          </w:p>
          <w:p w14:paraId="69931DC7" w14:textId="608988BA" w:rsidR="006054C8"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艾力斯的发展会面临困难和风险，但我们有信心、有决心，将尽最大努力推动公司发展。这也是我提议回购公司股票的原因；回购股份拟用于股权激励或员工持股计划，以激励更多人才。我们欢迎更多优秀人才加入团队，共同推进国内研发和临床工作，也推进海外业务和全球化发展。</w:t>
            </w:r>
          </w:p>
          <w:p w14:paraId="5F01C630" w14:textId="174F2276" w:rsidR="00CF7D10" w:rsidRDefault="00A01212" w:rsidP="003D2DEC">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感谢大家的理解。对于所有关心和支持公司的投资者，我再次表示歉意。公司将更加努力，以实际业绩回报大家的信任。谢谢大家。</w:t>
            </w:r>
          </w:p>
        </w:tc>
      </w:tr>
      <w:tr w:rsidR="00CF7D10" w14:paraId="18A2F5F9" w14:textId="77777777">
        <w:trPr>
          <w:trHeight w:val="496"/>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0F8228B7"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lastRenderedPageBreak/>
              <w:t>附件清单</w:t>
            </w:r>
          </w:p>
          <w:p w14:paraId="0F60A616"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（如有）</w:t>
            </w:r>
          </w:p>
        </w:tc>
        <w:tc>
          <w:tcPr>
            <w:tcW w:w="6357" w:type="dxa"/>
            <w:tcBorders>
              <w:top w:val="single" w:sz="4" w:space="0" w:color="auto"/>
              <w:left w:val="single" w:sz="4" w:space="0" w:color="auto"/>
              <w:bottom w:val="single" w:sz="4" w:space="0" w:color="auto"/>
              <w:right w:val="single" w:sz="4" w:space="0" w:color="auto"/>
            </w:tcBorders>
          </w:tcPr>
          <w:p w14:paraId="09D056EA" w14:textId="77777777" w:rsidR="00CF7D10" w:rsidRDefault="00A01212">
            <w:pPr>
              <w:spacing w:line="48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无</w:t>
            </w:r>
          </w:p>
        </w:tc>
      </w:tr>
      <w:tr w:rsidR="00CF7D10" w14:paraId="60B8D629" w14:textId="77777777">
        <w:trPr>
          <w:trHeight w:val="627"/>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3EC31651" w14:textId="77777777" w:rsidR="00CF7D10" w:rsidRDefault="00A01212">
            <w:pPr>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日期</w:t>
            </w:r>
          </w:p>
        </w:tc>
        <w:tc>
          <w:tcPr>
            <w:tcW w:w="6357" w:type="dxa"/>
            <w:tcBorders>
              <w:top w:val="single" w:sz="4" w:space="0" w:color="auto"/>
              <w:left w:val="single" w:sz="4" w:space="0" w:color="auto"/>
              <w:bottom w:val="single" w:sz="4" w:space="0" w:color="auto"/>
              <w:right w:val="single" w:sz="4" w:space="0" w:color="auto"/>
            </w:tcBorders>
            <w:vAlign w:val="center"/>
          </w:tcPr>
          <w:p w14:paraId="5D3BF87E" w14:textId="685D2C1F" w:rsidR="00CF7D10" w:rsidRDefault="00A01212">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2026</w:t>
            </w:r>
            <w:r>
              <w:rPr>
                <w:rFonts w:ascii="Times New Roman" w:hAnsi="Times New Roman" w:cs="Times New Roman" w:hint="eastAsia"/>
                <w:bCs/>
                <w:iCs/>
                <w:color w:val="000000"/>
                <w:sz w:val="24"/>
                <w:szCs w:val="24"/>
              </w:rPr>
              <w:t>年</w:t>
            </w:r>
            <w:r>
              <w:rPr>
                <w:rFonts w:ascii="Times New Roman" w:hAnsi="Times New Roman" w:cs="Times New Roman" w:hint="eastAsia"/>
                <w:bCs/>
                <w:iCs/>
                <w:color w:val="000000"/>
                <w:sz w:val="24"/>
                <w:szCs w:val="24"/>
              </w:rPr>
              <w:t>10</w:t>
            </w:r>
            <w:r>
              <w:rPr>
                <w:rFonts w:ascii="Times New Roman" w:hAnsi="Times New Roman" w:cs="Times New Roman" w:hint="eastAsia"/>
                <w:bCs/>
                <w:iCs/>
                <w:color w:val="000000"/>
                <w:sz w:val="24"/>
                <w:szCs w:val="24"/>
              </w:rPr>
              <w:t>月</w:t>
            </w:r>
            <w:r>
              <w:rPr>
                <w:rFonts w:ascii="Times New Roman" w:hAnsi="Times New Roman" w:cs="Times New Roman" w:hint="eastAsia"/>
                <w:bCs/>
                <w:iCs/>
                <w:color w:val="000000"/>
                <w:sz w:val="24"/>
                <w:szCs w:val="24"/>
              </w:rPr>
              <w:t>8</w:t>
            </w:r>
            <w:r>
              <w:rPr>
                <w:rFonts w:ascii="Times New Roman" w:hAnsi="Times New Roman" w:cs="Times New Roman" w:hint="eastAsia"/>
                <w:bCs/>
                <w:iCs/>
                <w:color w:val="000000"/>
                <w:sz w:val="24"/>
                <w:szCs w:val="24"/>
              </w:rPr>
              <w:t>日</w:t>
            </w:r>
          </w:p>
        </w:tc>
      </w:tr>
    </w:tbl>
    <w:p w14:paraId="2DFCBB50" w14:textId="77777777" w:rsidR="00CF7D10" w:rsidRDefault="00CF7D10" w:rsidP="00A73F3A">
      <w:pPr>
        <w:snapToGrid w:val="0"/>
        <w:spacing w:line="20" w:lineRule="exact"/>
        <w:rPr>
          <w:rFonts w:ascii="Times New Roman" w:hAnsi="Times New Roman" w:cs="Times New Roman"/>
        </w:rPr>
      </w:pPr>
    </w:p>
    <w:sectPr w:rsidR="00CF7D1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C9DC" w14:textId="77777777" w:rsidR="001F0467" w:rsidRDefault="001F0467">
      <w:r>
        <w:separator/>
      </w:r>
    </w:p>
  </w:endnote>
  <w:endnote w:type="continuationSeparator" w:id="0">
    <w:p w14:paraId="28F47BC8" w14:textId="77777777" w:rsidR="001F0467" w:rsidRDefault="001F0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18270"/>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6928946" w14:textId="77777777" w:rsidR="00CF7D10" w:rsidRDefault="00A01212">
            <w:pPr>
              <w:pStyle w:val="af0"/>
              <w:jc w:val="center"/>
              <w:rPr>
                <w:rFonts w:ascii="Times New Roman" w:hAnsi="Times New Roman" w:cs="Times New Roman"/>
              </w:rPr>
            </w:pPr>
            <w:r>
              <w:rPr>
                <w:lang w:val="zh-CN"/>
              </w:rPr>
              <w:t xml:space="preserve"> </w:t>
            </w:r>
            <w:r>
              <w:rPr>
                <w:rFonts w:ascii="Times New Roman" w:hAnsi="Times New Roman" w:cs="Times New Roman"/>
                <w:b/>
                <w:bCs/>
                <w:sz w:val="24"/>
                <w:szCs w:val="24"/>
              </w:rPr>
              <w:fldChar w:fldCharType="begin"/>
            </w:r>
            <w:r>
              <w:rPr>
                <w:rFonts w:ascii="Times New Roman" w:hAnsi="Times New Roman" w:cs="Times New Roman"/>
                <w:b/>
                <w:bCs/>
              </w:rPr>
              <w:instrText>PAGE</w:instrText>
            </w:r>
            <w:r>
              <w:rPr>
                <w:rFonts w:ascii="Times New Roman" w:hAnsi="Times New Roman" w:cs="Times New Roman"/>
                <w:b/>
                <w:bCs/>
                <w:sz w:val="24"/>
                <w:szCs w:val="24"/>
              </w:rPr>
              <w:fldChar w:fldCharType="separate"/>
            </w:r>
            <w:r>
              <w:rPr>
                <w:rFonts w:ascii="Times New Roman" w:hAnsi="Times New Roman" w:cs="Times New Roman"/>
                <w:b/>
                <w:bCs/>
                <w:lang w:val="zh-CN"/>
              </w:rPr>
              <w:t>2</w:t>
            </w:r>
            <w:r>
              <w:rPr>
                <w:rFonts w:ascii="Times New Roman" w:hAnsi="Times New Roman" w:cs="Times New Roman"/>
                <w:b/>
                <w:bCs/>
                <w:sz w:val="24"/>
                <w:szCs w:val="24"/>
              </w:rPr>
              <w:fldChar w:fldCharType="end"/>
            </w:r>
            <w:r>
              <w:rPr>
                <w:rFonts w:ascii="Times New Roman" w:hAnsi="Times New Roman" w:cs="Times New Roman"/>
                <w:lang w:val="zh-CN"/>
              </w:rPr>
              <w:t xml:space="preserve"> / </w:t>
            </w:r>
            <w:r>
              <w:rPr>
                <w:rFonts w:ascii="Times New Roman" w:hAnsi="Times New Roman" w:cs="Times New Roman"/>
                <w:b/>
                <w:bCs/>
                <w:sz w:val="24"/>
                <w:szCs w:val="24"/>
              </w:rPr>
              <w:fldChar w:fldCharType="begin"/>
            </w:r>
            <w:r>
              <w:rPr>
                <w:rFonts w:ascii="Times New Roman" w:hAnsi="Times New Roman" w:cs="Times New Roman"/>
                <w:b/>
                <w:bCs/>
              </w:rPr>
              <w:instrText>NUMPAGES</w:instrText>
            </w:r>
            <w:r>
              <w:rPr>
                <w:rFonts w:ascii="Times New Roman" w:hAnsi="Times New Roman" w:cs="Times New Roman"/>
                <w:b/>
                <w:bCs/>
                <w:sz w:val="24"/>
                <w:szCs w:val="24"/>
              </w:rPr>
              <w:fldChar w:fldCharType="separate"/>
            </w:r>
            <w:r>
              <w:rPr>
                <w:rFonts w:ascii="Times New Roman" w:hAnsi="Times New Roman" w:cs="Times New Roman"/>
                <w:b/>
                <w:bCs/>
                <w:lang w:val="zh-CN"/>
              </w:rPr>
              <w:t>2</w:t>
            </w:r>
            <w:r>
              <w:rPr>
                <w:rFonts w:ascii="Times New Roman" w:hAnsi="Times New Roman" w:cs="Times New Roman"/>
                <w:b/>
                <w:bCs/>
                <w:sz w:val="24"/>
                <w:szCs w:val="24"/>
              </w:rPr>
              <w:fldChar w:fldCharType="end"/>
            </w:r>
          </w:p>
        </w:sdtContent>
      </w:sdt>
    </w:sdtContent>
  </w:sdt>
  <w:p w14:paraId="7EA92DB9" w14:textId="77777777" w:rsidR="00CF7D10" w:rsidRDefault="00CF7D1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BA6AD" w14:textId="77777777" w:rsidR="001F0467" w:rsidRDefault="001F0467">
      <w:r>
        <w:separator/>
      </w:r>
    </w:p>
  </w:footnote>
  <w:footnote w:type="continuationSeparator" w:id="0">
    <w:p w14:paraId="715D82F2" w14:textId="77777777" w:rsidR="001F0467" w:rsidRDefault="001F04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C28"/>
    <w:rsid w:val="000001E8"/>
    <w:rsid w:val="000003E6"/>
    <w:rsid w:val="000027D9"/>
    <w:rsid w:val="00002E9C"/>
    <w:rsid w:val="000031A5"/>
    <w:rsid w:val="000032A6"/>
    <w:rsid w:val="00003EBD"/>
    <w:rsid w:val="000058DA"/>
    <w:rsid w:val="00005CBF"/>
    <w:rsid w:val="00007BBC"/>
    <w:rsid w:val="000101C0"/>
    <w:rsid w:val="00010825"/>
    <w:rsid w:val="000116BA"/>
    <w:rsid w:val="000135CC"/>
    <w:rsid w:val="0001477F"/>
    <w:rsid w:val="00014A04"/>
    <w:rsid w:val="00014A27"/>
    <w:rsid w:val="00015260"/>
    <w:rsid w:val="00015864"/>
    <w:rsid w:val="00015F3A"/>
    <w:rsid w:val="00015F8E"/>
    <w:rsid w:val="00017DC3"/>
    <w:rsid w:val="0002024C"/>
    <w:rsid w:val="00020B03"/>
    <w:rsid w:val="00021ECA"/>
    <w:rsid w:val="000228A4"/>
    <w:rsid w:val="00022B61"/>
    <w:rsid w:val="00024093"/>
    <w:rsid w:val="00024C67"/>
    <w:rsid w:val="00025C2F"/>
    <w:rsid w:val="00026EC2"/>
    <w:rsid w:val="00027155"/>
    <w:rsid w:val="000276E7"/>
    <w:rsid w:val="000304C4"/>
    <w:rsid w:val="0003141B"/>
    <w:rsid w:val="000348B4"/>
    <w:rsid w:val="0003512E"/>
    <w:rsid w:val="0003554C"/>
    <w:rsid w:val="000371C7"/>
    <w:rsid w:val="000406EA"/>
    <w:rsid w:val="0004262C"/>
    <w:rsid w:val="000426D0"/>
    <w:rsid w:val="00043EF2"/>
    <w:rsid w:val="00044D29"/>
    <w:rsid w:val="00047A4C"/>
    <w:rsid w:val="00050025"/>
    <w:rsid w:val="00052A14"/>
    <w:rsid w:val="000540F7"/>
    <w:rsid w:val="000543CB"/>
    <w:rsid w:val="00054CA2"/>
    <w:rsid w:val="000550AE"/>
    <w:rsid w:val="000577AE"/>
    <w:rsid w:val="000577B6"/>
    <w:rsid w:val="00057D00"/>
    <w:rsid w:val="0006249D"/>
    <w:rsid w:val="00062B15"/>
    <w:rsid w:val="000640E1"/>
    <w:rsid w:val="00064AF9"/>
    <w:rsid w:val="000719E5"/>
    <w:rsid w:val="000720E8"/>
    <w:rsid w:val="00072699"/>
    <w:rsid w:val="000729A6"/>
    <w:rsid w:val="000734C6"/>
    <w:rsid w:val="00074505"/>
    <w:rsid w:val="00076B97"/>
    <w:rsid w:val="00076DAB"/>
    <w:rsid w:val="0007719F"/>
    <w:rsid w:val="00077D75"/>
    <w:rsid w:val="00077D88"/>
    <w:rsid w:val="000805F4"/>
    <w:rsid w:val="00081CFD"/>
    <w:rsid w:val="00084538"/>
    <w:rsid w:val="0008646F"/>
    <w:rsid w:val="000865EF"/>
    <w:rsid w:val="000870D4"/>
    <w:rsid w:val="00090F43"/>
    <w:rsid w:val="00093F70"/>
    <w:rsid w:val="000940F7"/>
    <w:rsid w:val="000959DA"/>
    <w:rsid w:val="00095E09"/>
    <w:rsid w:val="00096D55"/>
    <w:rsid w:val="00096E4F"/>
    <w:rsid w:val="00096ECB"/>
    <w:rsid w:val="00097CA1"/>
    <w:rsid w:val="000A109B"/>
    <w:rsid w:val="000A1CCE"/>
    <w:rsid w:val="000A2539"/>
    <w:rsid w:val="000A2EA9"/>
    <w:rsid w:val="000A3A04"/>
    <w:rsid w:val="000A5019"/>
    <w:rsid w:val="000A5CAB"/>
    <w:rsid w:val="000A73DD"/>
    <w:rsid w:val="000A74C7"/>
    <w:rsid w:val="000A7C8F"/>
    <w:rsid w:val="000B0B85"/>
    <w:rsid w:val="000B1D7E"/>
    <w:rsid w:val="000B2A93"/>
    <w:rsid w:val="000B4D56"/>
    <w:rsid w:val="000B5B86"/>
    <w:rsid w:val="000B5BF2"/>
    <w:rsid w:val="000B78B6"/>
    <w:rsid w:val="000C0D8A"/>
    <w:rsid w:val="000C1A26"/>
    <w:rsid w:val="000C3548"/>
    <w:rsid w:val="000C3B52"/>
    <w:rsid w:val="000C555B"/>
    <w:rsid w:val="000C59C1"/>
    <w:rsid w:val="000C5AE1"/>
    <w:rsid w:val="000C66CA"/>
    <w:rsid w:val="000C76F3"/>
    <w:rsid w:val="000C788E"/>
    <w:rsid w:val="000D10A9"/>
    <w:rsid w:val="000D1B26"/>
    <w:rsid w:val="000D2A31"/>
    <w:rsid w:val="000D3AFD"/>
    <w:rsid w:val="000D3B05"/>
    <w:rsid w:val="000D3C15"/>
    <w:rsid w:val="000D3CE5"/>
    <w:rsid w:val="000D665C"/>
    <w:rsid w:val="000D6C41"/>
    <w:rsid w:val="000D741C"/>
    <w:rsid w:val="000D7B84"/>
    <w:rsid w:val="000E063D"/>
    <w:rsid w:val="000E1FD2"/>
    <w:rsid w:val="000E2FDB"/>
    <w:rsid w:val="000E3519"/>
    <w:rsid w:val="000E46E9"/>
    <w:rsid w:val="000E573B"/>
    <w:rsid w:val="000E6850"/>
    <w:rsid w:val="000E6DB4"/>
    <w:rsid w:val="000E77FA"/>
    <w:rsid w:val="000F1444"/>
    <w:rsid w:val="000F1775"/>
    <w:rsid w:val="000F2D36"/>
    <w:rsid w:val="000F34C8"/>
    <w:rsid w:val="000F3A22"/>
    <w:rsid w:val="000F427D"/>
    <w:rsid w:val="000F7F19"/>
    <w:rsid w:val="001007F9"/>
    <w:rsid w:val="00101B64"/>
    <w:rsid w:val="001036E5"/>
    <w:rsid w:val="001039F4"/>
    <w:rsid w:val="00106666"/>
    <w:rsid w:val="00107821"/>
    <w:rsid w:val="00110D38"/>
    <w:rsid w:val="00110F6E"/>
    <w:rsid w:val="00112D64"/>
    <w:rsid w:val="001134C9"/>
    <w:rsid w:val="00113F2A"/>
    <w:rsid w:val="00114088"/>
    <w:rsid w:val="00114F6E"/>
    <w:rsid w:val="0011565E"/>
    <w:rsid w:val="00115B3C"/>
    <w:rsid w:val="00120643"/>
    <w:rsid w:val="00120EB2"/>
    <w:rsid w:val="0012170B"/>
    <w:rsid w:val="0012284D"/>
    <w:rsid w:val="00122ED0"/>
    <w:rsid w:val="001235B9"/>
    <w:rsid w:val="00123821"/>
    <w:rsid w:val="00123A5C"/>
    <w:rsid w:val="00123FAA"/>
    <w:rsid w:val="00124757"/>
    <w:rsid w:val="001247E7"/>
    <w:rsid w:val="00125EDF"/>
    <w:rsid w:val="00127F46"/>
    <w:rsid w:val="001305EF"/>
    <w:rsid w:val="00130B90"/>
    <w:rsid w:val="00130DD0"/>
    <w:rsid w:val="0013191D"/>
    <w:rsid w:val="00132A77"/>
    <w:rsid w:val="00134E4A"/>
    <w:rsid w:val="0013717D"/>
    <w:rsid w:val="00137C7D"/>
    <w:rsid w:val="00140473"/>
    <w:rsid w:val="00140DBA"/>
    <w:rsid w:val="00141A96"/>
    <w:rsid w:val="00141B52"/>
    <w:rsid w:val="0014219A"/>
    <w:rsid w:val="001430A0"/>
    <w:rsid w:val="001431D4"/>
    <w:rsid w:val="0014321C"/>
    <w:rsid w:val="00143633"/>
    <w:rsid w:val="00143F43"/>
    <w:rsid w:val="00145A17"/>
    <w:rsid w:val="00145B68"/>
    <w:rsid w:val="00146905"/>
    <w:rsid w:val="00147633"/>
    <w:rsid w:val="00151A48"/>
    <w:rsid w:val="0015227A"/>
    <w:rsid w:val="00153C60"/>
    <w:rsid w:val="001541B3"/>
    <w:rsid w:val="00154BDE"/>
    <w:rsid w:val="001553B4"/>
    <w:rsid w:val="001571E2"/>
    <w:rsid w:val="001574C9"/>
    <w:rsid w:val="001575AC"/>
    <w:rsid w:val="00161862"/>
    <w:rsid w:val="0016293E"/>
    <w:rsid w:val="00162C97"/>
    <w:rsid w:val="001630D5"/>
    <w:rsid w:val="00163CD6"/>
    <w:rsid w:val="00163FD3"/>
    <w:rsid w:val="00164ED3"/>
    <w:rsid w:val="001651F5"/>
    <w:rsid w:val="00165CF7"/>
    <w:rsid w:val="001662F8"/>
    <w:rsid w:val="00166326"/>
    <w:rsid w:val="0016698F"/>
    <w:rsid w:val="00166CB1"/>
    <w:rsid w:val="001703DB"/>
    <w:rsid w:val="001703FA"/>
    <w:rsid w:val="00170DF4"/>
    <w:rsid w:val="00171CEC"/>
    <w:rsid w:val="00172DD1"/>
    <w:rsid w:val="00173EC7"/>
    <w:rsid w:val="001754A2"/>
    <w:rsid w:val="00176858"/>
    <w:rsid w:val="00176923"/>
    <w:rsid w:val="00177373"/>
    <w:rsid w:val="00177735"/>
    <w:rsid w:val="00181053"/>
    <w:rsid w:val="001843C3"/>
    <w:rsid w:val="00185572"/>
    <w:rsid w:val="00185780"/>
    <w:rsid w:val="00186910"/>
    <w:rsid w:val="00187D3F"/>
    <w:rsid w:val="001913F2"/>
    <w:rsid w:val="00192754"/>
    <w:rsid w:val="00195D89"/>
    <w:rsid w:val="00196D3F"/>
    <w:rsid w:val="001A177D"/>
    <w:rsid w:val="001A3082"/>
    <w:rsid w:val="001A44AF"/>
    <w:rsid w:val="001A477F"/>
    <w:rsid w:val="001A6DEA"/>
    <w:rsid w:val="001B0046"/>
    <w:rsid w:val="001B0171"/>
    <w:rsid w:val="001B0DDE"/>
    <w:rsid w:val="001B1CDE"/>
    <w:rsid w:val="001B1D7D"/>
    <w:rsid w:val="001B3AB2"/>
    <w:rsid w:val="001B40AF"/>
    <w:rsid w:val="001B4F91"/>
    <w:rsid w:val="001B67E2"/>
    <w:rsid w:val="001B7176"/>
    <w:rsid w:val="001B72DA"/>
    <w:rsid w:val="001B7CB3"/>
    <w:rsid w:val="001C0076"/>
    <w:rsid w:val="001C058C"/>
    <w:rsid w:val="001C09FB"/>
    <w:rsid w:val="001C0FD3"/>
    <w:rsid w:val="001C15DD"/>
    <w:rsid w:val="001C2BC1"/>
    <w:rsid w:val="001C4293"/>
    <w:rsid w:val="001C496C"/>
    <w:rsid w:val="001C4FC0"/>
    <w:rsid w:val="001C5965"/>
    <w:rsid w:val="001C6DC7"/>
    <w:rsid w:val="001C6FDD"/>
    <w:rsid w:val="001C79FA"/>
    <w:rsid w:val="001D0778"/>
    <w:rsid w:val="001D1392"/>
    <w:rsid w:val="001D2BF7"/>
    <w:rsid w:val="001D3121"/>
    <w:rsid w:val="001D39F8"/>
    <w:rsid w:val="001D43E6"/>
    <w:rsid w:val="001D4BA9"/>
    <w:rsid w:val="001D5678"/>
    <w:rsid w:val="001D72A9"/>
    <w:rsid w:val="001D756E"/>
    <w:rsid w:val="001D7876"/>
    <w:rsid w:val="001D7FD0"/>
    <w:rsid w:val="001E1C0B"/>
    <w:rsid w:val="001E2633"/>
    <w:rsid w:val="001E2783"/>
    <w:rsid w:val="001E2973"/>
    <w:rsid w:val="001E58A8"/>
    <w:rsid w:val="001E7863"/>
    <w:rsid w:val="001F0467"/>
    <w:rsid w:val="001F0E2A"/>
    <w:rsid w:val="001F200F"/>
    <w:rsid w:val="001F2903"/>
    <w:rsid w:val="001F2BBB"/>
    <w:rsid w:val="001F3E7A"/>
    <w:rsid w:val="001F7574"/>
    <w:rsid w:val="0020206C"/>
    <w:rsid w:val="00202381"/>
    <w:rsid w:val="0020271E"/>
    <w:rsid w:val="002031B8"/>
    <w:rsid w:val="002041AF"/>
    <w:rsid w:val="00204998"/>
    <w:rsid w:val="0020725C"/>
    <w:rsid w:val="002076DF"/>
    <w:rsid w:val="00207CB0"/>
    <w:rsid w:val="00210430"/>
    <w:rsid w:val="00210EAB"/>
    <w:rsid w:val="002114A6"/>
    <w:rsid w:val="002117F7"/>
    <w:rsid w:val="0021458C"/>
    <w:rsid w:val="00214C9C"/>
    <w:rsid w:val="002161BE"/>
    <w:rsid w:val="00216223"/>
    <w:rsid w:val="00217DCE"/>
    <w:rsid w:val="002219BD"/>
    <w:rsid w:val="00222724"/>
    <w:rsid w:val="00222E24"/>
    <w:rsid w:val="00222FFF"/>
    <w:rsid w:val="00226588"/>
    <w:rsid w:val="00226B82"/>
    <w:rsid w:val="0022705D"/>
    <w:rsid w:val="00227604"/>
    <w:rsid w:val="00233230"/>
    <w:rsid w:val="00233CAF"/>
    <w:rsid w:val="00235913"/>
    <w:rsid w:val="00235D1D"/>
    <w:rsid w:val="00235F5A"/>
    <w:rsid w:val="00236362"/>
    <w:rsid w:val="00236937"/>
    <w:rsid w:val="00237A26"/>
    <w:rsid w:val="00241C71"/>
    <w:rsid w:val="00244590"/>
    <w:rsid w:val="00245D45"/>
    <w:rsid w:val="00246A81"/>
    <w:rsid w:val="0024794E"/>
    <w:rsid w:val="00247CF0"/>
    <w:rsid w:val="002512C1"/>
    <w:rsid w:val="00251B27"/>
    <w:rsid w:val="0025317D"/>
    <w:rsid w:val="0025366C"/>
    <w:rsid w:val="00256443"/>
    <w:rsid w:val="002600F7"/>
    <w:rsid w:val="00260FB3"/>
    <w:rsid w:val="002614E2"/>
    <w:rsid w:val="0026361C"/>
    <w:rsid w:val="00263796"/>
    <w:rsid w:val="00263BA2"/>
    <w:rsid w:val="00263C13"/>
    <w:rsid w:val="00263D71"/>
    <w:rsid w:val="0026573C"/>
    <w:rsid w:val="002659FD"/>
    <w:rsid w:val="00266080"/>
    <w:rsid w:val="00266B71"/>
    <w:rsid w:val="00267BE5"/>
    <w:rsid w:val="00267C30"/>
    <w:rsid w:val="002713E2"/>
    <w:rsid w:val="002738F8"/>
    <w:rsid w:val="002743C2"/>
    <w:rsid w:val="00276526"/>
    <w:rsid w:val="00277E48"/>
    <w:rsid w:val="00280A70"/>
    <w:rsid w:val="00280A9D"/>
    <w:rsid w:val="002822AB"/>
    <w:rsid w:val="00282B6E"/>
    <w:rsid w:val="002845EB"/>
    <w:rsid w:val="002849D2"/>
    <w:rsid w:val="00285D0F"/>
    <w:rsid w:val="00287649"/>
    <w:rsid w:val="0029091A"/>
    <w:rsid w:val="00292684"/>
    <w:rsid w:val="00292A31"/>
    <w:rsid w:val="00293C93"/>
    <w:rsid w:val="00294506"/>
    <w:rsid w:val="002945B2"/>
    <w:rsid w:val="002948C1"/>
    <w:rsid w:val="00294DDD"/>
    <w:rsid w:val="00294FBD"/>
    <w:rsid w:val="00295051"/>
    <w:rsid w:val="002A03D5"/>
    <w:rsid w:val="002A12A1"/>
    <w:rsid w:val="002A32AD"/>
    <w:rsid w:val="002A404F"/>
    <w:rsid w:val="002A43ED"/>
    <w:rsid w:val="002A6845"/>
    <w:rsid w:val="002B1F9C"/>
    <w:rsid w:val="002B231F"/>
    <w:rsid w:val="002B51FA"/>
    <w:rsid w:val="002B6B9B"/>
    <w:rsid w:val="002B7A2B"/>
    <w:rsid w:val="002C033A"/>
    <w:rsid w:val="002C05F1"/>
    <w:rsid w:val="002C09A7"/>
    <w:rsid w:val="002C10DF"/>
    <w:rsid w:val="002C115D"/>
    <w:rsid w:val="002C2513"/>
    <w:rsid w:val="002C5862"/>
    <w:rsid w:val="002D0449"/>
    <w:rsid w:val="002D146F"/>
    <w:rsid w:val="002D36D9"/>
    <w:rsid w:val="002D50FD"/>
    <w:rsid w:val="002D5487"/>
    <w:rsid w:val="002D5D97"/>
    <w:rsid w:val="002D64D1"/>
    <w:rsid w:val="002D7A48"/>
    <w:rsid w:val="002E01EC"/>
    <w:rsid w:val="002E0874"/>
    <w:rsid w:val="002E09A3"/>
    <w:rsid w:val="002E0A20"/>
    <w:rsid w:val="002E107E"/>
    <w:rsid w:val="002E3252"/>
    <w:rsid w:val="002E391D"/>
    <w:rsid w:val="002E7C60"/>
    <w:rsid w:val="002F1247"/>
    <w:rsid w:val="002F16EB"/>
    <w:rsid w:val="002F2B7B"/>
    <w:rsid w:val="002F3FF7"/>
    <w:rsid w:val="002F420B"/>
    <w:rsid w:val="002F5D75"/>
    <w:rsid w:val="002F6618"/>
    <w:rsid w:val="0030169F"/>
    <w:rsid w:val="00301A35"/>
    <w:rsid w:val="00301D7F"/>
    <w:rsid w:val="00301F1D"/>
    <w:rsid w:val="003036CE"/>
    <w:rsid w:val="003044D6"/>
    <w:rsid w:val="00304C76"/>
    <w:rsid w:val="00305306"/>
    <w:rsid w:val="003057B2"/>
    <w:rsid w:val="003078A6"/>
    <w:rsid w:val="00310DD0"/>
    <w:rsid w:val="00310FC4"/>
    <w:rsid w:val="00311DF3"/>
    <w:rsid w:val="003121E8"/>
    <w:rsid w:val="003124C7"/>
    <w:rsid w:val="003125F7"/>
    <w:rsid w:val="00312825"/>
    <w:rsid w:val="003149D3"/>
    <w:rsid w:val="00315723"/>
    <w:rsid w:val="00315E01"/>
    <w:rsid w:val="003166CE"/>
    <w:rsid w:val="00316A61"/>
    <w:rsid w:val="0031742D"/>
    <w:rsid w:val="00317672"/>
    <w:rsid w:val="00320F5E"/>
    <w:rsid w:val="00320F78"/>
    <w:rsid w:val="00321A6B"/>
    <w:rsid w:val="00322007"/>
    <w:rsid w:val="00322912"/>
    <w:rsid w:val="0032353D"/>
    <w:rsid w:val="00323875"/>
    <w:rsid w:val="00324131"/>
    <w:rsid w:val="003276E3"/>
    <w:rsid w:val="00327A52"/>
    <w:rsid w:val="00327D75"/>
    <w:rsid w:val="003324D6"/>
    <w:rsid w:val="00332D30"/>
    <w:rsid w:val="0033309D"/>
    <w:rsid w:val="00333967"/>
    <w:rsid w:val="00333B35"/>
    <w:rsid w:val="003344B1"/>
    <w:rsid w:val="003346DA"/>
    <w:rsid w:val="0033486E"/>
    <w:rsid w:val="00334C06"/>
    <w:rsid w:val="00335BF5"/>
    <w:rsid w:val="00336C77"/>
    <w:rsid w:val="003402C1"/>
    <w:rsid w:val="00340463"/>
    <w:rsid w:val="00340622"/>
    <w:rsid w:val="00342D99"/>
    <w:rsid w:val="003434D1"/>
    <w:rsid w:val="0034674A"/>
    <w:rsid w:val="00347BB5"/>
    <w:rsid w:val="003503B0"/>
    <w:rsid w:val="003512B6"/>
    <w:rsid w:val="00351477"/>
    <w:rsid w:val="0035260E"/>
    <w:rsid w:val="00353602"/>
    <w:rsid w:val="003543C9"/>
    <w:rsid w:val="00354816"/>
    <w:rsid w:val="00354E10"/>
    <w:rsid w:val="003558BB"/>
    <w:rsid w:val="00356DA3"/>
    <w:rsid w:val="003606E1"/>
    <w:rsid w:val="003616CC"/>
    <w:rsid w:val="00363CE4"/>
    <w:rsid w:val="0036524C"/>
    <w:rsid w:val="0036737E"/>
    <w:rsid w:val="0037151F"/>
    <w:rsid w:val="00372475"/>
    <w:rsid w:val="00373399"/>
    <w:rsid w:val="00374D8B"/>
    <w:rsid w:val="003755AF"/>
    <w:rsid w:val="003762FC"/>
    <w:rsid w:val="003764EF"/>
    <w:rsid w:val="00376E73"/>
    <w:rsid w:val="00377599"/>
    <w:rsid w:val="00377A35"/>
    <w:rsid w:val="00377AD3"/>
    <w:rsid w:val="00377C29"/>
    <w:rsid w:val="003800D0"/>
    <w:rsid w:val="003841A3"/>
    <w:rsid w:val="003843B6"/>
    <w:rsid w:val="0038623B"/>
    <w:rsid w:val="00386D1E"/>
    <w:rsid w:val="00387AA9"/>
    <w:rsid w:val="003916D6"/>
    <w:rsid w:val="003917F3"/>
    <w:rsid w:val="00391BD4"/>
    <w:rsid w:val="00392B55"/>
    <w:rsid w:val="0039419F"/>
    <w:rsid w:val="003947A7"/>
    <w:rsid w:val="003955EF"/>
    <w:rsid w:val="00395C2C"/>
    <w:rsid w:val="0039712F"/>
    <w:rsid w:val="003A0E52"/>
    <w:rsid w:val="003A247A"/>
    <w:rsid w:val="003A3007"/>
    <w:rsid w:val="003A409B"/>
    <w:rsid w:val="003A50A3"/>
    <w:rsid w:val="003A52F4"/>
    <w:rsid w:val="003A5A28"/>
    <w:rsid w:val="003A6468"/>
    <w:rsid w:val="003A7099"/>
    <w:rsid w:val="003A736A"/>
    <w:rsid w:val="003A7900"/>
    <w:rsid w:val="003A792A"/>
    <w:rsid w:val="003B1379"/>
    <w:rsid w:val="003B19CF"/>
    <w:rsid w:val="003B2E27"/>
    <w:rsid w:val="003B2EDC"/>
    <w:rsid w:val="003B34E6"/>
    <w:rsid w:val="003B3761"/>
    <w:rsid w:val="003B4635"/>
    <w:rsid w:val="003B4923"/>
    <w:rsid w:val="003B6B6F"/>
    <w:rsid w:val="003C0B05"/>
    <w:rsid w:val="003C275A"/>
    <w:rsid w:val="003C3203"/>
    <w:rsid w:val="003C67F3"/>
    <w:rsid w:val="003C6969"/>
    <w:rsid w:val="003C6C4D"/>
    <w:rsid w:val="003D0775"/>
    <w:rsid w:val="003D0920"/>
    <w:rsid w:val="003D2591"/>
    <w:rsid w:val="003D269E"/>
    <w:rsid w:val="003D2DEC"/>
    <w:rsid w:val="003D34F8"/>
    <w:rsid w:val="003D351E"/>
    <w:rsid w:val="003D4339"/>
    <w:rsid w:val="003D5C41"/>
    <w:rsid w:val="003D5EE4"/>
    <w:rsid w:val="003D63F3"/>
    <w:rsid w:val="003D6AE7"/>
    <w:rsid w:val="003D6B3F"/>
    <w:rsid w:val="003D74FC"/>
    <w:rsid w:val="003D7EB1"/>
    <w:rsid w:val="003E27AE"/>
    <w:rsid w:val="003E39B4"/>
    <w:rsid w:val="003E4620"/>
    <w:rsid w:val="003E479A"/>
    <w:rsid w:val="003E6D82"/>
    <w:rsid w:val="003E768C"/>
    <w:rsid w:val="003F0FE7"/>
    <w:rsid w:val="003F14B0"/>
    <w:rsid w:val="003F1540"/>
    <w:rsid w:val="003F1F5B"/>
    <w:rsid w:val="003F31BC"/>
    <w:rsid w:val="003F380E"/>
    <w:rsid w:val="003F6576"/>
    <w:rsid w:val="003F7E5E"/>
    <w:rsid w:val="004008CC"/>
    <w:rsid w:val="00402AD9"/>
    <w:rsid w:val="00403DD3"/>
    <w:rsid w:val="0040507C"/>
    <w:rsid w:val="004067A9"/>
    <w:rsid w:val="004069EA"/>
    <w:rsid w:val="004106BE"/>
    <w:rsid w:val="0041130D"/>
    <w:rsid w:val="00411792"/>
    <w:rsid w:val="00415C76"/>
    <w:rsid w:val="0041701D"/>
    <w:rsid w:val="004205F9"/>
    <w:rsid w:val="00420B3C"/>
    <w:rsid w:val="004213A3"/>
    <w:rsid w:val="00421DB5"/>
    <w:rsid w:val="00422901"/>
    <w:rsid w:val="004241F0"/>
    <w:rsid w:val="004250D1"/>
    <w:rsid w:val="004268F4"/>
    <w:rsid w:val="00427326"/>
    <w:rsid w:val="00430563"/>
    <w:rsid w:val="004314AE"/>
    <w:rsid w:val="00431A7A"/>
    <w:rsid w:val="00432308"/>
    <w:rsid w:val="00432D54"/>
    <w:rsid w:val="0043536D"/>
    <w:rsid w:val="0043654E"/>
    <w:rsid w:val="00436AA8"/>
    <w:rsid w:val="00437379"/>
    <w:rsid w:val="004414F6"/>
    <w:rsid w:val="004421EB"/>
    <w:rsid w:val="004431D9"/>
    <w:rsid w:val="00443993"/>
    <w:rsid w:val="0044410B"/>
    <w:rsid w:val="004453B7"/>
    <w:rsid w:val="00445743"/>
    <w:rsid w:val="00445F5C"/>
    <w:rsid w:val="004464E3"/>
    <w:rsid w:val="00446A56"/>
    <w:rsid w:val="004474B5"/>
    <w:rsid w:val="00447648"/>
    <w:rsid w:val="00450459"/>
    <w:rsid w:val="00451B71"/>
    <w:rsid w:val="00452019"/>
    <w:rsid w:val="00452071"/>
    <w:rsid w:val="00452C65"/>
    <w:rsid w:val="00453B4E"/>
    <w:rsid w:val="0045486A"/>
    <w:rsid w:val="00454949"/>
    <w:rsid w:val="00454E08"/>
    <w:rsid w:val="0045619A"/>
    <w:rsid w:val="004565AF"/>
    <w:rsid w:val="0045781D"/>
    <w:rsid w:val="004606BC"/>
    <w:rsid w:val="0046188B"/>
    <w:rsid w:val="00461B47"/>
    <w:rsid w:val="00462DAC"/>
    <w:rsid w:val="00462DE7"/>
    <w:rsid w:val="00462FF6"/>
    <w:rsid w:val="00463186"/>
    <w:rsid w:val="00465E0C"/>
    <w:rsid w:val="00466C67"/>
    <w:rsid w:val="00471C86"/>
    <w:rsid w:val="004724C4"/>
    <w:rsid w:val="004736E0"/>
    <w:rsid w:val="00473B22"/>
    <w:rsid w:val="00473F56"/>
    <w:rsid w:val="00475054"/>
    <w:rsid w:val="004753DE"/>
    <w:rsid w:val="004761B2"/>
    <w:rsid w:val="00476E65"/>
    <w:rsid w:val="0047707F"/>
    <w:rsid w:val="0047719B"/>
    <w:rsid w:val="004776E6"/>
    <w:rsid w:val="00480451"/>
    <w:rsid w:val="004839EA"/>
    <w:rsid w:val="0048417C"/>
    <w:rsid w:val="004842D9"/>
    <w:rsid w:val="00484440"/>
    <w:rsid w:val="0048468D"/>
    <w:rsid w:val="004870A4"/>
    <w:rsid w:val="00490451"/>
    <w:rsid w:val="00490499"/>
    <w:rsid w:val="00490B22"/>
    <w:rsid w:val="004914B6"/>
    <w:rsid w:val="00491C0F"/>
    <w:rsid w:val="00491E7D"/>
    <w:rsid w:val="00492F6B"/>
    <w:rsid w:val="004952CB"/>
    <w:rsid w:val="00495C1B"/>
    <w:rsid w:val="00495D20"/>
    <w:rsid w:val="004965DD"/>
    <w:rsid w:val="00496FE0"/>
    <w:rsid w:val="004A05DB"/>
    <w:rsid w:val="004A23BA"/>
    <w:rsid w:val="004A3166"/>
    <w:rsid w:val="004A3547"/>
    <w:rsid w:val="004A3CAF"/>
    <w:rsid w:val="004A4152"/>
    <w:rsid w:val="004A42A9"/>
    <w:rsid w:val="004A4B54"/>
    <w:rsid w:val="004A6B06"/>
    <w:rsid w:val="004A73FF"/>
    <w:rsid w:val="004A7D99"/>
    <w:rsid w:val="004B0927"/>
    <w:rsid w:val="004B1FAB"/>
    <w:rsid w:val="004B32B3"/>
    <w:rsid w:val="004B3679"/>
    <w:rsid w:val="004B39E3"/>
    <w:rsid w:val="004B3A4B"/>
    <w:rsid w:val="004B60F4"/>
    <w:rsid w:val="004B6833"/>
    <w:rsid w:val="004C0E72"/>
    <w:rsid w:val="004C1283"/>
    <w:rsid w:val="004C1398"/>
    <w:rsid w:val="004C1FF4"/>
    <w:rsid w:val="004C3883"/>
    <w:rsid w:val="004C3CB0"/>
    <w:rsid w:val="004C443E"/>
    <w:rsid w:val="004C46E8"/>
    <w:rsid w:val="004C5EA7"/>
    <w:rsid w:val="004C656F"/>
    <w:rsid w:val="004C65D4"/>
    <w:rsid w:val="004C6B80"/>
    <w:rsid w:val="004C7F09"/>
    <w:rsid w:val="004D0F5F"/>
    <w:rsid w:val="004D1423"/>
    <w:rsid w:val="004D3230"/>
    <w:rsid w:val="004D3608"/>
    <w:rsid w:val="004D3A8F"/>
    <w:rsid w:val="004D3B69"/>
    <w:rsid w:val="004D3C79"/>
    <w:rsid w:val="004D47F6"/>
    <w:rsid w:val="004D51A1"/>
    <w:rsid w:val="004D6860"/>
    <w:rsid w:val="004D70EF"/>
    <w:rsid w:val="004D7B15"/>
    <w:rsid w:val="004E0102"/>
    <w:rsid w:val="004E01EF"/>
    <w:rsid w:val="004E0C08"/>
    <w:rsid w:val="004E1C06"/>
    <w:rsid w:val="004E23C9"/>
    <w:rsid w:val="004E285A"/>
    <w:rsid w:val="004E3B6C"/>
    <w:rsid w:val="004E53D4"/>
    <w:rsid w:val="004E5AAE"/>
    <w:rsid w:val="004E5B5A"/>
    <w:rsid w:val="004E5F01"/>
    <w:rsid w:val="004E7ECC"/>
    <w:rsid w:val="004F067E"/>
    <w:rsid w:val="004F25FD"/>
    <w:rsid w:val="004F31A6"/>
    <w:rsid w:val="004F3D08"/>
    <w:rsid w:val="004F43B2"/>
    <w:rsid w:val="004F4F3B"/>
    <w:rsid w:val="004F4F66"/>
    <w:rsid w:val="004F6365"/>
    <w:rsid w:val="004F658D"/>
    <w:rsid w:val="004F67C2"/>
    <w:rsid w:val="004F7124"/>
    <w:rsid w:val="00500D59"/>
    <w:rsid w:val="00502431"/>
    <w:rsid w:val="005027D5"/>
    <w:rsid w:val="005036FC"/>
    <w:rsid w:val="00503CA5"/>
    <w:rsid w:val="00503D61"/>
    <w:rsid w:val="00504D45"/>
    <w:rsid w:val="00505102"/>
    <w:rsid w:val="005063FE"/>
    <w:rsid w:val="00506492"/>
    <w:rsid w:val="0050677A"/>
    <w:rsid w:val="00506CC5"/>
    <w:rsid w:val="00506DB6"/>
    <w:rsid w:val="00506E6F"/>
    <w:rsid w:val="0051103D"/>
    <w:rsid w:val="00512058"/>
    <w:rsid w:val="0051295A"/>
    <w:rsid w:val="00513444"/>
    <w:rsid w:val="0051361B"/>
    <w:rsid w:val="00515987"/>
    <w:rsid w:val="00515E0E"/>
    <w:rsid w:val="00516F43"/>
    <w:rsid w:val="005200D8"/>
    <w:rsid w:val="00521CD6"/>
    <w:rsid w:val="0052232D"/>
    <w:rsid w:val="00522B00"/>
    <w:rsid w:val="00523221"/>
    <w:rsid w:val="00523E21"/>
    <w:rsid w:val="005242EA"/>
    <w:rsid w:val="00524852"/>
    <w:rsid w:val="00525F91"/>
    <w:rsid w:val="00533C27"/>
    <w:rsid w:val="0054052C"/>
    <w:rsid w:val="00540BF4"/>
    <w:rsid w:val="005458FA"/>
    <w:rsid w:val="005461C2"/>
    <w:rsid w:val="0054797B"/>
    <w:rsid w:val="005479CA"/>
    <w:rsid w:val="005502CF"/>
    <w:rsid w:val="00550494"/>
    <w:rsid w:val="0055118C"/>
    <w:rsid w:val="005511E3"/>
    <w:rsid w:val="00553A0E"/>
    <w:rsid w:val="005543B8"/>
    <w:rsid w:val="00556184"/>
    <w:rsid w:val="005579CA"/>
    <w:rsid w:val="005608CD"/>
    <w:rsid w:val="00563B00"/>
    <w:rsid w:val="005657BD"/>
    <w:rsid w:val="00565933"/>
    <w:rsid w:val="00565F28"/>
    <w:rsid w:val="00567055"/>
    <w:rsid w:val="005678F6"/>
    <w:rsid w:val="0057008F"/>
    <w:rsid w:val="005708E5"/>
    <w:rsid w:val="00570C0F"/>
    <w:rsid w:val="00571A9F"/>
    <w:rsid w:val="00573AD2"/>
    <w:rsid w:val="00573C89"/>
    <w:rsid w:val="00575727"/>
    <w:rsid w:val="005764C5"/>
    <w:rsid w:val="00581C58"/>
    <w:rsid w:val="00581D77"/>
    <w:rsid w:val="00582156"/>
    <w:rsid w:val="00584F27"/>
    <w:rsid w:val="0058504F"/>
    <w:rsid w:val="00585161"/>
    <w:rsid w:val="00585618"/>
    <w:rsid w:val="00586CD8"/>
    <w:rsid w:val="005875D9"/>
    <w:rsid w:val="00590DFB"/>
    <w:rsid w:val="00591650"/>
    <w:rsid w:val="00592193"/>
    <w:rsid w:val="00592832"/>
    <w:rsid w:val="00593B38"/>
    <w:rsid w:val="00593E6B"/>
    <w:rsid w:val="00595048"/>
    <w:rsid w:val="00595EB4"/>
    <w:rsid w:val="00595FA6"/>
    <w:rsid w:val="005960D1"/>
    <w:rsid w:val="00596841"/>
    <w:rsid w:val="00597DA4"/>
    <w:rsid w:val="005A0E4A"/>
    <w:rsid w:val="005A12BE"/>
    <w:rsid w:val="005A1EED"/>
    <w:rsid w:val="005A2346"/>
    <w:rsid w:val="005A2876"/>
    <w:rsid w:val="005A2C45"/>
    <w:rsid w:val="005A3A31"/>
    <w:rsid w:val="005A3BF1"/>
    <w:rsid w:val="005A3CC8"/>
    <w:rsid w:val="005A3DC1"/>
    <w:rsid w:val="005A5B50"/>
    <w:rsid w:val="005B04A3"/>
    <w:rsid w:val="005B15B9"/>
    <w:rsid w:val="005B1B3A"/>
    <w:rsid w:val="005B1EAE"/>
    <w:rsid w:val="005B2DA6"/>
    <w:rsid w:val="005B3BFD"/>
    <w:rsid w:val="005B4397"/>
    <w:rsid w:val="005B469D"/>
    <w:rsid w:val="005B6770"/>
    <w:rsid w:val="005B72FC"/>
    <w:rsid w:val="005C1923"/>
    <w:rsid w:val="005C1AE0"/>
    <w:rsid w:val="005C1C09"/>
    <w:rsid w:val="005C23D2"/>
    <w:rsid w:val="005C27BA"/>
    <w:rsid w:val="005C29C5"/>
    <w:rsid w:val="005C44FD"/>
    <w:rsid w:val="005C4747"/>
    <w:rsid w:val="005C5834"/>
    <w:rsid w:val="005D4505"/>
    <w:rsid w:val="005D483A"/>
    <w:rsid w:val="005D5AC3"/>
    <w:rsid w:val="005D728F"/>
    <w:rsid w:val="005E1326"/>
    <w:rsid w:val="005E19C4"/>
    <w:rsid w:val="005E2383"/>
    <w:rsid w:val="005E2D06"/>
    <w:rsid w:val="005E47A0"/>
    <w:rsid w:val="005E5053"/>
    <w:rsid w:val="005E580E"/>
    <w:rsid w:val="005F0F6A"/>
    <w:rsid w:val="005F18E1"/>
    <w:rsid w:val="005F30A5"/>
    <w:rsid w:val="005F30CB"/>
    <w:rsid w:val="005F3384"/>
    <w:rsid w:val="005F63B5"/>
    <w:rsid w:val="005F6603"/>
    <w:rsid w:val="005F66A2"/>
    <w:rsid w:val="005F6A44"/>
    <w:rsid w:val="005F6C2C"/>
    <w:rsid w:val="00600678"/>
    <w:rsid w:val="00600756"/>
    <w:rsid w:val="00600B0B"/>
    <w:rsid w:val="00600FEF"/>
    <w:rsid w:val="00603A92"/>
    <w:rsid w:val="006054C8"/>
    <w:rsid w:val="00605774"/>
    <w:rsid w:val="00605907"/>
    <w:rsid w:val="0060684B"/>
    <w:rsid w:val="006102B8"/>
    <w:rsid w:val="00611666"/>
    <w:rsid w:val="006129DA"/>
    <w:rsid w:val="00612BE0"/>
    <w:rsid w:val="00612D1D"/>
    <w:rsid w:val="0061427E"/>
    <w:rsid w:val="0061719A"/>
    <w:rsid w:val="00617C15"/>
    <w:rsid w:val="00620083"/>
    <w:rsid w:val="006202AC"/>
    <w:rsid w:val="0062149D"/>
    <w:rsid w:val="00621E17"/>
    <w:rsid w:val="006221FF"/>
    <w:rsid w:val="00622D71"/>
    <w:rsid w:val="00624795"/>
    <w:rsid w:val="00625DA3"/>
    <w:rsid w:val="00626473"/>
    <w:rsid w:val="00626AD1"/>
    <w:rsid w:val="00627492"/>
    <w:rsid w:val="0063117B"/>
    <w:rsid w:val="00631C11"/>
    <w:rsid w:val="00631F25"/>
    <w:rsid w:val="0063423A"/>
    <w:rsid w:val="0063471B"/>
    <w:rsid w:val="00635D07"/>
    <w:rsid w:val="00635DD5"/>
    <w:rsid w:val="0063621E"/>
    <w:rsid w:val="00637031"/>
    <w:rsid w:val="00641CAD"/>
    <w:rsid w:val="0064289E"/>
    <w:rsid w:val="0064295D"/>
    <w:rsid w:val="006449F7"/>
    <w:rsid w:val="00646971"/>
    <w:rsid w:val="00650270"/>
    <w:rsid w:val="00650919"/>
    <w:rsid w:val="006515B4"/>
    <w:rsid w:val="006525DD"/>
    <w:rsid w:val="006531F5"/>
    <w:rsid w:val="006539DF"/>
    <w:rsid w:val="00653B5D"/>
    <w:rsid w:val="00655C39"/>
    <w:rsid w:val="00655F21"/>
    <w:rsid w:val="00656612"/>
    <w:rsid w:val="006606BD"/>
    <w:rsid w:val="006608FC"/>
    <w:rsid w:val="00660E45"/>
    <w:rsid w:val="00661096"/>
    <w:rsid w:val="00661B18"/>
    <w:rsid w:val="00661B37"/>
    <w:rsid w:val="00662650"/>
    <w:rsid w:val="00663A2A"/>
    <w:rsid w:val="0066521B"/>
    <w:rsid w:val="0066527D"/>
    <w:rsid w:val="006659C3"/>
    <w:rsid w:val="00666846"/>
    <w:rsid w:val="00670A84"/>
    <w:rsid w:val="006719A4"/>
    <w:rsid w:val="006722EC"/>
    <w:rsid w:val="006727D8"/>
    <w:rsid w:val="00673C78"/>
    <w:rsid w:val="006740D3"/>
    <w:rsid w:val="0067666A"/>
    <w:rsid w:val="00676905"/>
    <w:rsid w:val="00676AC3"/>
    <w:rsid w:val="00677CDE"/>
    <w:rsid w:val="00680C28"/>
    <w:rsid w:val="00683EDC"/>
    <w:rsid w:val="00683EDE"/>
    <w:rsid w:val="006851B0"/>
    <w:rsid w:val="006852CF"/>
    <w:rsid w:val="006872B8"/>
    <w:rsid w:val="00687643"/>
    <w:rsid w:val="00687772"/>
    <w:rsid w:val="00687CCD"/>
    <w:rsid w:val="0069017E"/>
    <w:rsid w:val="00690541"/>
    <w:rsid w:val="00690BA1"/>
    <w:rsid w:val="00692B09"/>
    <w:rsid w:val="00695217"/>
    <w:rsid w:val="00695688"/>
    <w:rsid w:val="00695E79"/>
    <w:rsid w:val="006A15D4"/>
    <w:rsid w:val="006A4306"/>
    <w:rsid w:val="006A495A"/>
    <w:rsid w:val="006A6DAB"/>
    <w:rsid w:val="006B12C0"/>
    <w:rsid w:val="006B271E"/>
    <w:rsid w:val="006B4661"/>
    <w:rsid w:val="006B4FEE"/>
    <w:rsid w:val="006B7351"/>
    <w:rsid w:val="006B7BBE"/>
    <w:rsid w:val="006B7DCD"/>
    <w:rsid w:val="006B7E86"/>
    <w:rsid w:val="006C27A4"/>
    <w:rsid w:val="006C28AF"/>
    <w:rsid w:val="006C28F1"/>
    <w:rsid w:val="006C364B"/>
    <w:rsid w:val="006C3D40"/>
    <w:rsid w:val="006C4C28"/>
    <w:rsid w:val="006C4D4C"/>
    <w:rsid w:val="006C52A8"/>
    <w:rsid w:val="006C55EE"/>
    <w:rsid w:val="006C5E36"/>
    <w:rsid w:val="006C766D"/>
    <w:rsid w:val="006D00E6"/>
    <w:rsid w:val="006D02AF"/>
    <w:rsid w:val="006D1459"/>
    <w:rsid w:val="006D2781"/>
    <w:rsid w:val="006D2F1B"/>
    <w:rsid w:val="006D31C2"/>
    <w:rsid w:val="006D43B5"/>
    <w:rsid w:val="006D4CFE"/>
    <w:rsid w:val="006D4E09"/>
    <w:rsid w:val="006D4FC7"/>
    <w:rsid w:val="006D6EC9"/>
    <w:rsid w:val="006D7BB4"/>
    <w:rsid w:val="006E25F3"/>
    <w:rsid w:val="006E2662"/>
    <w:rsid w:val="006E2CBE"/>
    <w:rsid w:val="006E4142"/>
    <w:rsid w:val="006E4563"/>
    <w:rsid w:val="006F0BC7"/>
    <w:rsid w:val="006F3D05"/>
    <w:rsid w:val="006F3D0F"/>
    <w:rsid w:val="006F42DF"/>
    <w:rsid w:val="006F5E5B"/>
    <w:rsid w:val="006F6C9B"/>
    <w:rsid w:val="0070098A"/>
    <w:rsid w:val="00701BFB"/>
    <w:rsid w:val="00702555"/>
    <w:rsid w:val="007028ED"/>
    <w:rsid w:val="00703910"/>
    <w:rsid w:val="00703C8C"/>
    <w:rsid w:val="0070478E"/>
    <w:rsid w:val="007047FF"/>
    <w:rsid w:val="00705AD3"/>
    <w:rsid w:val="00706BB8"/>
    <w:rsid w:val="00706BC9"/>
    <w:rsid w:val="007109C3"/>
    <w:rsid w:val="00710DE6"/>
    <w:rsid w:val="007116D8"/>
    <w:rsid w:val="00711DE1"/>
    <w:rsid w:val="00712D90"/>
    <w:rsid w:val="00713E59"/>
    <w:rsid w:val="00714D2A"/>
    <w:rsid w:val="00715107"/>
    <w:rsid w:val="00715174"/>
    <w:rsid w:val="00715E3C"/>
    <w:rsid w:val="007203DA"/>
    <w:rsid w:val="00720A9A"/>
    <w:rsid w:val="00721088"/>
    <w:rsid w:val="0072226B"/>
    <w:rsid w:val="007229FD"/>
    <w:rsid w:val="00723B97"/>
    <w:rsid w:val="0072437A"/>
    <w:rsid w:val="00724689"/>
    <w:rsid w:val="0072506D"/>
    <w:rsid w:val="007270B6"/>
    <w:rsid w:val="00727C6B"/>
    <w:rsid w:val="007321BD"/>
    <w:rsid w:val="0073229B"/>
    <w:rsid w:val="00734590"/>
    <w:rsid w:val="007348E1"/>
    <w:rsid w:val="0073631C"/>
    <w:rsid w:val="00737FF1"/>
    <w:rsid w:val="00741F3D"/>
    <w:rsid w:val="00741F6B"/>
    <w:rsid w:val="0074255D"/>
    <w:rsid w:val="00742AE7"/>
    <w:rsid w:val="00742B71"/>
    <w:rsid w:val="0074374E"/>
    <w:rsid w:val="00743BB8"/>
    <w:rsid w:val="00744DB5"/>
    <w:rsid w:val="00746E5B"/>
    <w:rsid w:val="00750F4E"/>
    <w:rsid w:val="0075385B"/>
    <w:rsid w:val="007552B4"/>
    <w:rsid w:val="007554F7"/>
    <w:rsid w:val="00755591"/>
    <w:rsid w:val="00755ADF"/>
    <w:rsid w:val="007560FF"/>
    <w:rsid w:val="0075679E"/>
    <w:rsid w:val="00757555"/>
    <w:rsid w:val="00757D4E"/>
    <w:rsid w:val="007603EF"/>
    <w:rsid w:val="00760AA8"/>
    <w:rsid w:val="00760BFD"/>
    <w:rsid w:val="00760D69"/>
    <w:rsid w:val="0076180A"/>
    <w:rsid w:val="00762098"/>
    <w:rsid w:val="0076255C"/>
    <w:rsid w:val="0076313F"/>
    <w:rsid w:val="00764E83"/>
    <w:rsid w:val="0076562A"/>
    <w:rsid w:val="00766A26"/>
    <w:rsid w:val="0077075E"/>
    <w:rsid w:val="0077130E"/>
    <w:rsid w:val="00773C58"/>
    <w:rsid w:val="0077506F"/>
    <w:rsid w:val="00775B23"/>
    <w:rsid w:val="00775B2C"/>
    <w:rsid w:val="00777CC7"/>
    <w:rsid w:val="00777EAD"/>
    <w:rsid w:val="00780468"/>
    <w:rsid w:val="00780DCA"/>
    <w:rsid w:val="00780F22"/>
    <w:rsid w:val="007810C9"/>
    <w:rsid w:val="007810EB"/>
    <w:rsid w:val="00781905"/>
    <w:rsid w:val="007839B9"/>
    <w:rsid w:val="00783E97"/>
    <w:rsid w:val="00785074"/>
    <w:rsid w:val="007850C8"/>
    <w:rsid w:val="0078564D"/>
    <w:rsid w:val="0078619A"/>
    <w:rsid w:val="00786476"/>
    <w:rsid w:val="0078709D"/>
    <w:rsid w:val="00790243"/>
    <w:rsid w:val="00790F05"/>
    <w:rsid w:val="007921B9"/>
    <w:rsid w:val="00793643"/>
    <w:rsid w:val="0079570A"/>
    <w:rsid w:val="00795920"/>
    <w:rsid w:val="007973B3"/>
    <w:rsid w:val="00797D45"/>
    <w:rsid w:val="007A1328"/>
    <w:rsid w:val="007A19DA"/>
    <w:rsid w:val="007A1A2A"/>
    <w:rsid w:val="007A1A9C"/>
    <w:rsid w:val="007A2E4F"/>
    <w:rsid w:val="007A37DA"/>
    <w:rsid w:val="007A4038"/>
    <w:rsid w:val="007A57F1"/>
    <w:rsid w:val="007A6444"/>
    <w:rsid w:val="007A64ED"/>
    <w:rsid w:val="007A7498"/>
    <w:rsid w:val="007A761A"/>
    <w:rsid w:val="007A76A7"/>
    <w:rsid w:val="007B0D53"/>
    <w:rsid w:val="007B4846"/>
    <w:rsid w:val="007B5FDC"/>
    <w:rsid w:val="007B707A"/>
    <w:rsid w:val="007B7E7B"/>
    <w:rsid w:val="007C0095"/>
    <w:rsid w:val="007C1E97"/>
    <w:rsid w:val="007C287E"/>
    <w:rsid w:val="007C36D4"/>
    <w:rsid w:val="007C3E69"/>
    <w:rsid w:val="007C4004"/>
    <w:rsid w:val="007C4504"/>
    <w:rsid w:val="007C48B9"/>
    <w:rsid w:val="007C6070"/>
    <w:rsid w:val="007C65D5"/>
    <w:rsid w:val="007C674C"/>
    <w:rsid w:val="007D2313"/>
    <w:rsid w:val="007D3660"/>
    <w:rsid w:val="007D4F5B"/>
    <w:rsid w:val="007D518E"/>
    <w:rsid w:val="007D712E"/>
    <w:rsid w:val="007D71E2"/>
    <w:rsid w:val="007D7A4C"/>
    <w:rsid w:val="007D7D03"/>
    <w:rsid w:val="007E1883"/>
    <w:rsid w:val="007E1F4B"/>
    <w:rsid w:val="007E205D"/>
    <w:rsid w:val="007E628A"/>
    <w:rsid w:val="007E634E"/>
    <w:rsid w:val="007E6498"/>
    <w:rsid w:val="007F0790"/>
    <w:rsid w:val="007F1424"/>
    <w:rsid w:val="007F1AAA"/>
    <w:rsid w:val="007F1BA4"/>
    <w:rsid w:val="007F2ADE"/>
    <w:rsid w:val="007F38BD"/>
    <w:rsid w:val="007F4313"/>
    <w:rsid w:val="007F454C"/>
    <w:rsid w:val="007F5DF6"/>
    <w:rsid w:val="007F62EE"/>
    <w:rsid w:val="007F7D08"/>
    <w:rsid w:val="0080146D"/>
    <w:rsid w:val="00801DE5"/>
    <w:rsid w:val="00802BEA"/>
    <w:rsid w:val="00804812"/>
    <w:rsid w:val="00804976"/>
    <w:rsid w:val="00805CAB"/>
    <w:rsid w:val="00807BAD"/>
    <w:rsid w:val="00807BDC"/>
    <w:rsid w:val="00810C54"/>
    <w:rsid w:val="00812950"/>
    <w:rsid w:val="00813511"/>
    <w:rsid w:val="00813774"/>
    <w:rsid w:val="00813984"/>
    <w:rsid w:val="00814A14"/>
    <w:rsid w:val="00815399"/>
    <w:rsid w:val="008166D8"/>
    <w:rsid w:val="00817498"/>
    <w:rsid w:val="0082053D"/>
    <w:rsid w:val="00820DAF"/>
    <w:rsid w:val="00820FAD"/>
    <w:rsid w:val="00821580"/>
    <w:rsid w:val="00821B6B"/>
    <w:rsid w:val="008221F0"/>
    <w:rsid w:val="00823EB0"/>
    <w:rsid w:val="008243CC"/>
    <w:rsid w:val="00825012"/>
    <w:rsid w:val="00825EE7"/>
    <w:rsid w:val="008266A1"/>
    <w:rsid w:val="008308D0"/>
    <w:rsid w:val="00831CA0"/>
    <w:rsid w:val="0083282C"/>
    <w:rsid w:val="00833393"/>
    <w:rsid w:val="00833F45"/>
    <w:rsid w:val="00834064"/>
    <w:rsid w:val="00834BA5"/>
    <w:rsid w:val="0083541B"/>
    <w:rsid w:val="008358C1"/>
    <w:rsid w:val="00835A24"/>
    <w:rsid w:val="00835A3B"/>
    <w:rsid w:val="00835D23"/>
    <w:rsid w:val="00836526"/>
    <w:rsid w:val="00836A39"/>
    <w:rsid w:val="00837908"/>
    <w:rsid w:val="00837D11"/>
    <w:rsid w:val="00837D14"/>
    <w:rsid w:val="008401CE"/>
    <w:rsid w:val="008401F3"/>
    <w:rsid w:val="00840E6E"/>
    <w:rsid w:val="00843011"/>
    <w:rsid w:val="00846328"/>
    <w:rsid w:val="008504AD"/>
    <w:rsid w:val="0085242E"/>
    <w:rsid w:val="00852459"/>
    <w:rsid w:val="00852575"/>
    <w:rsid w:val="008525C6"/>
    <w:rsid w:val="00852638"/>
    <w:rsid w:val="00852F73"/>
    <w:rsid w:val="00854239"/>
    <w:rsid w:val="00855AE4"/>
    <w:rsid w:val="00855E62"/>
    <w:rsid w:val="008567D3"/>
    <w:rsid w:val="00856C6D"/>
    <w:rsid w:val="008602A9"/>
    <w:rsid w:val="00860EC2"/>
    <w:rsid w:val="00861B85"/>
    <w:rsid w:val="00862337"/>
    <w:rsid w:val="00862C01"/>
    <w:rsid w:val="00866355"/>
    <w:rsid w:val="00866E7E"/>
    <w:rsid w:val="00870816"/>
    <w:rsid w:val="00870A4B"/>
    <w:rsid w:val="008730C0"/>
    <w:rsid w:val="00874A97"/>
    <w:rsid w:val="00875663"/>
    <w:rsid w:val="00877389"/>
    <w:rsid w:val="00877EA4"/>
    <w:rsid w:val="00880399"/>
    <w:rsid w:val="00880E46"/>
    <w:rsid w:val="0088144E"/>
    <w:rsid w:val="008814E7"/>
    <w:rsid w:val="0088193E"/>
    <w:rsid w:val="00882296"/>
    <w:rsid w:val="00883CBB"/>
    <w:rsid w:val="00883F99"/>
    <w:rsid w:val="00885477"/>
    <w:rsid w:val="008855DD"/>
    <w:rsid w:val="00885DC2"/>
    <w:rsid w:val="008902F2"/>
    <w:rsid w:val="0089041F"/>
    <w:rsid w:val="0089110F"/>
    <w:rsid w:val="00891C09"/>
    <w:rsid w:val="00891CC7"/>
    <w:rsid w:val="00892810"/>
    <w:rsid w:val="00894111"/>
    <w:rsid w:val="00897088"/>
    <w:rsid w:val="00897365"/>
    <w:rsid w:val="008A0CD0"/>
    <w:rsid w:val="008A0E0D"/>
    <w:rsid w:val="008A1F1D"/>
    <w:rsid w:val="008A2008"/>
    <w:rsid w:val="008A2535"/>
    <w:rsid w:val="008A2DF8"/>
    <w:rsid w:val="008A30A7"/>
    <w:rsid w:val="008A5F7B"/>
    <w:rsid w:val="008A7463"/>
    <w:rsid w:val="008B014C"/>
    <w:rsid w:val="008B01B3"/>
    <w:rsid w:val="008B1115"/>
    <w:rsid w:val="008B2131"/>
    <w:rsid w:val="008B2266"/>
    <w:rsid w:val="008B34B9"/>
    <w:rsid w:val="008B6268"/>
    <w:rsid w:val="008B750D"/>
    <w:rsid w:val="008B7972"/>
    <w:rsid w:val="008C16F6"/>
    <w:rsid w:val="008C4FBC"/>
    <w:rsid w:val="008C5B12"/>
    <w:rsid w:val="008C66F1"/>
    <w:rsid w:val="008D0607"/>
    <w:rsid w:val="008D1EEA"/>
    <w:rsid w:val="008D267C"/>
    <w:rsid w:val="008D3475"/>
    <w:rsid w:val="008D3A62"/>
    <w:rsid w:val="008D4819"/>
    <w:rsid w:val="008D52F8"/>
    <w:rsid w:val="008D6C3A"/>
    <w:rsid w:val="008E0078"/>
    <w:rsid w:val="008E07A5"/>
    <w:rsid w:val="008E1F14"/>
    <w:rsid w:val="008E2B51"/>
    <w:rsid w:val="008E4A65"/>
    <w:rsid w:val="008E4CA3"/>
    <w:rsid w:val="008E5B84"/>
    <w:rsid w:val="008E6EA9"/>
    <w:rsid w:val="008E72E0"/>
    <w:rsid w:val="008E7F0A"/>
    <w:rsid w:val="008F026E"/>
    <w:rsid w:val="008F2D84"/>
    <w:rsid w:val="008F367B"/>
    <w:rsid w:val="008F48AA"/>
    <w:rsid w:val="008F4DD4"/>
    <w:rsid w:val="008F664E"/>
    <w:rsid w:val="008F6CD0"/>
    <w:rsid w:val="008F73EF"/>
    <w:rsid w:val="008F7590"/>
    <w:rsid w:val="008F7A72"/>
    <w:rsid w:val="008F7D7B"/>
    <w:rsid w:val="008F7FD1"/>
    <w:rsid w:val="009018B6"/>
    <w:rsid w:val="00901EC8"/>
    <w:rsid w:val="0090287A"/>
    <w:rsid w:val="009028A5"/>
    <w:rsid w:val="00902CCD"/>
    <w:rsid w:val="00902F48"/>
    <w:rsid w:val="00903080"/>
    <w:rsid w:val="00903660"/>
    <w:rsid w:val="00905809"/>
    <w:rsid w:val="00905B1B"/>
    <w:rsid w:val="009066FE"/>
    <w:rsid w:val="009077C6"/>
    <w:rsid w:val="0091056D"/>
    <w:rsid w:val="00911095"/>
    <w:rsid w:val="0091153F"/>
    <w:rsid w:val="00911F82"/>
    <w:rsid w:val="00912394"/>
    <w:rsid w:val="00912B54"/>
    <w:rsid w:val="00913E7E"/>
    <w:rsid w:val="009173E7"/>
    <w:rsid w:val="00920E8F"/>
    <w:rsid w:val="009211EA"/>
    <w:rsid w:val="00921CC0"/>
    <w:rsid w:val="009226B6"/>
    <w:rsid w:val="00922E21"/>
    <w:rsid w:val="00922F6F"/>
    <w:rsid w:val="009237E5"/>
    <w:rsid w:val="0092397B"/>
    <w:rsid w:val="009240B2"/>
    <w:rsid w:val="009240EA"/>
    <w:rsid w:val="00926D13"/>
    <w:rsid w:val="00930FA5"/>
    <w:rsid w:val="0093184F"/>
    <w:rsid w:val="009325A2"/>
    <w:rsid w:val="00932AB6"/>
    <w:rsid w:val="009344D5"/>
    <w:rsid w:val="00934905"/>
    <w:rsid w:val="00934C46"/>
    <w:rsid w:val="00934CD7"/>
    <w:rsid w:val="00942749"/>
    <w:rsid w:val="0094290D"/>
    <w:rsid w:val="00942D67"/>
    <w:rsid w:val="00944CCC"/>
    <w:rsid w:val="00946F43"/>
    <w:rsid w:val="009472AC"/>
    <w:rsid w:val="00951421"/>
    <w:rsid w:val="00952B37"/>
    <w:rsid w:val="00954655"/>
    <w:rsid w:val="009548F0"/>
    <w:rsid w:val="009600D5"/>
    <w:rsid w:val="009604B0"/>
    <w:rsid w:val="00960CF9"/>
    <w:rsid w:val="00961488"/>
    <w:rsid w:val="009615FC"/>
    <w:rsid w:val="0096166B"/>
    <w:rsid w:val="00963120"/>
    <w:rsid w:val="00963148"/>
    <w:rsid w:val="00964599"/>
    <w:rsid w:val="0096526B"/>
    <w:rsid w:val="00965889"/>
    <w:rsid w:val="009661D9"/>
    <w:rsid w:val="009667DF"/>
    <w:rsid w:val="009667E8"/>
    <w:rsid w:val="009678B8"/>
    <w:rsid w:val="00967CBB"/>
    <w:rsid w:val="0097084F"/>
    <w:rsid w:val="00970E54"/>
    <w:rsid w:val="009718E0"/>
    <w:rsid w:val="009723A2"/>
    <w:rsid w:val="00972C54"/>
    <w:rsid w:val="00972FC8"/>
    <w:rsid w:val="00973273"/>
    <w:rsid w:val="009748EE"/>
    <w:rsid w:val="00975C57"/>
    <w:rsid w:val="00976EFD"/>
    <w:rsid w:val="00983CD8"/>
    <w:rsid w:val="00983F1C"/>
    <w:rsid w:val="00984195"/>
    <w:rsid w:val="009843F1"/>
    <w:rsid w:val="00984DAC"/>
    <w:rsid w:val="00985778"/>
    <w:rsid w:val="00985EA9"/>
    <w:rsid w:val="0098622E"/>
    <w:rsid w:val="00990296"/>
    <w:rsid w:val="00990DC6"/>
    <w:rsid w:val="00993CD9"/>
    <w:rsid w:val="00993EBA"/>
    <w:rsid w:val="00995D9F"/>
    <w:rsid w:val="00997E82"/>
    <w:rsid w:val="009A0245"/>
    <w:rsid w:val="009A343E"/>
    <w:rsid w:val="009A4476"/>
    <w:rsid w:val="009A47F8"/>
    <w:rsid w:val="009A4AB2"/>
    <w:rsid w:val="009A64A3"/>
    <w:rsid w:val="009A69C7"/>
    <w:rsid w:val="009A79E0"/>
    <w:rsid w:val="009B2311"/>
    <w:rsid w:val="009B2F10"/>
    <w:rsid w:val="009B4391"/>
    <w:rsid w:val="009B43B6"/>
    <w:rsid w:val="009B4BC8"/>
    <w:rsid w:val="009B5E28"/>
    <w:rsid w:val="009B5F6C"/>
    <w:rsid w:val="009B6969"/>
    <w:rsid w:val="009B7C47"/>
    <w:rsid w:val="009C11B5"/>
    <w:rsid w:val="009C24B5"/>
    <w:rsid w:val="009C2E59"/>
    <w:rsid w:val="009C336B"/>
    <w:rsid w:val="009C36E5"/>
    <w:rsid w:val="009C44E9"/>
    <w:rsid w:val="009C65CB"/>
    <w:rsid w:val="009D04B3"/>
    <w:rsid w:val="009D5E8A"/>
    <w:rsid w:val="009D6364"/>
    <w:rsid w:val="009D656A"/>
    <w:rsid w:val="009D6943"/>
    <w:rsid w:val="009D6FDA"/>
    <w:rsid w:val="009D7862"/>
    <w:rsid w:val="009E0653"/>
    <w:rsid w:val="009E2CA4"/>
    <w:rsid w:val="009E3114"/>
    <w:rsid w:val="009E43C1"/>
    <w:rsid w:val="009E5095"/>
    <w:rsid w:val="009E603E"/>
    <w:rsid w:val="009E7027"/>
    <w:rsid w:val="009E704F"/>
    <w:rsid w:val="009F04B9"/>
    <w:rsid w:val="009F166D"/>
    <w:rsid w:val="009F19B6"/>
    <w:rsid w:val="009F2919"/>
    <w:rsid w:val="009F29A1"/>
    <w:rsid w:val="009F2BC7"/>
    <w:rsid w:val="009F2F64"/>
    <w:rsid w:val="009F3326"/>
    <w:rsid w:val="009F3854"/>
    <w:rsid w:val="009F54E7"/>
    <w:rsid w:val="009F627F"/>
    <w:rsid w:val="009F668E"/>
    <w:rsid w:val="009F7FCB"/>
    <w:rsid w:val="00A008CA"/>
    <w:rsid w:val="00A01212"/>
    <w:rsid w:val="00A0163E"/>
    <w:rsid w:val="00A037BD"/>
    <w:rsid w:val="00A03EBC"/>
    <w:rsid w:val="00A04DC6"/>
    <w:rsid w:val="00A05CAB"/>
    <w:rsid w:val="00A076E4"/>
    <w:rsid w:val="00A103A7"/>
    <w:rsid w:val="00A114DC"/>
    <w:rsid w:val="00A11C89"/>
    <w:rsid w:val="00A11F8D"/>
    <w:rsid w:val="00A12E55"/>
    <w:rsid w:val="00A157CA"/>
    <w:rsid w:val="00A160CB"/>
    <w:rsid w:val="00A1617D"/>
    <w:rsid w:val="00A169E4"/>
    <w:rsid w:val="00A16F43"/>
    <w:rsid w:val="00A1723A"/>
    <w:rsid w:val="00A17B5B"/>
    <w:rsid w:val="00A17E32"/>
    <w:rsid w:val="00A20680"/>
    <w:rsid w:val="00A22FEB"/>
    <w:rsid w:val="00A23597"/>
    <w:rsid w:val="00A23762"/>
    <w:rsid w:val="00A23D90"/>
    <w:rsid w:val="00A247A5"/>
    <w:rsid w:val="00A258F5"/>
    <w:rsid w:val="00A25977"/>
    <w:rsid w:val="00A25CD4"/>
    <w:rsid w:val="00A30C65"/>
    <w:rsid w:val="00A31EFC"/>
    <w:rsid w:val="00A320AA"/>
    <w:rsid w:val="00A32BA1"/>
    <w:rsid w:val="00A33B27"/>
    <w:rsid w:val="00A35FF7"/>
    <w:rsid w:val="00A369AD"/>
    <w:rsid w:val="00A405D7"/>
    <w:rsid w:val="00A4175D"/>
    <w:rsid w:val="00A42223"/>
    <w:rsid w:val="00A434A3"/>
    <w:rsid w:val="00A436A6"/>
    <w:rsid w:val="00A4567A"/>
    <w:rsid w:val="00A46377"/>
    <w:rsid w:val="00A4680C"/>
    <w:rsid w:val="00A474C3"/>
    <w:rsid w:val="00A47EB9"/>
    <w:rsid w:val="00A47FBB"/>
    <w:rsid w:val="00A50F47"/>
    <w:rsid w:val="00A51FBD"/>
    <w:rsid w:val="00A5259C"/>
    <w:rsid w:val="00A5290E"/>
    <w:rsid w:val="00A535B7"/>
    <w:rsid w:val="00A55D54"/>
    <w:rsid w:val="00A564CE"/>
    <w:rsid w:val="00A57063"/>
    <w:rsid w:val="00A575A2"/>
    <w:rsid w:val="00A60081"/>
    <w:rsid w:val="00A60089"/>
    <w:rsid w:val="00A60ED8"/>
    <w:rsid w:val="00A61362"/>
    <w:rsid w:val="00A62003"/>
    <w:rsid w:val="00A6356A"/>
    <w:rsid w:val="00A63CA2"/>
    <w:rsid w:val="00A70717"/>
    <w:rsid w:val="00A7192B"/>
    <w:rsid w:val="00A71E40"/>
    <w:rsid w:val="00A71FD9"/>
    <w:rsid w:val="00A73F3A"/>
    <w:rsid w:val="00A73FFB"/>
    <w:rsid w:val="00A7476E"/>
    <w:rsid w:val="00A75392"/>
    <w:rsid w:val="00A75394"/>
    <w:rsid w:val="00A7605C"/>
    <w:rsid w:val="00A776D4"/>
    <w:rsid w:val="00A80198"/>
    <w:rsid w:val="00A80C43"/>
    <w:rsid w:val="00A81BFA"/>
    <w:rsid w:val="00A825A9"/>
    <w:rsid w:val="00A828E4"/>
    <w:rsid w:val="00A8386B"/>
    <w:rsid w:val="00A84439"/>
    <w:rsid w:val="00A85418"/>
    <w:rsid w:val="00A85430"/>
    <w:rsid w:val="00A86386"/>
    <w:rsid w:val="00A86A44"/>
    <w:rsid w:val="00A87416"/>
    <w:rsid w:val="00A87D55"/>
    <w:rsid w:val="00A90D70"/>
    <w:rsid w:val="00A92838"/>
    <w:rsid w:val="00A928F2"/>
    <w:rsid w:val="00A92A1E"/>
    <w:rsid w:val="00A94E18"/>
    <w:rsid w:val="00A95366"/>
    <w:rsid w:val="00A95471"/>
    <w:rsid w:val="00A966B5"/>
    <w:rsid w:val="00A967FA"/>
    <w:rsid w:val="00AA0C55"/>
    <w:rsid w:val="00AA1FA9"/>
    <w:rsid w:val="00AA2C49"/>
    <w:rsid w:val="00AA4ABF"/>
    <w:rsid w:val="00AA5009"/>
    <w:rsid w:val="00AA50E9"/>
    <w:rsid w:val="00AA6186"/>
    <w:rsid w:val="00AA6916"/>
    <w:rsid w:val="00AB01E2"/>
    <w:rsid w:val="00AB1B1F"/>
    <w:rsid w:val="00AB2125"/>
    <w:rsid w:val="00AB227A"/>
    <w:rsid w:val="00AB2504"/>
    <w:rsid w:val="00AB2E5D"/>
    <w:rsid w:val="00AB30DC"/>
    <w:rsid w:val="00AB349E"/>
    <w:rsid w:val="00AB35E2"/>
    <w:rsid w:val="00AB567C"/>
    <w:rsid w:val="00AB57E2"/>
    <w:rsid w:val="00AB6D0D"/>
    <w:rsid w:val="00AB7B6D"/>
    <w:rsid w:val="00AC07D5"/>
    <w:rsid w:val="00AC0A89"/>
    <w:rsid w:val="00AC0D64"/>
    <w:rsid w:val="00AC1B2E"/>
    <w:rsid w:val="00AC35BD"/>
    <w:rsid w:val="00AC6877"/>
    <w:rsid w:val="00AC6995"/>
    <w:rsid w:val="00AC7167"/>
    <w:rsid w:val="00AC73FA"/>
    <w:rsid w:val="00AC7E8F"/>
    <w:rsid w:val="00AD0AA0"/>
    <w:rsid w:val="00AD0B13"/>
    <w:rsid w:val="00AD0D96"/>
    <w:rsid w:val="00AD2BA5"/>
    <w:rsid w:val="00AD2F6B"/>
    <w:rsid w:val="00AD3238"/>
    <w:rsid w:val="00AD3A1C"/>
    <w:rsid w:val="00AD3B0A"/>
    <w:rsid w:val="00AD3F81"/>
    <w:rsid w:val="00AD6E0C"/>
    <w:rsid w:val="00AD6E22"/>
    <w:rsid w:val="00AD7AA8"/>
    <w:rsid w:val="00AD7C47"/>
    <w:rsid w:val="00AE1002"/>
    <w:rsid w:val="00AE151F"/>
    <w:rsid w:val="00AE3327"/>
    <w:rsid w:val="00AE3357"/>
    <w:rsid w:val="00AE48DD"/>
    <w:rsid w:val="00AE4CC5"/>
    <w:rsid w:val="00AF18B2"/>
    <w:rsid w:val="00AF1F9C"/>
    <w:rsid w:val="00AF3598"/>
    <w:rsid w:val="00AF3C0C"/>
    <w:rsid w:val="00AF40D4"/>
    <w:rsid w:val="00AF51CC"/>
    <w:rsid w:val="00AF5A2C"/>
    <w:rsid w:val="00AF5FB2"/>
    <w:rsid w:val="00AF6AC2"/>
    <w:rsid w:val="00AF741F"/>
    <w:rsid w:val="00AF79B6"/>
    <w:rsid w:val="00AF7B5A"/>
    <w:rsid w:val="00B01621"/>
    <w:rsid w:val="00B01B76"/>
    <w:rsid w:val="00B040BF"/>
    <w:rsid w:val="00B04590"/>
    <w:rsid w:val="00B04BA9"/>
    <w:rsid w:val="00B05D87"/>
    <w:rsid w:val="00B0619E"/>
    <w:rsid w:val="00B0698A"/>
    <w:rsid w:val="00B07FE8"/>
    <w:rsid w:val="00B10B96"/>
    <w:rsid w:val="00B116C0"/>
    <w:rsid w:val="00B126B0"/>
    <w:rsid w:val="00B14627"/>
    <w:rsid w:val="00B151A7"/>
    <w:rsid w:val="00B16954"/>
    <w:rsid w:val="00B17B0F"/>
    <w:rsid w:val="00B17CE2"/>
    <w:rsid w:val="00B205A0"/>
    <w:rsid w:val="00B2065A"/>
    <w:rsid w:val="00B20F08"/>
    <w:rsid w:val="00B2148C"/>
    <w:rsid w:val="00B217C4"/>
    <w:rsid w:val="00B219CA"/>
    <w:rsid w:val="00B22019"/>
    <w:rsid w:val="00B227FE"/>
    <w:rsid w:val="00B2286A"/>
    <w:rsid w:val="00B23B83"/>
    <w:rsid w:val="00B25481"/>
    <w:rsid w:val="00B26081"/>
    <w:rsid w:val="00B2660B"/>
    <w:rsid w:val="00B26BBF"/>
    <w:rsid w:val="00B26CCB"/>
    <w:rsid w:val="00B271E4"/>
    <w:rsid w:val="00B27554"/>
    <w:rsid w:val="00B27840"/>
    <w:rsid w:val="00B27D61"/>
    <w:rsid w:val="00B3081D"/>
    <w:rsid w:val="00B31257"/>
    <w:rsid w:val="00B31F0F"/>
    <w:rsid w:val="00B35BA6"/>
    <w:rsid w:val="00B369E0"/>
    <w:rsid w:val="00B3729A"/>
    <w:rsid w:val="00B4077A"/>
    <w:rsid w:val="00B413F7"/>
    <w:rsid w:val="00B4186D"/>
    <w:rsid w:val="00B4268C"/>
    <w:rsid w:val="00B4330A"/>
    <w:rsid w:val="00B436C2"/>
    <w:rsid w:val="00B444EE"/>
    <w:rsid w:val="00B44B01"/>
    <w:rsid w:val="00B45C78"/>
    <w:rsid w:val="00B46AD5"/>
    <w:rsid w:val="00B47A3C"/>
    <w:rsid w:val="00B50991"/>
    <w:rsid w:val="00B50F83"/>
    <w:rsid w:val="00B51CD7"/>
    <w:rsid w:val="00B5240F"/>
    <w:rsid w:val="00B532B7"/>
    <w:rsid w:val="00B552E3"/>
    <w:rsid w:val="00B556EE"/>
    <w:rsid w:val="00B557DA"/>
    <w:rsid w:val="00B55818"/>
    <w:rsid w:val="00B55847"/>
    <w:rsid w:val="00B55C7D"/>
    <w:rsid w:val="00B55E9F"/>
    <w:rsid w:val="00B56473"/>
    <w:rsid w:val="00B56A94"/>
    <w:rsid w:val="00B56ED5"/>
    <w:rsid w:val="00B57341"/>
    <w:rsid w:val="00B6021D"/>
    <w:rsid w:val="00B63835"/>
    <w:rsid w:val="00B63A0F"/>
    <w:rsid w:val="00B652FE"/>
    <w:rsid w:val="00B6656E"/>
    <w:rsid w:val="00B7106F"/>
    <w:rsid w:val="00B710A0"/>
    <w:rsid w:val="00B716E0"/>
    <w:rsid w:val="00B72A0C"/>
    <w:rsid w:val="00B72D97"/>
    <w:rsid w:val="00B737AA"/>
    <w:rsid w:val="00B7488E"/>
    <w:rsid w:val="00B7604A"/>
    <w:rsid w:val="00B76358"/>
    <w:rsid w:val="00B76F27"/>
    <w:rsid w:val="00B77A38"/>
    <w:rsid w:val="00B77A9B"/>
    <w:rsid w:val="00B77B8E"/>
    <w:rsid w:val="00B81260"/>
    <w:rsid w:val="00B81447"/>
    <w:rsid w:val="00B831B3"/>
    <w:rsid w:val="00B8331F"/>
    <w:rsid w:val="00B83384"/>
    <w:rsid w:val="00B83573"/>
    <w:rsid w:val="00B84B4A"/>
    <w:rsid w:val="00B859CB"/>
    <w:rsid w:val="00B85B4C"/>
    <w:rsid w:val="00B86C68"/>
    <w:rsid w:val="00B87754"/>
    <w:rsid w:val="00B95AE4"/>
    <w:rsid w:val="00B962FF"/>
    <w:rsid w:val="00BA0B77"/>
    <w:rsid w:val="00BA0C34"/>
    <w:rsid w:val="00BA0DB2"/>
    <w:rsid w:val="00BA2558"/>
    <w:rsid w:val="00BA255B"/>
    <w:rsid w:val="00BA5AC9"/>
    <w:rsid w:val="00BA5D7C"/>
    <w:rsid w:val="00BA738A"/>
    <w:rsid w:val="00BB0B04"/>
    <w:rsid w:val="00BB1EB8"/>
    <w:rsid w:val="00BB293C"/>
    <w:rsid w:val="00BB2F45"/>
    <w:rsid w:val="00BB456F"/>
    <w:rsid w:val="00BB482E"/>
    <w:rsid w:val="00BB4EBE"/>
    <w:rsid w:val="00BB6B57"/>
    <w:rsid w:val="00BC0BE5"/>
    <w:rsid w:val="00BC19B8"/>
    <w:rsid w:val="00BC2BC6"/>
    <w:rsid w:val="00BC3930"/>
    <w:rsid w:val="00BD0CE7"/>
    <w:rsid w:val="00BD1B5E"/>
    <w:rsid w:val="00BD329A"/>
    <w:rsid w:val="00BD5553"/>
    <w:rsid w:val="00BD565F"/>
    <w:rsid w:val="00BD7D90"/>
    <w:rsid w:val="00BE2B8D"/>
    <w:rsid w:val="00BE2BAE"/>
    <w:rsid w:val="00BE31EA"/>
    <w:rsid w:val="00BE6437"/>
    <w:rsid w:val="00BE6A72"/>
    <w:rsid w:val="00BE7B65"/>
    <w:rsid w:val="00BF0379"/>
    <w:rsid w:val="00BF230E"/>
    <w:rsid w:val="00BF2802"/>
    <w:rsid w:val="00BF2B28"/>
    <w:rsid w:val="00BF2EDB"/>
    <w:rsid w:val="00BF317E"/>
    <w:rsid w:val="00BF3CC3"/>
    <w:rsid w:val="00BF4375"/>
    <w:rsid w:val="00BF5919"/>
    <w:rsid w:val="00BF68CA"/>
    <w:rsid w:val="00BF69FC"/>
    <w:rsid w:val="00BF6A4E"/>
    <w:rsid w:val="00BF7B89"/>
    <w:rsid w:val="00BF7CDC"/>
    <w:rsid w:val="00C00170"/>
    <w:rsid w:val="00C01C0E"/>
    <w:rsid w:val="00C0204E"/>
    <w:rsid w:val="00C03D41"/>
    <w:rsid w:val="00C0687A"/>
    <w:rsid w:val="00C0733C"/>
    <w:rsid w:val="00C106E7"/>
    <w:rsid w:val="00C10C19"/>
    <w:rsid w:val="00C13128"/>
    <w:rsid w:val="00C13510"/>
    <w:rsid w:val="00C14721"/>
    <w:rsid w:val="00C14850"/>
    <w:rsid w:val="00C14E67"/>
    <w:rsid w:val="00C15B37"/>
    <w:rsid w:val="00C167E9"/>
    <w:rsid w:val="00C16BC8"/>
    <w:rsid w:val="00C16D85"/>
    <w:rsid w:val="00C21013"/>
    <w:rsid w:val="00C2172C"/>
    <w:rsid w:val="00C22525"/>
    <w:rsid w:val="00C22705"/>
    <w:rsid w:val="00C228E8"/>
    <w:rsid w:val="00C2324A"/>
    <w:rsid w:val="00C2421A"/>
    <w:rsid w:val="00C244CB"/>
    <w:rsid w:val="00C25360"/>
    <w:rsid w:val="00C2688E"/>
    <w:rsid w:val="00C26BCE"/>
    <w:rsid w:val="00C270DC"/>
    <w:rsid w:val="00C30C28"/>
    <w:rsid w:val="00C310D4"/>
    <w:rsid w:val="00C317BC"/>
    <w:rsid w:val="00C31915"/>
    <w:rsid w:val="00C31EC8"/>
    <w:rsid w:val="00C333E0"/>
    <w:rsid w:val="00C3523B"/>
    <w:rsid w:val="00C35E19"/>
    <w:rsid w:val="00C372D0"/>
    <w:rsid w:val="00C379B3"/>
    <w:rsid w:val="00C37B76"/>
    <w:rsid w:val="00C40462"/>
    <w:rsid w:val="00C40BE0"/>
    <w:rsid w:val="00C411DC"/>
    <w:rsid w:val="00C415BB"/>
    <w:rsid w:val="00C4203B"/>
    <w:rsid w:val="00C4481E"/>
    <w:rsid w:val="00C455C8"/>
    <w:rsid w:val="00C470EC"/>
    <w:rsid w:val="00C5071B"/>
    <w:rsid w:val="00C50E35"/>
    <w:rsid w:val="00C50E51"/>
    <w:rsid w:val="00C5239F"/>
    <w:rsid w:val="00C53AF9"/>
    <w:rsid w:val="00C54440"/>
    <w:rsid w:val="00C54778"/>
    <w:rsid w:val="00C54E55"/>
    <w:rsid w:val="00C55A9D"/>
    <w:rsid w:val="00C60816"/>
    <w:rsid w:val="00C61BBA"/>
    <w:rsid w:val="00C61CB7"/>
    <w:rsid w:val="00C62ECC"/>
    <w:rsid w:val="00C63E8D"/>
    <w:rsid w:val="00C645D0"/>
    <w:rsid w:val="00C6597D"/>
    <w:rsid w:val="00C67843"/>
    <w:rsid w:val="00C67E82"/>
    <w:rsid w:val="00C70031"/>
    <w:rsid w:val="00C703DC"/>
    <w:rsid w:val="00C70629"/>
    <w:rsid w:val="00C70BC3"/>
    <w:rsid w:val="00C70CB9"/>
    <w:rsid w:val="00C713F9"/>
    <w:rsid w:val="00C71912"/>
    <w:rsid w:val="00C71CE4"/>
    <w:rsid w:val="00C72AE7"/>
    <w:rsid w:val="00C72FA9"/>
    <w:rsid w:val="00C73569"/>
    <w:rsid w:val="00C74817"/>
    <w:rsid w:val="00C74DB6"/>
    <w:rsid w:val="00C7588F"/>
    <w:rsid w:val="00C75C02"/>
    <w:rsid w:val="00C771BF"/>
    <w:rsid w:val="00C77DEE"/>
    <w:rsid w:val="00C80136"/>
    <w:rsid w:val="00C802FB"/>
    <w:rsid w:val="00C8063D"/>
    <w:rsid w:val="00C81014"/>
    <w:rsid w:val="00C82F9F"/>
    <w:rsid w:val="00C86566"/>
    <w:rsid w:val="00C907A1"/>
    <w:rsid w:val="00C90C7B"/>
    <w:rsid w:val="00C914E4"/>
    <w:rsid w:val="00C93F9B"/>
    <w:rsid w:val="00C94BF8"/>
    <w:rsid w:val="00C950ED"/>
    <w:rsid w:val="00C95167"/>
    <w:rsid w:val="00C96019"/>
    <w:rsid w:val="00C96819"/>
    <w:rsid w:val="00C96EB2"/>
    <w:rsid w:val="00CA04B9"/>
    <w:rsid w:val="00CA0C08"/>
    <w:rsid w:val="00CA2397"/>
    <w:rsid w:val="00CA2A6D"/>
    <w:rsid w:val="00CA3686"/>
    <w:rsid w:val="00CA3760"/>
    <w:rsid w:val="00CA405C"/>
    <w:rsid w:val="00CA4934"/>
    <w:rsid w:val="00CA49C5"/>
    <w:rsid w:val="00CA5A25"/>
    <w:rsid w:val="00CA727D"/>
    <w:rsid w:val="00CA7A25"/>
    <w:rsid w:val="00CB0073"/>
    <w:rsid w:val="00CB082E"/>
    <w:rsid w:val="00CB2FF5"/>
    <w:rsid w:val="00CB3278"/>
    <w:rsid w:val="00CB433E"/>
    <w:rsid w:val="00CB4A6C"/>
    <w:rsid w:val="00CB6C6E"/>
    <w:rsid w:val="00CB7693"/>
    <w:rsid w:val="00CC01B1"/>
    <w:rsid w:val="00CC11D0"/>
    <w:rsid w:val="00CC12D7"/>
    <w:rsid w:val="00CC1831"/>
    <w:rsid w:val="00CC4195"/>
    <w:rsid w:val="00CC54C7"/>
    <w:rsid w:val="00CC56B5"/>
    <w:rsid w:val="00CC5C4B"/>
    <w:rsid w:val="00CC6364"/>
    <w:rsid w:val="00CC64A5"/>
    <w:rsid w:val="00CC76E5"/>
    <w:rsid w:val="00CD24B3"/>
    <w:rsid w:val="00CD2DAA"/>
    <w:rsid w:val="00CD31D8"/>
    <w:rsid w:val="00CD3470"/>
    <w:rsid w:val="00CD457F"/>
    <w:rsid w:val="00CD5F92"/>
    <w:rsid w:val="00CD64C8"/>
    <w:rsid w:val="00CD731B"/>
    <w:rsid w:val="00CD7354"/>
    <w:rsid w:val="00CD7F3E"/>
    <w:rsid w:val="00CE0CE9"/>
    <w:rsid w:val="00CE1659"/>
    <w:rsid w:val="00CE24DF"/>
    <w:rsid w:val="00CE2985"/>
    <w:rsid w:val="00CE2DBB"/>
    <w:rsid w:val="00CE37A8"/>
    <w:rsid w:val="00CE5D34"/>
    <w:rsid w:val="00CE5D6D"/>
    <w:rsid w:val="00CE709D"/>
    <w:rsid w:val="00CF48D4"/>
    <w:rsid w:val="00CF7B7C"/>
    <w:rsid w:val="00CF7D10"/>
    <w:rsid w:val="00D0022C"/>
    <w:rsid w:val="00D008D8"/>
    <w:rsid w:val="00D00DCF"/>
    <w:rsid w:val="00D028FE"/>
    <w:rsid w:val="00D04AD2"/>
    <w:rsid w:val="00D04CAA"/>
    <w:rsid w:val="00D05C9B"/>
    <w:rsid w:val="00D05CE1"/>
    <w:rsid w:val="00D10F9E"/>
    <w:rsid w:val="00D13161"/>
    <w:rsid w:val="00D14BCB"/>
    <w:rsid w:val="00D14DBC"/>
    <w:rsid w:val="00D14F1D"/>
    <w:rsid w:val="00D157D5"/>
    <w:rsid w:val="00D160F6"/>
    <w:rsid w:val="00D16C9A"/>
    <w:rsid w:val="00D16CC9"/>
    <w:rsid w:val="00D17588"/>
    <w:rsid w:val="00D178AA"/>
    <w:rsid w:val="00D201BA"/>
    <w:rsid w:val="00D21657"/>
    <w:rsid w:val="00D21669"/>
    <w:rsid w:val="00D22AE5"/>
    <w:rsid w:val="00D2370F"/>
    <w:rsid w:val="00D23DE6"/>
    <w:rsid w:val="00D25F88"/>
    <w:rsid w:val="00D264AB"/>
    <w:rsid w:val="00D304C8"/>
    <w:rsid w:val="00D307EE"/>
    <w:rsid w:val="00D31164"/>
    <w:rsid w:val="00D32524"/>
    <w:rsid w:val="00D34850"/>
    <w:rsid w:val="00D34D18"/>
    <w:rsid w:val="00D3575D"/>
    <w:rsid w:val="00D36DFD"/>
    <w:rsid w:val="00D37127"/>
    <w:rsid w:val="00D378E9"/>
    <w:rsid w:val="00D37F27"/>
    <w:rsid w:val="00D40593"/>
    <w:rsid w:val="00D408AE"/>
    <w:rsid w:val="00D41292"/>
    <w:rsid w:val="00D42970"/>
    <w:rsid w:val="00D4334D"/>
    <w:rsid w:val="00D46E69"/>
    <w:rsid w:val="00D50004"/>
    <w:rsid w:val="00D5081F"/>
    <w:rsid w:val="00D51595"/>
    <w:rsid w:val="00D523F5"/>
    <w:rsid w:val="00D52FF1"/>
    <w:rsid w:val="00D532D4"/>
    <w:rsid w:val="00D542B3"/>
    <w:rsid w:val="00D55349"/>
    <w:rsid w:val="00D55772"/>
    <w:rsid w:val="00D55DE1"/>
    <w:rsid w:val="00D56AA9"/>
    <w:rsid w:val="00D57489"/>
    <w:rsid w:val="00D5770A"/>
    <w:rsid w:val="00D62A52"/>
    <w:rsid w:val="00D62C3D"/>
    <w:rsid w:val="00D634C0"/>
    <w:rsid w:val="00D64074"/>
    <w:rsid w:val="00D64C2A"/>
    <w:rsid w:val="00D65674"/>
    <w:rsid w:val="00D66D1B"/>
    <w:rsid w:val="00D677A4"/>
    <w:rsid w:val="00D67B1A"/>
    <w:rsid w:val="00D70614"/>
    <w:rsid w:val="00D71270"/>
    <w:rsid w:val="00D712A2"/>
    <w:rsid w:val="00D7141E"/>
    <w:rsid w:val="00D714C0"/>
    <w:rsid w:val="00D74933"/>
    <w:rsid w:val="00D753FB"/>
    <w:rsid w:val="00D76975"/>
    <w:rsid w:val="00D81D3B"/>
    <w:rsid w:val="00D82763"/>
    <w:rsid w:val="00D83C07"/>
    <w:rsid w:val="00D84088"/>
    <w:rsid w:val="00D84EA9"/>
    <w:rsid w:val="00D85723"/>
    <w:rsid w:val="00D85E83"/>
    <w:rsid w:val="00D879BD"/>
    <w:rsid w:val="00D87D61"/>
    <w:rsid w:val="00D921B3"/>
    <w:rsid w:val="00D926D4"/>
    <w:rsid w:val="00D930B6"/>
    <w:rsid w:val="00D9329D"/>
    <w:rsid w:val="00D932B3"/>
    <w:rsid w:val="00D93FC1"/>
    <w:rsid w:val="00D94132"/>
    <w:rsid w:val="00D94F4C"/>
    <w:rsid w:val="00D9630A"/>
    <w:rsid w:val="00D97F2A"/>
    <w:rsid w:val="00DA0A2E"/>
    <w:rsid w:val="00DA1D10"/>
    <w:rsid w:val="00DA1E4D"/>
    <w:rsid w:val="00DA1EA4"/>
    <w:rsid w:val="00DA1F5B"/>
    <w:rsid w:val="00DA242D"/>
    <w:rsid w:val="00DA3CF4"/>
    <w:rsid w:val="00DA5779"/>
    <w:rsid w:val="00DA57EB"/>
    <w:rsid w:val="00DA6833"/>
    <w:rsid w:val="00DA7CDF"/>
    <w:rsid w:val="00DB01CD"/>
    <w:rsid w:val="00DB2AE6"/>
    <w:rsid w:val="00DB61B7"/>
    <w:rsid w:val="00DB6F12"/>
    <w:rsid w:val="00DC165A"/>
    <w:rsid w:val="00DC1949"/>
    <w:rsid w:val="00DC2B2C"/>
    <w:rsid w:val="00DC4500"/>
    <w:rsid w:val="00DC4680"/>
    <w:rsid w:val="00DC4F32"/>
    <w:rsid w:val="00DC530C"/>
    <w:rsid w:val="00DD30FE"/>
    <w:rsid w:val="00DD50EC"/>
    <w:rsid w:val="00DD5CAB"/>
    <w:rsid w:val="00DD61AE"/>
    <w:rsid w:val="00DD63F8"/>
    <w:rsid w:val="00DE44DF"/>
    <w:rsid w:val="00DF08FE"/>
    <w:rsid w:val="00DF0E46"/>
    <w:rsid w:val="00DF1159"/>
    <w:rsid w:val="00DF1C80"/>
    <w:rsid w:val="00DF21BD"/>
    <w:rsid w:val="00DF3291"/>
    <w:rsid w:val="00DF4E81"/>
    <w:rsid w:val="00DF550C"/>
    <w:rsid w:val="00DF5EBB"/>
    <w:rsid w:val="00E00154"/>
    <w:rsid w:val="00E007FA"/>
    <w:rsid w:val="00E01A35"/>
    <w:rsid w:val="00E01D12"/>
    <w:rsid w:val="00E01D1E"/>
    <w:rsid w:val="00E02356"/>
    <w:rsid w:val="00E02D8C"/>
    <w:rsid w:val="00E02F00"/>
    <w:rsid w:val="00E03CD0"/>
    <w:rsid w:val="00E03F1E"/>
    <w:rsid w:val="00E042D3"/>
    <w:rsid w:val="00E0456E"/>
    <w:rsid w:val="00E05E0C"/>
    <w:rsid w:val="00E061FB"/>
    <w:rsid w:val="00E067F8"/>
    <w:rsid w:val="00E107F5"/>
    <w:rsid w:val="00E10864"/>
    <w:rsid w:val="00E1249B"/>
    <w:rsid w:val="00E134C0"/>
    <w:rsid w:val="00E1383D"/>
    <w:rsid w:val="00E147C6"/>
    <w:rsid w:val="00E14953"/>
    <w:rsid w:val="00E14F8C"/>
    <w:rsid w:val="00E17618"/>
    <w:rsid w:val="00E20F51"/>
    <w:rsid w:val="00E229F1"/>
    <w:rsid w:val="00E232C6"/>
    <w:rsid w:val="00E252B5"/>
    <w:rsid w:val="00E26642"/>
    <w:rsid w:val="00E30400"/>
    <w:rsid w:val="00E3119C"/>
    <w:rsid w:val="00E3134B"/>
    <w:rsid w:val="00E31428"/>
    <w:rsid w:val="00E32114"/>
    <w:rsid w:val="00E321A6"/>
    <w:rsid w:val="00E32DAF"/>
    <w:rsid w:val="00E33857"/>
    <w:rsid w:val="00E33CFA"/>
    <w:rsid w:val="00E3407E"/>
    <w:rsid w:val="00E34377"/>
    <w:rsid w:val="00E343FB"/>
    <w:rsid w:val="00E34C36"/>
    <w:rsid w:val="00E34E73"/>
    <w:rsid w:val="00E36142"/>
    <w:rsid w:val="00E371CA"/>
    <w:rsid w:val="00E40077"/>
    <w:rsid w:val="00E40E66"/>
    <w:rsid w:val="00E424BE"/>
    <w:rsid w:val="00E439AF"/>
    <w:rsid w:val="00E45B7D"/>
    <w:rsid w:val="00E47875"/>
    <w:rsid w:val="00E5148A"/>
    <w:rsid w:val="00E51734"/>
    <w:rsid w:val="00E51E2D"/>
    <w:rsid w:val="00E524F1"/>
    <w:rsid w:val="00E52560"/>
    <w:rsid w:val="00E5295A"/>
    <w:rsid w:val="00E52FA4"/>
    <w:rsid w:val="00E54565"/>
    <w:rsid w:val="00E548D3"/>
    <w:rsid w:val="00E54B38"/>
    <w:rsid w:val="00E5503E"/>
    <w:rsid w:val="00E554EC"/>
    <w:rsid w:val="00E55F2E"/>
    <w:rsid w:val="00E57189"/>
    <w:rsid w:val="00E616C7"/>
    <w:rsid w:val="00E619C0"/>
    <w:rsid w:val="00E625D3"/>
    <w:rsid w:val="00E63013"/>
    <w:rsid w:val="00E630E1"/>
    <w:rsid w:val="00E63C74"/>
    <w:rsid w:val="00E63F73"/>
    <w:rsid w:val="00E654BB"/>
    <w:rsid w:val="00E660D3"/>
    <w:rsid w:val="00E673FC"/>
    <w:rsid w:val="00E67A49"/>
    <w:rsid w:val="00E7001F"/>
    <w:rsid w:val="00E709AF"/>
    <w:rsid w:val="00E730FE"/>
    <w:rsid w:val="00E73423"/>
    <w:rsid w:val="00E73546"/>
    <w:rsid w:val="00E73986"/>
    <w:rsid w:val="00E73E5B"/>
    <w:rsid w:val="00E7436C"/>
    <w:rsid w:val="00E754DB"/>
    <w:rsid w:val="00E75DEE"/>
    <w:rsid w:val="00E77B09"/>
    <w:rsid w:val="00E77CA1"/>
    <w:rsid w:val="00E77D21"/>
    <w:rsid w:val="00E77FC3"/>
    <w:rsid w:val="00E8001E"/>
    <w:rsid w:val="00E80031"/>
    <w:rsid w:val="00E81D6C"/>
    <w:rsid w:val="00E82549"/>
    <w:rsid w:val="00E8276D"/>
    <w:rsid w:val="00E82ABB"/>
    <w:rsid w:val="00E847B1"/>
    <w:rsid w:val="00E854F2"/>
    <w:rsid w:val="00E855CA"/>
    <w:rsid w:val="00E911B1"/>
    <w:rsid w:val="00E91B5E"/>
    <w:rsid w:val="00E91D3F"/>
    <w:rsid w:val="00E94FD7"/>
    <w:rsid w:val="00E97F2E"/>
    <w:rsid w:val="00EA0084"/>
    <w:rsid w:val="00EA115B"/>
    <w:rsid w:val="00EA1D0A"/>
    <w:rsid w:val="00EA1EFB"/>
    <w:rsid w:val="00EA279B"/>
    <w:rsid w:val="00EA3755"/>
    <w:rsid w:val="00EA3E49"/>
    <w:rsid w:val="00EA4C4D"/>
    <w:rsid w:val="00EA4E7D"/>
    <w:rsid w:val="00EA4FEC"/>
    <w:rsid w:val="00EA626B"/>
    <w:rsid w:val="00EA6AFA"/>
    <w:rsid w:val="00EB1804"/>
    <w:rsid w:val="00EB1A02"/>
    <w:rsid w:val="00EB2F52"/>
    <w:rsid w:val="00EB416C"/>
    <w:rsid w:val="00EB5C10"/>
    <w:rsid w:val="00EB5F78"/>
    <w:rsid w:val="00EB6849"/>
    <w:rsid w:val="00EB74A0"/>
    <w:rsid w:val="00EB7565"/>
    <w:rsid w:val="00EC08E9"/>
    <w:rsid w:val="00EC0DE4"/>
    <w:rsid w:val="00EC0E3D"/>
    <w:rsid w:val="00EC0F48"/>
    <w:rsid w:val="00EC26B8"/>
    <w:rsid w:val="00EC275A"/>
    <w:rsid w:val="00EC396A"/>
    <w:rsid w:val="00EC42A3"/>
    <w:rsid w:val="00EC5C59"/>
    <w:rsid w:val="00EC6311"/>
    <w:rsid w:val="00EC647F"/>
    <w:rsid w:val="00EC71D6"/>
    <w:rsid w:val="00ED1205"/>
    <w:rsid w:val="00ED1D32"/>
    <w:rsid w:val="00ED2B00"/>
    <w:rsid w:val="00ED3305"/>
    <w:rsid w:val="00ED37F6"/>
    <w:rsid w:val="00ED3CD9"/>
    <w:rsid w:val="00ED43EE"/>
    <w:rsid w:val="00ED48C4"/>
    <w:rsid w:val="00ED52AB"/>
    <w:rsid w:val="00ED6428"/>
    <w:rsid w:val="00ED7B04"/>
    <w:rsid w:val="00EE0415"/>
    <w:rsid w:val="00EE1308"/>
    <w:rsid w:val="00EE1465"/>
    <w:rsid w:val="00EE25D1"/>
    <w:rsid w:val="00EE295C"/>
    <w:rsid w:val="00EE5050"/>
    <w:rsid w:val="00EE6E33"/>
    <w:rsid w:val="00EE7040"/>
    <w:rsid w:val="00EE743F"/>
    <w:rsid w:val="00EE74EF"/>
    <w:rsid w:val="00EE76BB"/>
    <w:rsid w:val="00EE7D06"/>
    <w:rsid w:val="00EF1501"/>
    <w:rsid w:val="00EF2605"/>
    <w:rsid w:val="00EF412E"/>
    <w:rsid w:val="00EF4AA2"/>
    <w:rsid w:val="00EF4F75"/>
    <w:rsid w:val="00EF555D"/>
    <w:rsid w:val="00EF70EA"/>
    <w:rsid w:val="00EF7E13"/>
    <w:rsid w:val="00F00386"/>
    <w:rsid w:val="00F00AA9"/>
    <w:rsid w:val="00F01EB3"/>
    <w:rsid w:val="00F02210"/>
    <w:rsid w:val="00F031A1"/>
    <w:rsid w:val="00F0459D"/>
    <w:rsid w:val="00F0472A"/>
    <w:rsid w:val="00F04B8C"/>
    <w:rsid w:val="00F05A5C"/>
    <w:rsid w:val="00F06D8B"/>
    <w:rsid w:val="00F1122B"/>
    <w:rsid w:val="00F11348"/>
    <w:rsid w:val="00F11672"/>
    <w:rsid w:val="00F116B4"/>
    <w:rsid w:val="00F12427"/>
    <w:rsid w:val="00F13702"/>
    <w:rsid w:val="00F144F9"/>
    <w:rsid w:val="00F15581"/>
    <w:rsid w:val="00F15DD0"/>
    <w:rsid w:val="00F166DF"/>
    <w:rsid w:val="00F174B0"/>
    <w:rsid w:val="00F20542"/>
    <w:rsid w:val="00F20588"/>
    <w:rsid w:val="00F20BD7"/>
    <w:rsid w:val="00F22738"/>
    <w:rsid w:val="00F22A25"/>
    <w:rsid w:val="00F22EFE"/>
    <w:rsid w:val="00F238D6"/>
    <w:rsid w:val="00F256F6"/>
    <w:rsid w:val="00F25838"/>
    <w:rsid w:val="00F26073"/>
    <w:rsid w:val="00F26AB2"/>
    <w:rsid w:val="00F27337"/>
    <w:rsid w:val="00F27810"/>
    <w:rsid w:val="00F308A6"/>
    <w:rsid w:val="00F30F6D"/>
    <w:rsid w:val="00F31C01"/>
    <w:rsid w:val="00F31CE6"/>
    <w:rsid w:val="00F32586"/>
    <w:rsid w:val="00F3296A"/>
    <w:rsid w:val="00F338C2"/>
    <w:rsid w:val="00F35DAA"/>
    <w:rsid w:val="00F379E2"/>
    <w:rsid w:val="00F37F86"/>
    <w:rsid w:val="00F4023E"/>
    <w:rsid w:val="00F40C1A"/>
    <w:rsid w:val="00F410DF"/>
    <w:rsid w:val="00F412EB"/>
    <w:rsid w:val="00F42590"/>
    <w:rsid w:val="00F4278A"/>
    <w:rsid w:val="00F43280"/>
    <w:rsid w:val="00F43938"/>
    <w:rsid w:val="00F44818"/>
    <w:rsid w:val="00F44ADA"/>
    <w:rsid w:val="00F4602F"/>
    <w:rsid w:val="00F500D5"/>
    <w:rsid w:val="00F51149"/>
    <w:rsid w:val="00F5178D"/>
    <w:rsid w:val="00F51AEF"/>
    <w:rsid w:val="00F521A2"/>
    <w:rsid w:val="00F522D8"/>
    <w:rsid w:val="00F52507"/>
    <w:rsid w:val="00F537C9"/>
    <w:rsid w:val="00F54742"/>
    <w:rsid w:val="00F54899"/>
    <w:rsid w:val="00F552EF"/>
    <w:rsid w:val="00F56AFF"/>
    <w:rsid w:val="00F57AAA"/>
    <w:rsid w:val="00F57DC5"/>
    <w:rsid w:val="00F61FDD"/>
    <w:rsid w:val="00F62FA0"/>
    <w:rsid w:val="00F635A4"/>
    <w:rsid w:val="00F6442D"/>
    <w:rsid w:val="00F65C1E"/>
    <w:rsid w:val="00F6644A"/>
    <w:rsid w:val="00F66999"/>
    <w:rsid w:val="00F67A47"/>
    <w:rsid w:val="00F70573"/>
    <w:rsid w:val="00F71B39"/>
    <w:rsid w:val="00F71BAA"/>
    <w:rsid w:val="00F725DF"/>
    <w:rsid w:val="00F72F14"/>
    <w:rsid w:val="00F73DBE"/>
    <w:rsid w:val="00F73E20"/>
    <w:rsid w:val="00F74C39"/>
    <w:rsid w:val="00F7566D"/>
    <w:rsid w:val="00F7581D"/>
    <w:rsid w:val="00F7660D"/>
    <w:rsid w:val="00F77014"/>
    <w:rsid w:val="00F77BA1"/>
    <w:rsid w:val="00F81BD4"/>
    <w:rsid w:val="00F81FE5"/>
    <w:rsid w:val="00F832B2"/>
    <w:rsid w:val="00F83A83"/>
    <w:rsid w:val="00F83B42"/>
    <w:rsid w:val="00F84A1E"/>
    <w:rsid w:val="00F85872"/>
    <w:rsid w:val="00F85F7B"/>
    <w:rsid w:val="00F906F6"/>
    <w:rsid w:val="00F9252F"/>
    <w:rsid w:val="00F933A3"/>
    <w:rsid w:val="00F9363B"/>
    <w:rsid w:val="00F936B1"/>
    <w:rsid w:val="00F978B3"/>
    <w:rsid w:val="00F97B65"/>
    <w:rsid w:val="00F97C7F"/>
    <w:rsid w:val="00F97D68"/>
    <w:rsid w:val="00FA11BB"/>
    <w:rsid w:val="00FA2C64"/>
    <w:rsid w:val="00FA32B4"/>
    <w:rsid w:val="00FA3E0E"/>
    <w:rsid w:val="00FA669E"/>
    <w:rsid w:val="00FB0049"/>
    <w:rsid w:val="00FB07E3"/>
    <w:rsid w:val="00FB0C8D"/>
    <w:rsid w:val="00FB1424"/>
    <w:rsid w:val="00FB18DC"/>
    <w:rsid w:val="00FB23DF"/>
    <w:rsid w:val="00FB2449"/>
    <w:rsid w:val="00FB50D7"/>
    <w:rsid w:val="00FC086F"/>
    <w:rsid w:val="00FC0BC0"/>
    <w:rsid w:val="00FC287C"/>
    <w:rsid w:val="00FC5ED2"/>
    <w:rsid w:val="00FC6639"/>
    <w:rsid w:val="00FC7ADF"/>
    <w:rsid w:val="00FC7C47"/>
    <w:rsid w:val="00FD143D"/>
    <w:rsid w:val="00FD4C2B"/>
    <w:rsid w:val="00FD6097"/>
    <w:rsid w:val="00FE14DC"/>
    <w:rsid w:val="00FE3ABA"/>
    <w:rsid w:val="00FE64F2"/>
    <w:rsid w:val="00FF24C4"/>
    <w:rsid w:val="00FF2D01"/>
    <w:rsid w:val="00FF354D"/>
    <w:rsid w:val="00FF3BE9"/>
    <w:rsid w:val="00FF42BF"/>
    <w:rsid w:val="00FF670A"/>
    <w:rsid w:val="00FF6BDF"/>
    <w:rsid w:val="00FF7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EADFC"/>
  <w15:docId w15:val="{395D0BC3-5F2A-4A33-84D5-B59E63C5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630A"/>
    <w:pPr>
      <w:widowControl w:val="0"/>
      <w:jc w:val="both"/>
    </w:pPr>
  </w:style>
  <w:style w:type="paragraph" w:styleId="1">
    <w:name w:val="heading 1"/>
    <w:basedOn w:val="a"/>
    <w:next w:val="a"/>
    <w:link w:val="10"/>
    <w:uiPriority w:val="9"/>
    <w:qFormat/>
    <w:rsid w:val="00944CCC"/>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F02210"/>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F02210"/>
    <w:rPr>
      <w:rFonts w:ascii="宋体" w:eastAsia="宋体" w:hAnsi="宋体" w:cs="宋体"/>
      <w:b/>
      <w:bCs/>
      <w:kern w:val="0"/>
      <w:sz w:val="36"/>
      <w:szCs w:val="36"/>
    </w:rPr>
  </w:style>
  <w:style w:type="character" w:customStyle="1" w:styleId="HTML">
    <w:name w:val="HTML 预设格式 字符"/>
    <w:basedOn w:val="a0"/>
    <w:link w:val="HTML0"/>
    <w:uiPriority w:val="99"/>
    <w:semiHidden/>
    <w:rsid w:val="00812950"/>
    <w:rPr>
      <w:rFonts w:ascii="宋体" w:eastAsia="宋体" w:hAnsi="宋体" w:cs="宋体"/>
      <w:kern w:val="0"/>
      <w:sz w:val="24"/>
      <w:szCs w:val="24"/>
    </w:rPr>
  </w:style>
  <w:style w:type="character" w:styleId="a3">
    <w:name w:val="Unresolved Mention"/>
    <w:basedOn w:val="a0"/>
    <w:uiPriority w:val="99"/>
    <w:semiHidden/>
    <w:unhideWhenUsed/>
    <w:rsid w:val="001B4F91"/>
    <w:rPr>
      <w:color w:val="605E5C"/>
      <w:shd w:val="clear" w:color="auto" w:fill="E1DFDD"/>
    </w:rPr>
  </w:style>
  <w:style w:type="paragraph" w:styleId="a4">
    <w:name w:val="Balloon Text"/>
    <w:basedOn w:val="a"/>
    <w:link w:val="a5"/>
    <w:uiPriority w:val="99"/>
    <w:semiHidden/>
    <w:unhideWhenUsed/>
    <w:rsid w:val="00F978B3"/>
    <w:rPr>
      <w:sz w:val="18"/>
      <w:szCs w:val="18"/>
    </w:rPr>
  </w:style>
  <w:style w:type="character" w:customStyle="1" w:styleId="a6">
    <w:name w:val="批注文字 字符"/>
    <w:basedOn w:val="a0"/>
    <w:link w:val="a7"/>
    <w:uiPriority w:val="99"/>
    <w:rsid w:val="009018B6"/>
  </w:style>
  <w:style w:type="character" w:styleId="a8">
    <w:name w:val="Hyperlink"/>
    <w:basedOn w:val="a0"/>
    <w:uiPriority w:val="99"/>
    <w:unhideWhenUsed/>
    <w:rsid w:val="001B4F91"/>
    <w:rPr>
      <w:color w:val="0563C1" w:themeColor="hyperlink"/>
      <w:u w:val="single"/>
    </w:rPr>
  </w:style>
  <w:style w:type="paragraph" w:styleId="HTML0">
    <w:name w:val="HTML Preformatted"/>
    <w:basedOn w:val="a"/>
    <w:link w:val="HTML"/>
    <w:uiPriority w:val="99"/>
    <w:semiHidden/>
    <w:unhideWhenUsed/>
    <w:rsid w:val="008129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005Char">
    <w:name w:val="005正文 Char"/>
    <w:link w:val="005"/>
    <w:qFormat/>
    <w:rsid w:val="00556184"/>
    <w:rPr>
      <w:rFonts w:ascii="Times New Roman" w:eastAsia="宋体" w:hAnsi="Times New Roman" w:cs="Times New Roman"/>
      <w:sz w:val="24"/>
    </w:rPr>
  </w:style>
  <w:style w:type="paragraph" w:styleId="a9">
    <w:name w:val="annotation subject"/>
    <w:basedOn w:val="a7"/>
    <w:next w:val="a7"/>
    <w:link w:val="aa"/>
    <w:uiPriority w:val="99"/>
    <w:semiHidden/>
    <w:unhideWhenUsed/>
    <w:rsid w:val="009018B6"/>
    <w:rPr>
      <w:b/>
      <w:bCs/>
    </w:rPr>
  </w:style>
  <w:style w:type="paragraph" w:styleId="ab">
    <w:name w:val="No Spacing"/>
    <w:uiPriority w:val="1"/>
    <w:qFormat/>
    <w:rsid w:val="00432D54"/>
    <w:pPr>
      <w:widowControl w:val="0"/>
      <w:jc w:val="both"/>
    </w:pPr>
    <w:rPr>
      <w:rFonts w:ascii="Calibri" w:eastAsia="宋体" w:hAnsi="Calibri" w:cs="Times New Roman"/>
    </w:rPr>
  </w:style>
  <w:style w:type="character" w:customStyle="1" w:styleId="ac">
    <w:name w:val="页眉 字符"/>
    <w:basedOn w:val="a0"/>
    <w:link w:val="ad"/>
    <w:uiPriority w:val="99"/>
    <w:rsid w:val="002A12A1"/>
    <w:rPr>
      <w:sz w:val="18"/>
      <w:szCs w:val="18"/>
    </w:rPr>
  </w:style>
  <w:style w:type="character" w:customStyle="1" w:styleId="a5">
    <w:name w:val="批注框文本 字符"/>
    <w:basedOn w:val="a0"/>
    <w:link w:val="a4"/>
    <w:uiPriority w:val="99"/>
    <w:semiHidden/>
    <w:rsid w:val="00F978B3"/>
    <w:rPr>
      <w:sz w:val="18"/>
      <w:szCs w:val="18"/>
    </w:rPr>
  </w:style>
  <w:style w:type="paragraph" w:customStyle="1" w:styleId="Default">
    <w:name w:val="Default"/>
    <w:rsid w:val="00B47A3C"/>
    <w:pPr>
      <w:widowControl w:val="0"/>
      <w:autoSpaceDE w:val="0"/>
      <w:autoSpaceDN w:val="0"/>
      <w:adjustRightInd w:val="0"/>
    </w:pPr>
    <w:rPr>
      <w:rFonts w:ascii="宋体" w:eastAsia="宋体" w:cs="宋体"/>
      <w:color w:val="000000"/>
      <w:kern w:val="0"/>
      <w:sz w:val="24"/>
      <w:szCs w:val="24"/>
    </w:rPr>
  </w:style>
  <w:style w:type="paragraph" w:styleId="ae">
    <w:name w:val="List Paragraph"/>
    <w:basedOn w:val="a"/>
    <w:uiPriority w:val="34"/>
    <w:qFormat/>
    <w:rsid w:val="00CA405C"/>
    <w:pPr>
      <w:ind w:firstLineChars="200" w:firstLine="420"/>
    </w:pPr>
  </w:style>
  <w:style w:type="paragraph" w:customStyle="1" w:styleId="005">
    <w:name w:val="005正文"/>
    <w:basedOn w:val="a"/>
    <w:link w:val="005Char"/>
    <w:rsid w:val="00556184"/>
    <w:pPr>
      <w:spacing w:beforeLines="50" w:line="360" w:lineRule="auto"/>
      <w:ind w:firstLineChars="200" w:firstLine="200"/>
    </w:pPr>
    <w:rPr>
      <w:rFonts w:ascii="Times New Roman" w:eastAsia="宋体" w:hAnsi="Times New Roman" w:cs="Times New Roman"/>
      <w:sz w:val="24"/>
    </w:rPr>
  </w:style>
  <w:style w:type="character" w:customStyle="1" w:styleId="af">
    <w:name w:val="页脚 字符"/>
    <w:basedOn w:val="a0"/>
    <w:link w:val="af0"/>
    <w:uiPriority w:val="99"/>
    <w:rsid w:val="002A12A1"/>
    <w:rPr>
      <w:sz w:val="18"/>
      <w:szCs w:val="18"/>
    </w:rPr>
  </w:style>
  <w:style w:type="paragraph" w:styleId="a7">
    <w:name w:val="annotation text"/>
    <w:basedOn w:val="a"/>
    <w:link w:val="a6"/>
    <w:uiPriority w:val="99"/>
    <w:unhideWhenUsed/>
    <w:rsid w:val="009018B6"/>
    <w:pPr>
      <w:jc w:val="left"/>
    </w:pPr>
  </w:style>
  <w:style w:type="paragraph" w:styleId="af1">
    <w:name w:val="Revision"/>
    <w:hidden/>
    <w:uiPriority w:val="99"/>
    <w:semiHidden/>
    <w:rsid w:val="00C74817"/>
  </w:style>
  <w:style w:type="paragraph" w:styleId="af0">
    <w:name w:val="footer"/>
    <w:basedOn w:val="a"/>
    <w:link w:val="af"/>
    <w:uiPriority w:val="99"/>
    <w:unhideWhenUsed/>
    <w:rsid w:val="002A12A1"/>
    <w:pPr>
      <w:tabs>
        <w:tab w:val="center" w:pos="4153"/>
        <w:tab w:val="right" w:pos="8306"/>
      </w:tabs>
      <w:snapToGrid w:val="0"/>
      <w:jc w:val="left"/>
    </w:pPr>
    <w:rPr>
      <w:sz w:val="18"/>
      <w:szCs w:val="18"/>
    </w:rPr>
  </w:style>
  <w:style w:type="character" w:customStyle="1" w:styleId="af2">
    <w:name w:val="正文文本 字符"/>
    <w:basedOn w:val="a0"/>
    <w:link w:val="af3"/>
    <w:uiPriority w:val="1"/>
    <w:rsid w:val="00BD1B5E"/>
    <w:rPr>
      <w:rFonts w:ascii="宋体" w:eastAsia="宋体" w:hAnsi="宋体"/>
      <w:kern w:val="0"/>
      <w:sz w:val="24"/>
      <w:szCs w:val="24"/>
      <w:lang w:eastAsia="en-US"/>
    </w:rPr>
  </w:style>
  <w:style w:type="character" w:styleId="af4">
    <w:name w:val="annotation reference"/>
    <w:basedOn w:val="a0"/>
    <w:uiPriority w:val="99"/>
    <w:semiHidden/>
    <w:unhideWhenUsed/>
    <w:rsid w:val="009018B6"/>
    <w:rPr>
      <w:sz w:val="21"/>
      <w:szCs w:val="21"/>
    </w:rPr>
  </w:style>
  <w:style w:type="character" w:styleId="af5">
    <w:name w:val="FollowedHyperlink"/>
    <w:basedOn w:val="a0"/>
    <w:uiPriority w:val="99"/>
    <w:semiHidden/>
    <w:unhideWhenUsed/>
    <w:rsid w:val="00934CD7"/>
    <w:rPr>
      <w:color w:val="954F72" w:themeColor="followedHyperlink"/>
      <w:u w:val="single"/>
    </w:rPr>
  </w:style>
  <w:style w:type="paragraph" w:styleId="af6">
    <w:name w:val="Normal (Web)"/>
    <w:basedOn w:val="a"/>
    <w:uiPriority w:val="99"/>
    <w:semiHidden/>
    <w:unhideWhenUsed/>
    <w:rsid w:val="004C3CB0"/>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link w:val="1"/>
    <w:uiPriority w:val="9"/>
    <w:rsid w:val="00944CCC"/>
    <w:rPr>
      <w:b/>
      <w:bCs/>
      <w:kern w:val="44"/>
      <w:sz w:val="44"/>
      <w:szCs w:val="44"/>
    </w:rPr>
  </w:style>
  <w:style w:type="character" w:styleId="af7">
    <w:name w:val="Strong"/>
    <w:basedOn w:val="a0"/>
    <w:uiPriority w:val="22"/>
    <w:qFormat/>
    <w:rsid w:val="001C2BC1"/>
    <w:rPr>
      <w:b/>
      <w:bCs/>
    </w:rPr>
  </w:style>
  <w:style w:type="character" w:customStyle="1" w:styleId="aa">
    <w:name w:val="批注主题 字符"/>
    <w:basedOn w:val="a6"/>
    <w:link w:val="a9"/>
    <w:uiPriority w:val="99"/>
    <w:semiHidden/>
    <w:rsid w:val="009018B6"/>
    <w:rPr>
      <w:b/>
      <w:bCs/>
    </w:rPr>
  </w:style>
  <w:style w:type="paragraph" w:styleId="af3">
    <w:name w:val="Body Text"/>
    <w:basedOn w:val="a"/>
    <w:link w:val="af2"/>
    <w:uiPriority w:val="1"/>
    <w:qFormat/>
    <w:rsid w:val="00BD1B5E"/>
    <w:pPr>
      <w:ind w:left="120"/>
      <w:jc w:val="left"/>
    </w:pPr>
    <w:rPr>
      <w:rFonts w:ascii="宋体" w:eastAsia="宋体" w:hAnsi="宋体"/>
      <w:kern w:val="0"/>
      <w:sz w:val="24"/>
      <w:szCs w:val="24"/>
      <w:lang w:eastAsia="en-US"/>
    </w:rPr>
  </w:style>
  <w:style w:type="paragraph" w:styleId="ad">
    <w:name w:val="header"/>
    <w:basedOn w:val="a"/>
    <w:link w:val="ac"/>
    <w:uiPriority w:val="99"/>
    <w:unhideWhenUsed/>
    <w:rsid w:val="002A12A1"/>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朱奕奕</dc:creator>
  <cp:lastModifiedBy>李硕</cp:lastModifiedBy>
  <cp:revision>4</cp:revision>
  <dcterms:created xsi:type="dcterms:W3CDTF">2026-10-09T06:09:00Z</dcterms:created>
  <dcterms:modified xsi:type="dcterms:W3CDTF">2026-10-09T06:23:00Z</dcterms:modified>
</cp:coreProperties>
</file>