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4BFAB">
      <w:pPr>
        <w:pStyle w:val="2"/>
        <w:rPr>
          <w:rFonts w:hint="default" w:ascii="宋体" w:hAnsi="宋体" w:eastAsia="宋体" w:cs="宋体"/>
          <w:sz w:val="24"/>
          <w:szCs w:val="24"/>
          <w:lang w:val="en-US" w:eastAsia="zh-CN"/>
        </w:rPr>
      </w:pPr>
      <w:r>
        <w:rPr>
          <w:rFonts w:hint="eastAsia" w:ascii="宋体" w:hAnsi="宋体" w:eastAsia="宋体" w:cs="宋体"/>
          <w:sz w:val="24"/>
          <w:szCs w:val="24"/>
          <w:lang w:val="en-US"/>
        </w:rPr>
        <w:t>证券代码：</w:t>
      </w:r>
      <w:r>
        <w:rPr>
          <w:rFonts w:hint="eastAsia" w:ascii="宋体" w:hAnsi="宋体" w:eastAsia="宋体" w:cs="宋体"/>
          <w:sz w:val="24"/>
          <w:szCs w:val="24"/>
          <w:lang w:val="en-US" w:eastAsia="zh-CN"/>
        </w:rPr>
        <w:t>603210</w:t>
      </w:r>
      <w:r>
        <w:rPr>
          <w:rFonts w:hint="eastAsia" w:ascii="宋体" w:hAnsi="宋体" w:eastAsia="宋体" w:cs="宋体"/>
          <w:sz w:val="24"/>
          <w:szCs w:val="24"/>
          <w:lang w:val="en-US"/>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en-US"/>
        </w:rPr>
        <w:t>证券简称：</w:t>
      </w:r>
      <w:r>
        <w:rPr>
          <w:rFonts w:hint="eastAsia" w:ascii="宋体" w:hAnsi="宋体" w:eastAsia="宋体" w:cs="宋体"/>
          <w:sz w:val="24"/>
          <w:szCs w:val="24"/>
          <w:lang w:val="en-US" w:eastAsia="zh-CN"/>
        </w:rPr>
        <w:t>泰鸿万立</w:t>
      </w:r>
    </w:p>
    <w:p w14:paraId="5819429B">
      <w:pPr>
        <w:spacing w:line="360" w:lineRule="auto"/>
        <w:jc w:val="center"/>
        <w:rPr>
          <w:rFonts w:ascii="宋体" w:hAnsi="宋体" w:eastAsia="宋体" w:cs="宋体"/>
          <w:b/>
          <w:bCs/>
          <w:sz w:val="24"/>
          <w:szCs w:val="24"/>
        </w:rPr>
      </w:pPr>
    </w:p>
    <w:p w14:paraId="7F24D42B">
      <w:pPr>
        <w:spacing w:line="360" w:lineRule="auto"/>
        <w:jc w:val="center"/>
        <w:rPr>
          <w:rFonts w:ascii="宋体" w:hAnsi="宋体" w:eastAsia="宋体" w:cs="宋体"/>
          <w:b/>
          <w:bCs/>
          <w:sz w:val="36"/>
          <w:szCs w:val="36"/>
        </w:rPr>
      </w:pPr>
      <w:r>
        <w:rPr>
          <w:rFonts w:hint="eastAsia" w:ascii="宋体" w:hAnsi="宋体" w:eastAsia="宋体" w:cs="宋体"/>
          <w:b/>
          <w:bCs/>
          <w:sz w:val="36"/>
          <w:szCs w:val="36"/>
        </w:rPr>
        <w:t>浙江泰鸿万立科技股份有限公司</w:t>
      </w:r>
    </w:p>
    <w:p w14:paraId="68D06A0B">
      <w:pPr>
        <w:spacing w:line="360" w:lineRule="auto"/>
        <w:jc w:val="center"/>
        <w:rPr>
          <w:rFonts w:ascii="宋体" w:hAnsi="宋体" w:eastAsia="宋体" w:cs="宋体"/>
          <w:sz w:val="32"/>
          <w:szCs w:val="32"/>
        </w:rPr>
      </w:pPr>
      <w:r>
        <w:rPr>
          <w:rFonts w:hint="eastAsia" w:ascii="宋体" w:hAnsi="宋体" w:eastAsia="宋体" w:cs="宋体"/>
          <w:b/>
          <w:bCs/>
          <w:sz w:val="36"/>
          <w:szCs w:val="36"/>
        </w:rPr>
        <w:t>投资者关系活动记录表</w:t>
      </w:r>
    </w:p>
    <w:p w14:paraId="54F3FE70">
      <w:pPr>
        <w:spacing w:before="51" w:after="32"/>
        <w:ind w:right="619"/>
        <w:jc w:val="right"/>
        <w:rPr>
          <w:rFonts w:hint="default" w:ascii="宋体" w:hAnsi="宋体" w:eastAsia="宋体" w:cs="宋体"/>
          <w:sz w:val="24"/>
          <w:szCs w:val="24"/>
          <w:lang w:val="en-US" w:eastAsia="zh-CN"/>
        </w:rPr>
      </w:pPr>
      <w:r>
        <w:rPr>
          <w:rFonts w:hint="eastAsia" w:ascii="宋体" w:hAnsi="宋体" w:eastAsia="宋体" w:cs="宋体"/>
          <w:sz w:val="24"/>
          <w:szCs w:val="24"/>
        </w:rPr>
        <w:t>编号：</w:t>
      </w:r>
      <w:r>
        <w:rPr>
          <w:rFonts w:hint="eastAsia" w:ascii="宋体" w:hAnsi="宋体" w:eastAsia="宋体" w:cs="宋体"/>
          <w:sz w:val="24"/>
          <w:szCs w:val="24"/>
          <w:lang w:val="en-US"/>
        </w:rPr>
        <w:t>2026</w:t>
      </w:r>
      <w:r>
        <w:rPr>
          <w:rFonts w:hint="eastAsia" w:ascii="宋体" w:hAnsi="宋体" w:eastAsia="宋体" w:cs="宋体"/>
          <w:sz w:val="24"/>
          <w:szCs w:val="24"/>
        </w:rPr>
        <w:t>-</w:t>
      </w:r>
      <w:r>
        <w:rPr>
          <w:rFonts w:hint="eastAsia" w:ascii="宋体" w:hAnsi="宋体" w:eastAsia="宋体" w:cs="宋体"/>
          <w:sz w:val="24"/>
          <w:szCs w:val="24"/>
          <w:lang w:val="en-US" w:eastAsia="zh-CN"/>
        </w:rPr>
        <w:t>009</w:t>
      </w:r>
    </w:p>
    <w:tbl>
      <w:tblPr>
        <w:tblStyle w:val="9"/>
        <w:tblW w:w="85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1988"/>
        <w:gridCol w:w="6588"/>
      </w:tblGrid>
      <w:tr w14:paraId="42DE0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1988" w:type="dxa"/>
            <w:vAlign w:val="center"/>
          </w:tcPr>
          <w:p w14:paraId="06928971">
            <w:pPr>
              <w:pStyle w:val="12"/>
              <w:spacing w:before="7" w:line="240" w:lineRule="auto"/>
              <w:jc w:val="center"/>
              <w:rPr>
                <w:rFonts w:hint="default" w:ascii="Times New Roman" w:hAnsi="Times New Roman" w:eastAsia="宋体" w:cs="Times New Roman"/>
                <w:b/>
                <w:bCs/>
                <w:sz w:val="24"/>
                <w:szCs w:val="24"/>
              </w:rPr>
            </w:pPr>
          </w:p>
          <w:p w14:paraId="002D7281">
            <w:pPr>
              <w:pStyle w:val="12"/>
              <w:spacing w:before="1" w:line="240" w:lineRule="auto"/>
              <w:ind w:left="107"/>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投资者关系活动类别</w:t>
            </w:r>
          </w:p>
        </w:tc>
        <w:tc>
          <w:tcPr>
            <w:tcW w:w="6588" w:type="dxa"/>
            <w:vAlign w:val="center"/>
          </w:tcPr>
          <w:p w14:paraId="7CA9A1FC">
            <w:pPr>
              <w:pStyle w:val="12"/>
              <w:spacing w:before="7" w:line="240" w:lineRule="auto"/>
              <w:jc w:val="both"/>
              <w:rPr>
                <w:rFonts w:hint="default" w:ascii="Times New Roman" w:hAnsi="Times New Roman" w:eastAsia="宋体" w:cs="Times New Roman"/>
                <w:sz w:val="24"/>
                <w:szCs w:val="24"/>
              </w:rPr>
            </w:pPr>
          </w:p>
          <w:p w14:paraId="1CF2BB68">
            <w:pPr>
              <w:pStyle w:val="12"/>
              <w:tabs>
                <w:tab w:val="left" w:pos="2418"/>
              </w:tabs>
              <w:spacing w:before="1" w:line="240" w:lineRule="auto"/>
              <w:ind w:left="107"/>
              <w:jc w:val="both"/>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249780449"/>
                <w14:checkbox>
                  <w14:checked w14:val="1"/>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Wingdings 2" w:hAnsi="Wingdings 2" w:eastAsia="宋体" w:cs="Times New Roman"/>
                    <w:sz w:val="24"/>
                    <w:szCs w:val="24"/>
                    <w:lang w:val="zh-CN" w:eastAsia="zh-CN" w:bidi="zh-CN"/>
                  </w:rPr>
                  <w:t>R</w:t>
                </w:r>
              </w:sdtContent>
            </w:sdt>
            <w:r>
              <w:rPr>
                <w:rFonts w:hint="default" w:ascii="Times New Roman" w:hAnsi="Times New Roman" w:eastAsia="宋体" w:cs="Times New Roman"/>
                <w:sz w:val="24"/>
                <w:szCs w:val="24"/>
              </w:rPr>
              <w:t>特</w:t>
            </w:r>
            <w:r>
              <w:rPr>
                <w:rFonts w:hint="default" w:ascii="Times New Roman" w:hAnsi="Times New Roman" w:eastAsia="宋体" w:cs="Times New Roman"/>
                <w:spacing w:val="-3"/>
                <w:sz w:val="24"/>
                <w:szCs w:val="24"/>
              </w:rPr>
              <w:t>定</w:t>
            </w:r>
            <w:r>
              <w:rPr>
                <w:rFonts w:hint="default" w:ascii="Times New Roman" w:hAnsi="Times New Roman" w:eastAsia="宋体" w:cs="Times New Roman"/>
                <w:sz w:val="24"/>
                <w:szCs w:val="24"/>
              </w:rPr>
              <w:t>对</w:t>
            </w:r>
            <w:r>
              <w:rPr>
                <w:rFonts w:hint="default" w:ascii="Times New Roman" w:hAnsi="Times New Roman" w:eastAsia="宋体" w:cs="Times New Roman"/>
                <w:spacing w:val="-3"/>
                <w:sz w:val="24"/>
                <w:szCs w:val="24"/>
              </w:rPr>
              <w:t>象</w:t>
            </w:r>
            <w:r>
              <w:rPr>
                <w:rFonts w:hint="default" w:ascii="Times New Roman" w:hAnsi="Times New Roman" w:eastAsia="宋体" w:cs="Times New Roman"/>
                <w:sz w:val="24"/>
                <w:szCs w:val="24"/>
              </w:rPr>
              <w:t>调研</w:t>
            </w:r>
            <w:r>
              <w:rPr>
                <w:rFonts w:hint="default" w:ascii="Times New Roman" w:hAnsi="Times New Roman" w:eastAsia="宋体" w:cs="Times New Roman"/>
                <w:sz w:val="24"/>
                <w:szCs w:val="24"/>
              </w:rPr>
              <w:tab/>
            </w:r>
            <w:sdt>
              <w:sdtPr>
                <w:rPr>
                  <w:rFonts w:hint="default" w:ascii="Times New Roman" w:hAnsi="Times New Roman" w:eastAsia="宋体" w:cs="Times New Roman"/>
                  <w:sz w:val="24"/>
                  <w:szCs w:val="24"/>
                </w:rPr>
                <w:id w:val="-416875725"/>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分</w:t>
            </w:r>
            <w:r>
              <w:rPr>
                <w:rFonts w:hint="default" w:ascii="Times New Roman" w:hAnsi="Times New Roman" w:eastAsia="宋体" w:cs="Times New Roman"/>
                <w:spacing w:val="-3"/>
                <w:sz w:val="24"/>
                <w:szCs w:val="24"/>
              </w:rPr>
              <w:t>析</w:t>
            </w:r>
            <w:r>
              <w:rPr>
                <w:rFonts w:hint="default" w:ascii="Times New Roman" w:hAnsi="Times New Roman" w:eastAsia="宋体" w:cs="Times New Roman"/>
                <w:sz w:val="24"/>
                <w:szCs w:val="24"/>
              </w:rPr>
              <w:t>师</w:t>
            </w:r>
            <w:r>
              <w:rPr>
                <w:rFonts w:hint="default" w:ascii="Times New Roman" w:hAnsi="Times New Roman" w:eastAsia="宋体" w:cs="Times New Roman"/>
                <w:spacing w:val="-3"/>
                <w:sz w:val="24"/>
                <w:szCs w:val="24"/>
              </w:rPr>
              <w:t>会</w:t>
            </w:r>
            <w:r>
              <w:rPr>
                <w:rFonts w:hint="default" w:ascii="Times New Roman" w:hAnsi="Times New Roman" w:eastAsia="宋体" w:cs="Times New Roman"/>
                <w:sz w:val="24"/>
                <w:szCs w:val="24"/>
              </w:rPr>
              <w:t>议</w:t>
            </w:r>
          </w:p>
          <w:p w14:paraId="5B87038B">
            <w:pPr>
              <w:pStyle w:val="12"/>
              <w:spacing w:before="11" w:line="240" w:lineRule="auto"/>
              <w:jc w:val="both"/>
              <w:rPr>
                <w:rFonts w:hint="default" w:ascii="Times New Roman" w:hAnsi="Times New Roman" w:eastAsia="宋体" w:cs="Times New Roman"/>
                <w:sz w:val="24"/>
                <w:szCs w:val="24"/>
              </w:rPr>
            </w:pPr>
          </w:p>
          <w:p w14:paraId="629B6D5B">
            <w:pPr>
              <w:pStyle w:val="12"/>
              <w:tabs>
                <w:tab w:val="left" w:pos="2418"/>
              </w:tabs>
              <w:spacing w:line="240" w:lineRule="auto"/>
              <w:ind w:left="107"/>
              <w:jc w:val="both"/>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1206906014"/>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MS Gothic" w:hAnsi="MS Gothic" w:eastAsia="宋体" w:cs="Times New Roman"/>
                    <w:sz w:val="24"/>
                    <w:szCs w:val="24"/>
                    <w:lang w:val="zh-CN" w:eastAsia="zh-CN" w:bidi="zh-CN"/>
                  </w:rPr>
                  <w:t>☐</w:t>
                </w:r>
              </w:sdtContent>
            </w:sdt>
            <w:r>
              <w:rPr>
                <w:rFonts w:hint="default" w:ascii="Times New Roman" w:hAnsi="Times New Roman" w:eastAsia="宋体" w:cs="Times New Roman"/>
                <w:sz w:val="24"/>
                <w:szCs w:val="24"/>
              </w:rPr>
              <w:t>媒</w:t>
            </w:r>
            <w:r>
              <w:rPr>
                <w:rFonts w:hint="default" w:ascii="Times New Roman" w:hAnsi="Times New Roman" w:eastAsia="宋体" w:cs="Times New Roman"/>
                <w:spacing w:val="-3"/>
                <w:sz w:val="24"/>
                <w:szCs w:val="24"/>
              </w:rPr>
              <w:t>体</w:t>
            </w:r>
            <w:r>
              <w:rPr>
                <w:rFonts w:hint="default" w:ascii="Times New Roman" w:hAnsi="Times New Roman" w:eastAsia="宋体" w:cs="Times New Roman"/>
                <w:sz w:val="24"/>
                <w:szCs w:val="24"/>
              </w:rPr>
              <w:t>采访</w:t>
            </w:r>
            <w:r>
              <w:rPr>
                <w:rFonts w:hint="default" w:ascii="Times New Roman" w:hAnsi="Times New Roman" w:eastAsia="宋体" w:cs="Times New Roman"/>
                <w:sz w:val="24"/>
                <w:szCs w:val="24"/>
              </w:rPr>
              <w:tab/>
            </w:r>
            <w:sdt>
              <w:sdtPr>
                <w:rPr>
                  <w:rFonts w:hint="default" w:ascii="Times New Roman" w:hAnsi="Times New Roman" w:eastAsia="宋体" w:cs="Times New Roman"/>
                  <w:sz w:val="24"/>
                  <w:szCs w:val="24"/>
                </w:rPr>
                <w:id w:val="-66658901"/>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MS Gothic" w:hAnsi="MS Gothic" w:eastAsia="宋体" w:cs="Times New Roman"/>
                    <w:sz w:val="24"/>
                    <w:szCs w:val="24"/>
                    <w:lang w:val="zh-CN" w:eastAsia="zh-CN" w:bidi="zh-CN"/>
                  </w:rPr>
                  <w:t>☐</w:t>
                </w:r>
              </w:sdtContent>
            </w:sdt>
            <w:r>
              <w:rPr>
                <w:rFonts w:hint="default" w:ascii="Times New Roman" w:hAnsi="Times New Roman" w:eastAsia="宋体" w:cs="Times New Roman"/>
                <w:sz w:val="24"/>
                <w:szCs w:val="24"/>
              </w:rPr>
              <w:t>业</w:t>
            </w:r>
            <w:r>
              <w:rPr>
                <w:rFonts w:hint="default" w:ascii="Times New Roman" w:hAnsi="Times New Roman" w:eastAsia="宋体" w:cs="Times New Roman"/>
                <w:spacing w:val="-3"/>
                <w:sz w:val="24"/>
                <w:szCs w:val="24"/>
              </w:rPr>
              <w:t>绩</w:t>
            </w:r>
            <w:r>
              <w:rPr>
                <w:rFonts w:hint="default" w:ascii="Times New Roman" w:hAnsi="Times New Roman" w:eastAsia="宋体" w:cs="Times New Roman"/>
                <w:sz w:val="24"/>
                <w:szCs w:val="24"/>
              </w:rPr>
              <w:t>说</w:t>
            </w:r>
            <w:r>
              <w:rPr>
                <w:rFonts w:hint="default" w:ascii="Times New Roman" w:hAnsi="Times New Roman" w:eastAsia="宋体" w:cs="Times New Roman"/>
                <w:spacing w:val="-3"/>
                <w:sz w:val="24"/>
                <w:szCs w:val="24"/>
              </w:rPr>
              <w:t>明</w:t>
            </w:r>
            <w:r>
              <w:rPr>
                <w:rFonts w:hint="default" w:ascii="Times New Roman" w:hAnsi="Times New Roman" w:eastAsia="宋体" w:cs="Times New Roman"/>
                <w:sz w:val="24"/>
                <w:szCs w:val="24"/>
              </w:rPr>
              <w:t>会</w:t>
            </w:r>
          </w:p>
          <w:p w14:paraId="4E8CA940">
            <w:pPr>
              <w:pStyle w:val="12"/>
              <w:spacing w:before="8" w:line="240" w:lineRule="auto"/>
              <w:jc w:val="both"/>
              <w:rPr>
                <w:rFonts w:hint="default" w:ascii="Times New Roman" w:hAnsi="Times New Roman" w:eastAsia="宋体" w:cs="Times New Roman"/>
                <w:sz w:val="24"/>
                <w:szCs w:val="24"/>
              </w:rPr>
            </w:pPr>
          </w:p>
          <w:p w14:paraId="51DA2843">
            <w:pPr>
              <w:pStyle w:val="12"/>
              <w:tabs>
                <w:tab w:val="left" w:pos="2418"/>
              </w:tabs>
              <w:spacing w:line="240" w:lineRule="auto"/>
              <w:ind w:left="107"/>
              <w:jc w:val="both"/>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1848167434"/>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新</w:t>
            </w:r>
            <w:r>
              <w:rPr>
                <w:rFonts w:hint="default" w:ascii="Times New Roman" w:hAnsi="Times New Roman" w:eastAsia="宋体" w:cs="Times New Roman"/>
                <w:spacing w:val="-3"/>
                <w:sz w:val="24"/>
                <w:szCs w:val="24"/>
              </w:rPr>
              <w:t>闻</w:t>
            </w:r>
            <w:r>
              <w:rPr>
                <w:rFonts w:hint="default" w:ascii="Times New Roman" w:hAnsi="Times New Roman" w:eastAsia="宋体" w:cs="Times New Roman"/>
                <w:sz w:val="24"/>
                <w:szCs w:val="24"/>
              </w:rPr>
              <w:t>发</w:t>
            </w:r>
            <w:r>
              <w:rPr>
                <w:rFonts w:hint="default" w:ascii="Times New Roman" w:hAnsi="Times New Roman" w:eastAsia="宋体" w:cs="Times New Roman"/>
                <w:spacing w:val="-3"/>
                <w:sz w:val="24"/>
                <w:szCs w:val="24"/>
              </w:rPr>
              <w:t>布</w:t>
            </w:r>
            <w:r>
              <w:rPr>
                <w:rFonts w:hint="default" w:ascii="Times New Roman" w:hAnsi="Times New Roman" w:eastAsia="宋体" w:cs="Times New Roman"/>
                <w:sz w:val="24"/>
                <w:szCs w:val="24"/>
              </w:rPr>
              <w:t>会</w:t>
            </w:r>
            <w:r>
              <w:rPr>
                <w:rFonts w:hint="default" w:ascii="Times New Roman" w:hAnsi="Times New Roman" w:eastAsia="宋体" w:cs="Times New Roman"/>
                <w:sz w:val="24"/>
                <w:szCs w:val="24"/>
              </w:rPr>
              <w:tab/>
            </w:r>
            <w:sdt>
              <w:sdtPr>
                <w:rPr>
                  <w:rFonts w:hint="default" w:ascii="Times New Roman" w:hAnsi="Times New Roman" w:eastAsia="宋体" w:cs="Times New Roman"/>
                  <w:sz w:val="24"/>
                  <w:szCs w:val="24"/>
                </w:rPr>
                <w:id w:val="412049691"/>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路</w:t>
            </w:r>
            <w:r>
              <w:rPr>
                <w:rFonts w:hint="default" w:ascii="Times New Roman" w:hAnsi="Times New Roman" w:eastAsia="宋体" w:cs="Times New Roman"/>
                <w:spacing w:val="-3"/>
                <w:sz w:val="24"/>
                <w:szCs w:val="24"/>
              </w:rPr>
              <w:t>演</w:t>
            </w:r>
            <w:r>
              <w:rPr>
                <w:rFonts w:hint="default" w:ascii="Times New Roman" w:hAnsi="Times New Roman" w:eastAsia="宋体" w:cs="Times New Roman"/>
                <w:sz w:val="24"/>
                <w:szCs w:val="24"/>
              </w:rPr>
              <w:t>活动</w:t>
            </w:r>
          </w:p>
          <w:p w14:paraId="40B6F073">
            <w:pPr>
              <w:pStyle w:val="12"/>
              <w:spacing w:before="8" w:line="240" w:lineRule="auto"/>
              <w:jc w:val="both"/>
              <w:rPr>
                <w:rFonts w:hint="default" w:ascii="Times New Roman" w:hAnsi="Times New Roman" w:eastAsia="宋体" w:cs="Times New Roman"/>
                <w:sz w:val="24"/>
                <w:szCs w:val="24"/>
              </w:rPr>
            </w:pPr>
          </w:p>
          <w:p w14:paraId="7DB7D7FF">
            <w:pPr>
              <w:pStyle w:val="12"/>
              <w:spacing w:line="240" w:lineRule="auto"/>
              <w:ind w:left="107"/>
              <w:jc w:val="both"/>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1333366911"/>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现场参观</w:t>
            </w:r>
          </w:p>
          <w:p w14:paraId="2B29EB90">
            <w:pPr>
              <w:pStyle w:val="12"/>
              <w:spacing w:before="11" w:line="240" w:lineRule="auto"/>
              <w:jc w:val="both"/>
              <w:rPr>
                <w:rFonts w:hint="default" w:ascii="Times New Roman" w:hAnsi="Times New Roman" w:eastAsia="宋体" w:cs="Times New Roman"/>
                <w:sz w:val="24"/>
                <w:szCs w:val="24"/>
              </w:rPr>
            </w:pPr>
          </w:p>
          <w:p w14:paraId="177B1D83">
            <w:pPr>
              <w:pStyle w:val="12"/>
              <w:spacing w:line="240" w:lineRule="auto"/>
              <w:ind w:left="107"/>
              <w:jc w:val="both"/>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400885218"/>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其他（</w:t>
            </w:r>
            <w:r>
              <w:rPr>
                <w:rFonts w:hint="default" w:ascii="Times New Roman" w:hAnsi="Times New Roman" w:eastAsia="宋体" w:cs="Times New Roman"/>
                <w:sz w:val="24"/>
                <w:szCs w:val="24"/>
                <w:u w:val="single"/>
              </w:rPr>
              <w:t>请文字说明其他活动内容）</w:t>
            </w:r>
          </w:p>
        </w:tc>
      </w:tr>
      <w:tr w14:paraId="43F89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1988" w:type="dxa"/>
            <w:vAlign w:val="center"/>
          </w:tcPr>
          <w:p w14:paraId="513D8D0C">
            <w:pPr>
              <w:pStyle w:val="12"/>
              <w:spacing w:line="240" w:lineRule="auto"/>
              <w:ind w:left="107" w:right="96"/>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参与单位名称</w:t>
            </w:r>
          </w:p>
        </w:tc>
        <w:tc>
          <w:tcPr>
            <w:tcW w:w="6588" w:type="dxa"/>
            <w:vAlign w:val="center"/>
          </w:tcPr>
          <w:p w14:paraId="7BC578A8">
            <w:pPr>
              <w:pStyle w:val="12"/>
              <w:keepNext w:val="0"/>
              <w:keepLines w:val="0"/>
              <w:pageBreakBefore w:val="0"/>
              <w:widowControl w:val="0"/>
              <w:kinsoku/>
              <w:wordWrap/>
              <w:overflowPunct/>
              <w:topLinePunct w:val="0"/>
              <w:autoSpaceDE w:val="0"/>
              <w:autoSpaceDN w:val="0"/>
              <w:bidi w:val="0"/>
              <w:adjustRightInd/>
              <w:snapToGrid/>
              <w:spacing w:before="100" w:beforeAutospacing="1" w:line="24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汇安基金</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建信养老金</w:t>
            </w:r>
            <w:r>
              <w:rPr>
                <w:rFonts w:hint="eastAsia" w:ascii="Times New Roman" w:hAnsi="Times New Roman" w:eastAsia="宋体" w:cs="Times New Roman"/>
                <w:sz w:val="24"/>
                <w:szCs w:val="24"/>
                <w:lang w:val="en-US" w:eastAsia="zh-CN"/>
              </w:rPr>
              <w:t>、泰信基金、中加基金、华富基金、华商基金、中邮证券</w:t>
            </w:r>
            <w:bookmarkStart w:id="0" w:name="_GoBack"/>
            <w:bookmarkEnd w:id="0"/>
          </w:p>
        </w:tc>
      </w:tr>
      <w:tr w14:paraId="641F3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988" w:type="dxa"/>
            <w:vAlign w:val="center"/>
          </w:tcPr>
          <w:p w14:paraId="23E802C7">
            <w:pPr>
              <w:pStyle w:val="12"/>
              <w:spacing w:line="240" w:lineRule="auto"/>
              <w:ind w:left="107"/>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时间</w:t>
            </w:r>
          </w:p>
        </w:tc>
        <w:tc>
          <w:tcPr>
            <w:tcW w:w="6588" w:type="dxa"/>
            <w:vAlign w:val="center"/>
          </w:tcPr>
          <w:p w14:paraId="4DF3B216">
            <w:pPr>
              <w:keepNext w:val="0"/>
              <w:keepLines w:val="0"/>
              <w:pageBreakBefore w:val="0"/>
              <w:widowControl w:val="0"/>
              <w:kinsoku/>
              <w:wordWrap/>
              <w:overflowPunct/>
              <w:topLinePunct w:val="0"/>
              <w:autoSpaceDE w:val="0"/>
              <w:autoSpaceDN w:val="0"/>
              <w:bidi w:val="0"/>
              <w:adjustRightInd/>
              <w:snapToGrid/>
              <w:spacing w:before="100" w:beforeAutospacing="1" w:line="24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2026年</w:t>
            </w:r>
            <w:r>
              <w:rPr>
                <w:rFonts w:hint="eastAsia" w:ascii="Times New Roman" w:hAnsi="Times New Roman" w:eastAsia="宋体" w:cs="Times New Roman"/>
                <w:sz w:val="24"/>
                <w:szCs w:val="24"/>
                <w:lang w:val="en-US" w:eastAsia="zh-CN"/>
              </w:rPr>
              <w:t>10</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日 1</w:t>
            </w:r>
            <w:r>
              <w:rPr>
                <w:rFonts w:hint="eastAsia" w:ascii="Times New Roman" w:hAnsi="Times New Roman" w:eastAsia="宋体" w:cs="Times New Roman"/>
                <w:sz w:val="24"/>
                <w:szCs w:val="24"/>
                <w:lang w:val="en-US" w:eastAsia="zh-CN"/>
              </w:rPr>
              <w:t>0</w:t>
            </w:r>
            <w:r>
              <w:rPr>
                <w:rFonts w:hint="default" w:ascii="Times New Roman" w:hAnsi="Times New Roman" w:eastAsia="宋体" w:cs="Times New Roman"/>
                <w:sz w:val="24"/>
                <w:szCs w:val="24"/>
              </w:rPr>
              <w:t>:00-1</w:t>
            </w:r>
            <w:r>
              <w:rPr>
                <w:rFonts w:hint="eastAsia"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:00</w:t>
            </w:r>
          </w:p>
        </w:tc>
      </w:tr>
      <w:tr w14:paraId="61DBB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988" w:type="dxa"/>
            <w:vAlign w:val="center"/>
          </w:tcPr>
          <w:p w14:paraId="61968BE3">
            <w:pPr>
              <w:pStyle w:val="12"/>
              <w:spacing w:line="240" w:lineRule="auto"/>
              <w:ind w:left="107"/>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地点</w:t>
            </w:r>
          </w:p>
        </w:tc>
        <w:tc>
          <w:tcPr>
            <w:tcW w:w="6588" w:type="dxa"/>
            <w:vAlign w:val="center"/>
          </w:tcPr>
          <w:p w14:paraId="719ACCBC">
            <w:pPr>
              <w:pStyle w:val="12"/>
              <w:keepNext w:val="0"/>
              <w:keepLines w:val="0"/>
              <w:pageBreakBefore w:val="0"/>
              <w:widowControl w:val="0"/>
              <w:kinsoku/>
              <w:wordWrap/>
              <w:overflowPunct/>
              <w:topLinePunct w:val="0"/>
              <w:autoSpaceDE w:val="0"/>
              <w:autoSpaceDN w:val="0"/>
              <w:bidi w:val="0"/>
              <w:adjustRightInd/>
              <w:snapToGrid/>
              <w:spacing w:before="100" w:beforeAutospacing="1" w:line="240" w:lineRule="auto"/>
              <w:jc w:val="both"/>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bCs/>
                <w:iCs/>
                <w:color w:val="000000"/>
                <w:sz w:val="24"/>
                <w:szCs w:val="24"/>
                <w:lang w:val="en-US" w:eastAsia="zh-CN"/>
              </w:rPr>
              <w:t>电话会议</w:t>
            </w:r>
          </w:p>
        </w:tc>
      </w:tr>
      <w:tr w14:paraId="0ED6F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988" w:type="dxa"/>
            <w:vAlign w:val="center"/>
          </w:tcPr>
          <w:p w14:paraId="151C8CCF">
            <w:pPr>
              <w:pStyle w:val="12"/>
              <w:spacing w:before="1" w:line="360" w:lineRule="auto"/>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上市公司接待人员姓名</w:t>
            </w:r>
          </w:p>
        </w:tc>
        <w:tc>
          <w:tcPr>
            <w:tcW w:w="6588" w:type="dxa"/>
            <w:vAlign w:val="center"/>
          </w:tcPr>
          <w:p w14:paraId="1023BE19">
            <w:pPr>
              <w:pStyle w:val="12"/>
              <w:keepNext w:val="0"/>
              <w:keepLines w:val="0"/>
              <w:pageBreakBefore w:val="0"/>
              <w:widowControl w:val="0"/>
              <w:kinsoku/>
              <w:wordWrap/>
              <w:overflowPunct/>
              <w:topLinePunct w:val="0"/>
              <w:autoSpaceDE w:val="0"/>
              <w:autoSpaceDN w:val="0"/>
              <w:bidi w:val="0"/>
              <w:adjustRightInd/>
              <w:snapToGrid/>
              <w:spacing w:beforeAutospacing="0" w:line="240" w:lineRule="auto"/>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董事、财务总监 吴建夏</w:t>
            </w:r>
            <w:r>
              <w:rPr>
                <w:rFonts w:hint="default" w:ascii="Times New Roman" w:hAnsi="Times New Roman" w:eastAsia="宋体" w:cs="Times New Roman"/>
                <w:sz w:val="24"/>
                <w:szCs w:val="24"/>
              </w:rPr>
              <w:br w:type="textWrapping"/>
            </w:r>
            <w:r>
              <w:rPr>
                <w:rFonts w:hint="default" w:ascii="Times New Roman" w:hAnsi="Times New Roman" w:eastAsia="宋体" w:cs="Times New Roman"/>
                <w:sz w:val="24"/>
                <w:szCs w:val="24"/>
              </w:rPr>
              <w:t>董事、董事会秘书 胡伟杰</w:t>
            </w:r>
            <w:r>
              <w:rPr>
                <w:rFonts w:hint="default" w:ascii="Times New Roman" w:hAnsi="Times New Roman" w:eastAsia="宋体" w:cs="Times New Roman"/>
                <w:sz w:val="24"/>
                <w:szCs w:val="24"/>
              </w:rPr>
              <w:br w:type="textWrapping"/>
            </w:r>
            <w:r>
              <w:rPr>
                <w:rFonts w:hint="eastAsia" w:ascii="Times New Roman" w:hAnsi="Times New Roman" w:eastAsia="宋体" w:cs="Times New Roman"/>
                <w:sz w:val="24"/>
                <w:szCs w:val="24"/>
                <w:lang w:val="en-US" w:eastAsia="zh-CN"/>
              </w:rPr>
              <w:t>研发总监</w:t>
            </w:r>
            <w:r>
              <w:rPr>
                <w:rFonts w:hint="default" w:ascii="Times New Roman" w:hAnsi="Times New Roman" w:eastAsia="宋体" w:cs="Times New Roman"/>
                <w:sz w:val="24"/>
                <w:szCs w:val="24"/>
              </w:rPr>
              <w:t xml:space="preserve"> </w:t>
            </w:r>
            <w:r>
              <w:rPr>
                <w:rFonts w:hint="eastAsia" w:ascii="Times New Roman" w:hAnsi="Times New Roman" w:eastAsia="宋体" w:cs="Times New Roman"/>
                <w:sz w:val="24"/>
                <w:szCs w:val="24"/>
                <w:lang w:val="en-US" w:eastAsia="zh-CN"/>
              </w:rPr>
              <w:t>严达品</w:t>
            </w:r>
          </w:p>
          <w:p w14:paraId="59D0A42F">
            <w:pPr>
              <w:keepNext w:val="0"/>
              <w:keepLines w:val="0"/>
              <w:pageBreakBefore w:val="0"/>
              <w:widowControl w:val="0"/>
              <w:kinsoku/>
              <w:wordWrap/>
              <w:overflowPunct/>
              <w:topLinePunct w:val="0"/>
              <w:autoSpaceDE w:val="0"/>
              <w:autoSpaceDN w:val="0"/>
              <w:bidi w:val="0"/>
              <w:adjustRightInd/>
              <w:snapToGrid/>
              <w:spacing w:beforeAutospacing="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证券事务代表 林宇航</w:t>
            </w:r>
          </w:p>
        </w:tc>
      </w:tr>
      <w:tr w14:paraId="72A83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699" w:hRule="atLeast"/>
          <w:jc w:val="center"/>
        </w:trPr>
        <w:tc>
          <w:tcPr>
            <w:tcW w:w="1988" w:type="dxa"/>
            <w:vAlign w:val="center"/>
          </w:tcPr>
          <w:p w14:paraId="7A28CF16">
            <w:pPr>
              <w:pStyle w:val="12"/>
              <w:spacing w:line="360" w:lineRule="auto"/>
              <w:jc w:val="center"/>
              <w:rPr>
                <w:rFonts w:hint="default" w:ascii="Times New Roman" w:hAnsi="Times New Roman" w:eastAsia="宋体" w:cs="Times New Roman"/>
                <w:b/>
                <w:bCs/>
                <w:sz w:val="24"/>
                <w:szCs w:val="24"/>
              </w:rPr>
            </w:pPr>
          </w:p>
          <w:p w14:paraId="1E3E8D3D">
            <w:pPr>
              <w:pStyle w:val="12"/>
              <w:spacing w:line="360" w:lineRule="auto"/>
              <w:jc w:val="center"/>
              <w:rPr>
                <w:rFonts w:hint="default" w:ascii="Times New Roman" w:hAnsi="Times New Roman" w:eastAsia="宋体" w:cs="Times New Roman"/>
                <w:b/>
                <w:bCs/>
                <w:sz w:val="24"/>
                <w:szCs w:val="24"/>
              </w:rPr>
            </w:pPr>
          </w:p>
          <w:p w14:paraId="527F853D">
            <w:pPr>
              <w:pStyle w:val="12"/>
              <w:spacing w:before="5" w:line="360" w:lineRule="auto"/>
              <w:jc w:val="center"/>
              <w:rPr>
                <w:rFonts w:hint="default" w:ascii="Times New Roman" w:hAnsi="Times New Roman" w:eastAsia="宋体" w:cs="Times New Roman"/>
                <w:b/>
                <w:bCs/>
                <w:sz w:val="24"/>
                <w:szCs w:val="24"/>
              </w:rPr>
            </w:pPr>
          </w:p>
          <w:p w14:paraId="281658BC">
            <w:pPr>
              <w:pStyle w:val="12"/>
              <w:spacing w:before="1" w:line="360" w:lineRule="auto"/>
              <w:ind w:left="107" w:right="96"/>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投资者关系活动主要内容介绍</w:t>
            </w:r>
          </w:p>
        </w:tc>
        <w:tc>
          <w:tcPr>
            <w:tcW w:w="6588" w:type="dxa"/>
          </w:tcPr>
          <w:p w14:paraId="2E8AE5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一、公司董事会秘书胡伟杰向调研对象介绍了公司基本情况：</w:t>
            </w:r>
          </w:p>
          <w:p w14:paraId="0597E4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泰鸿万立自设立以来专注于汽车/电池/储能等领域相关结构件产品、以及汽车踏板总成、加油/充电口盖总成、防撞梁、铰链、限位器等功能件产品的研发、制造。公司持续提升经营管理、技术创新、生产制造、市场营销等综合实力，不断拓展市场、优化客户结构，已成为吉利、长城、小米、某北美头部新能源车企、理想、沃尔沃、奇瑞、大众、丰田、小鹏、蔚来、上汽、广汽、领跑、通用五菱、宁德时代、海斯坦普等众多国内外知名整车厂和大型零部件企业的合作伙伴。近年来，公司不断提高经营管理水平，加强成本控制，全力抢抓市场机遇，，加大研发创新投入，积极推动自动化、数字化和智能制造系统建设，已成为行业内知名的零部件企业。</w:t>
            </w:r>
          </w:p>
          <w:p w14:paraId="32CECC6B">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b/>
                <w:bCs/>
                <w:sz w:val="24"/>
                <w:szCs w:val="24"/>
              </w:rPr>
            </w:pPr>
          </w:p>
          <w:p w14:paraId="42843ECB">
            <w:pPr>
              <w:keepNext w:val="0"/>
              <w:keepLines w:val="0"/>
              <w:pageBreakBefore w:val="0"/>
              <w:widowControl/>
              <w:kinsoku/>
              <w:wordWrap/>
              <w:overflowPunct/>
              <w:topLinePunct/>
              <w:autoSpaceDE/>
              <w:autoSpaceDN/>
              <w:bidi w:val="0"/>
              <w:adjustRightInd/>
              <w:snapToGrid/>
              <w:spacing w:line="240" w:lineRule="auto"/>
              <w:ind w:firstLine="0" w:firstLineChars="0"/>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二、公司董事会秘书就投资者提问作出相应回复，主要如下：</w:t>
            </w:r>
          </w:p>
          <w:p w14:paraId="6B311056">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问题一：公司</w:t>
            </w:r>
            <w:r>
              <w:rPr>
                <w:rFonts w:hint="eastAsia" w:ascii="Times New Roman" w:hAnsi="Times New Roman" w:eastAsia="宋体" w:cs="Times New Roman"/>
                <w:b/>
                <w:bCs/>
                <w:sz w:val="24"/>
                <w:szCs w:val="24"/>
                <w:lang w:val="en-US" w:eastAsia="zh-CN"/>
              </w:rPr>
              <w:t>制</w:t>
            </w:r>
            <w:r>
              <w:rPr>
                <w:rFonts w:hint="default" w:ascii="Times New Roman" w:hAnsi="Times New Roman" w:eastAsia="宋体" w:cs="Times New Roman"/>
                <w:b/>
                <w:bCs/>
                <w:sz w:val="24"/>
                <w:szCs w:val="24"/>
              </w:rPr>
              <w:t>动踏板总成产品年销售大概多少、产品布局及市场竞争格局如何？</w:t>
            </w:r>
          </w:p>
          <w:p w14:paraId="5975DB7B">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答：制动踏板总成是公司的主要功能件产品之一，公司配备有专业的研发、生产团队，在该产品上投入了大量的研发、试验和制造工艺方面的资源。公司踏板总成产品年销售量约1</w:t>
            </w:r>
            <w:r>
              <w:rPr>
                <w:rFonts w:hint="eastAsia"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0万台</w:t>
            </w:r>
            <w:r>
              <w:rPr>
                <w:rFonts w:hint="eastAsia" w:ascii="Times New Roman" w:hAnsi="Times New Roman" w:eastAsia="宋体" w:cs="Times New Roman"/>
                <w:sz w:val="24"/>
                <w:szCs w:val="24"/>
                <w:lang w:val="en-US" w:eastAsia="zh-CN"/>
              </w:rPr>
              <w:t>左右</w:t>
            </w:r>
            <w:r>
              <w:rPr>
                <w:rFonts w:hint="default" w:ascii="Times New Roman" w:hAnsi="Times New Roman" w:eastAsia="宋体" w:cs="Times New Roman"/>
                <w:sz w:val="24"/>
                <w:szCs w:val="24"/>
              </w:rPr>
              <w:t>，主要配套吉利、长城、理想、小米、广汽丰田</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广汽</w:t>
            </w:r>
            <w:r>
              <w:rPr>
                <w:rFonts w:hint="default" w:ascii="Times New Roman" w:hAnsi="Times New Roman" w:eastAsia="宋体" w:cs="Times New Roman"/>
                <w:sz w:val="24"/>
                <w:szCs w:val="24"/>
              </w:rPr>
              <w:t>埃安、蔚来汽车等。公司生产的制动踏板总成长期通过台架试验、整车厂路试，深受客户认可。</w:t>
            </w:r>
          </w:p>
          <w:p w14:paraId="45117B35">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p>
          <w:p w14:paraId="564C59E4">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问题二：踏板产品中复合材料应用情况如何？轻量化设计能减少多少重量？</w:t>
            </w:r>
          </w:p>
          <w:p w14:paraId="03EFEBB1">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答：根据电车续航里程等需求，轻量化技术的应用准备增加，汽车整车厂和零部件企业在产品材料应用、产品结构等进行积极的创新和升级，复合材料应用也逐步增加。制动踏板等产品材料由原来的金属材料为主逐步发展为金属、金属与复合材料相结合、复合材料等多种形式。纯复合材料的制动踏板较金属材料的制动踏板减重效果较为明显。</w:t>
            </w:r>
          </w:p>
          <w:p w14:paraId="0554F902">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p>
          <w:p w14:paraId="14459D9C">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问题</w:t>
            </w:r>
            <w:r>
              <w:rPr>
                <w:rFonts w:hint="eastAsia" w:ascii="Times New Roman" w:hAnsi="Times New Roman" w:eastAsia="宋体" w:cs="Times New Roman"/>
                <w:b/>
                <w:bCs/>
                <w:sz w:val="24"/>
                <w:szCs w:val="24"/>
                <w:lang w:val="en-US" w:eastAsia="zh-CN"/>
              </w:rPr>
              <w:t>三</w:t>
            </w:r>
            <w:r>
              <w:rPr>
                <w:rFonts w:hint="default" w:ascii="Times New Roman" w:hAnsi="Times New Roman" w:eastAsia="宋体" w:cs="Times New Roman"/>
                <w:b/>
                <w:bCs/>
                <w:sz w:val="24"/>
                <w:szCs w:val="24"/>
              </w:rPr>
              <w:t>：公司今年新增的80多个定点项目对今年下半年到明年的营收影响如何？主要有哪些客户？</w:t>
            </w:r>
          </w:p>
          <w:p w14:paraId="2A6F6FDA">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答：公司高度重视新客户和新项目开发工作，且具备和客户同步开发的能力，整车厂新项目开发需要较长的周期，根据客户开发计划，公司今年承接的新项目将于2027年及以后时间陆续量产；新项目涉及吉利、长城、某北美头部新能源车企、小米、理想等众多现有客户。</w:t>
            </w:r>
          </w:p>
          <w:p w14:paraId="1B739315">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p>
          <w:p w14:paraId="2FE38DF1">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问题</w:t>
            </w:r>
            <w:r>
              <w:rPr>
                <w:rFonts w:hint="eastAsia" w:ascii="Times New Roman" w:hAnsi="Times New Roman" w:eastAsia="宋体" w:cs="Times New Roman"/>
                <w:b/>
                <w:bCs/>
                <w:sz w:val="24"/>
                <w:szCs w:val="24"/>
                <w:lang w:val="en-US" w:eastAsia="zh-CN"/>
              </w:rPr>
              <w:t>四</w:t>
            </w:r>
            <w:r>
              <w:rPr>
                <w:rFonts w:hint="default" w:ascii="Times New Roman" w:hAnsi="Times New Roman" w:eastAsia="宋体" w:cs="Times New Roman"/>
                <w:b/>
                <w:bCs/>
                <w:sz w:val="24"/>
                <w:szCs w:val="24"/>
              </w:rPr>
              <w:t>：面对汽车行业市场竞争加剧的情况，公司如何实现营收和利润的双增长？</w:t>
            </w:r>
          </w:p>
          <w:p w14:paraId="6AB7FFFB">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答：一方面，凭借研发创新、制造交付、成本控制和管理等方面的综合能力，公司持续加强客户开拓与维护，客户数量逐年增加，客户结构不断优化，为长期发展奠定扎实基础。另一方面，公司高度重视提质增效，不断为客户和股东创造价值，在生产自动化、质量管控、成本控制、技术创新等方面不断提升，通过优化供应链管理、推进精益生产等方式，确保了产品的竞争力和业绩空间。</w:t>
            </w:r>
          </w:p>
          <w:p w14:paraId="4D2CC040">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p>
          <w:p w14:paraId="0593EBB2">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问题</w:t>
            </w:r>
            <w:r>
              <w:rPr>
                <w:rFonts w:hint="eastAsia" w:ascii="Times New Roman" w:hAnsi="Times New Roman" w:eastAsia="宋体" w:cs="Times New Roman"/>
                <w:b/>
                <w:bCs/>
                <w:sz w:val="24"/>
                <w:szCs w:val="24"/>
                <w:lang w:val="en-US" w:eastAsia="zh-CN"/>
              </w:rPr>
              <w:t>五</w:t>
            </w:r>
            <w:r>
              <w:rPr>
                <w:rFonts w:hint="default" w:ascii="Times New Roman" w:hAnsi="Times New Roman" w:eastAsia="宋体" w:cs="Times New Roman"/>
                <w:b/>
                <w:bCs/>
                <w:sz w:val="24"/>
                <w:szCs w:val="24"/>
              </w:rPr>
              <w:t>：公司原材料核价机制是怎样的？</w:t>
            </w:r>
          </w:p>
          <w:p w14:paraId="394CFC8E">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答：公司产品主要原材料为铝材和钢材，不同客户对于材料价格波动的应对机制存在差异性，部分客户采用集采或价格联动模式，材料价格波动对公司相应业务的利润</w:t>
            </w:r>
            <w:r>
              <w:rPr>
                <w:rFonts w:hint="eastAsia" w:ascii="Times New Roman" w:hAnsi="Times New Roman" w:eastAsia="宋体" w:cs="Times New Roman"/>
                <w:sz w:val="24"/>
                <w:szCs w:val="24"/>
                <w:lang w:val="en-US" w:eastAsia="zh-CN"/>
              </w:rPr>
              <w:t>影响</w:t>
            </w:r>
            <w:r>
              <w:rPr>
                <w:rFonts w:hint="default" w:ascii="Times New Roman" w:hAnsi="Times New Roman" w:eastAsia="宋体" w:cs="Times New Roman"/>
                <w:sz w:val="24"/>
                <w:szCs w:val="24"/>
              </w:rPr>
              <w:t>相对较小；其余客户方面，由于公司深耕行业20余年，对市场及材料价格变化较为敏感，一般会根据市场情况，在年初通过锁价等方式积极规避原材料价格波动风险，确保业绩稳定。</w:t>
            </w:r>
          </w:p>
          <w:p w14:paraId="16294155">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p>
          <w:p w14:paraId="0BA9A151">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问题</w:t>
            </w:r>
            <w:r>
              <w:rPr>
                <w:rFonts w:hint="eastAsia" w:ascii="Times New Roman" w:hAnsi="Times New Roman" w:eastAsia="宋体" w:cs="Times New Roman"/>
                <w:b/>
                <w:bCs/>
                <w:sz w:val="24"/>
                <w:szCs w:val="24"/>
                <w:lang w:val="en-US" w:eastAsia="zh-CN"/>
              </w:rPr>
              <w:t>六</w:t>
            </w:r>
            <w:r>
              <w:rPr>
                <w:rFonts w:hint="default" w:ascii="Times New Roman" w:hAnsi="Times New Roman" w:eastAsia="宋体" w:cs="Times New Roman"/>
                <w:b/>
                <w:bCs/>
                <w:sz w:val="24"/>
                <w:szCs w:val="24"/>
              </w:rPr>
              <w:t>：公司海外业务布局如何？是否考虑海外建厂扩大产能？</w:t>
            </w:r>
          </w:p>
          <w:p w14:paraId="47129361">
            <w:pPr>
              <w:keepNext w:val="0"/>
              <w:keepLines w:val="0"/>
              <w:pageBreakBefore w:val="0"/>
              <w:widowControl/>
              <w:kinsoku/>
              <w:wordWrap/>
              <w:overflowPunct/>
              <w:topLinePunct/>
              <w:autoSpaceDE w:val="0"/>
              <w:autoSpaceDN w:val="0"/>
              <w:bidi w:val="0"/>
              <w:adjustRightInd/>
              <w:snapToGrid/>
              <w:jc w:val="both"/>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答：</w:t>
            </w:r>
            <w:r>
              <w:rPr>
                <w:rFonts w:hint="default" w:ascii="Times New Roman" w:hAnsi="Times New Roman" w:eastAsia="宋体" w:cs="Times New Roman"/>
                <w:sz w:val="24"/>
                <w:szCs w:val="24"/>
              </w:rPr>
              <w:t>目前，公司以国内市场为主，产品出口主要通过客户整车出口，直接出口业务占比较小。未来将根据海外市场业务情况及客户产能布局等决定是否在海外建立生产基地。</w:t>
            </w:r>
          </w:p>
        </w:tc>
      </w:tr>
      <w:tr w14:paraId="598CF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1988" w:type="dxa"/>
            <w:vAlign w:val="center"/>
          </w:tcPr>
          <w:p w14:paraId="0C0F81F3">
            <w:pPr>
              <w:pStyle w:val="12"/>
              <w:spacing w:before="1" w:line="240" w:lineRule="auto"/>
              <w:ind w:left="107"/>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关于本次活动是否涉及应披露重大信息的说明</w:t>
            </w:r>
          </w:p>
        </w:tc>
        <w:tc>
          <w:tcPr>
            <w:tcW w:w="6588" w:type="dxa"/>
            <w:vAlign w:val="center"/>
          </w:tcPr>
          <w:p w14:paraId="2BC5A264">
            <w:pPr>
              <w:pStyle w:val="12"/>
              <w:keepNext w:val="0"/>
              <w:keepLines w:val="0"/>
              <w:pageBreakBefore w:val="0"/>
              <w:widowControl w:val="0"/>
              <w:kinsoku/>
              <w:wordWrap/>
              <w:overflowPunct/>
              <w:topLinePunct w:val="0"/>
              <w:autoSpaceDE w:val="0"/>
              <w:autoSpaceDN w:val="0"/>
              <w:bidi w:val="0"/>
              <w:adjustRightInd/>
              <w:snapToGrid/>
              <w:spacing w:before="100" w:beforeAutospacing="1" w:line="24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本次活动不涉及未公开披露的重大信息。</w:t>
            </w:r>
          </w:p>
        </w:tc>
      </w:tr>
      <w:tr w14:paraId="32381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988" w:type="dxa"/>
            <w:vAlign w:val="center"/>
          </w:tcPr>
          <w:p w14:paraId="5611A03B">
            <w:pPr>
              <w:pStyle w:val="12"/>
              <w:spacing w:before="1" w:line="240" w:lineRule="auto"/>
              <w:ind w:left="107" w:leftChars="0"/>
              <w:jc w:val="both"/>
              <w:rPr>
                <w:rFonts w:hint="default" w:ascii="Times New Roman" w:hAnsi="Times New Roman" w:eastAsia="宋体" w:cs="Times New Roman"/>
                <w:b/>
                <w:bCs/>
                <w:sz w:val="24"/>
                <w:szCs w:val="24"/>
                <w:lang w:val="zh-CN" w:eastAsia="zh-CN" w:bidi="zh-CN"/>
              </w:rPr>
            </w:pPr>
            <w:r>
              <w:rPr>
                <w:rFonts w:hint="default" w:ascii="Times New Roman" w:hAnsi="Times New Roman" w:eastAsia="宋体" w:cs="Times New Roman"/>
                <w:b/>
                <w:bCs/>
                <w:sz w:val="24"/>
                <w:szCs w:val="24"/>
              </w:rPr>
              <w:t>附件清单（如有）</w:t>
            </w:r>
          </w:p>
        </w:tc>
        <w:tc>
          <w:tcPr>
            <w:tcW w:w="6588" w:type="dxa"/>
            <w:vAlign w:val="center"/>
          </w:tcPr>
          <w:p w14:paraId="445F4211">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Times New Roman" w:hAnsi="Times New Roman" w:eastAsia="宋体" w:cs="Times New Roman"/>
                <w:sz w:val="24"/>
                <w:szCs w:val="24"/>
                <w:lang w:val="zh-CN" w:eastAsia="zh-CN" w:bidi="zh-CN"/>
              </w:rPr>
            </w:pPr>
          </w:p>
        </w:tc>
      </w:tr>
      <w:tr w14:paraId="68B62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988" w:type="dxa"/>
            <w:vAlign w:val="center"/>
          </w:tcPr>
          <w:p w14:paraId="4FF414B5">
            <w:pPr>
              <w:pStyle w:val="12"/>
              <w:spacing w:before="1" w:line="240" w:lineRule="auto"/>
              <w:ind w:left="107" w:leftChars="0"/>
              <w:jc w:val="center"/>
              <w:rPr>
                <w:rFonts w:hint="default" w:ascii="Times New Roman" w:hAnsi="Times New Roman" w:eastAsia="宋体" w:cs="Times New Roman"/>
                <w:b/>
                <w:bCs/>
                <w:sz w:val="24"/>
                <w:szCs w:val="24"/>
                <w:lang w:val="zh-CN" w:eastAsia="zh-CN" w:bidi="zh-CN"/>
              </w:rPr>
            </w:pPr>
            <w:r>
              <w:rPr>
                <w:rFonts w:hint="default" w:ascii="Times New Roman" w:hAnsi="Times New Roman" w:eastAsia="宋体" w:cs="Times New Roman"/>
                <w:b/>
                <w:bCs/>
                <w:sz w:val="24"/>
                <w:szCs w:val="24"/>
              </w:rPr>
              <w:t>日期</w:t>
            </w:r>
          </w:p>
        </w:tc>
        <w:tc>
          <w:tcPr>
            <w:tcW w:w="6588" w:type="dxa"/>
            <w:vAlign w:val="center"/>
          </w:tcPr>
          <w:p w14:paraId="3FC10C64">
            <w:pPr>
              <w:pStyle w:val="12"/>
              <w:keepNext w:val="0"/>
              <w:keepLines w:val="0"/>
              <w:pageBreakBefore w:val="0"/>
              <w:widowControl w:val="0"/>
              <w:kinsoku/>
              <w:wordWrap/>
              <w:overflowPunct/>
              <w:topLinePunct w:val="0"/>
              <w:autoSpaceDE/>
              <w:autoSpaceDN/>
              <w:bidi w:val="0"/>
              <w:adjustRightInd/>
              <w:snapToGrid/>
              <w:spacing w:before="100" w:beforeAutospacing="1" w:line="240" w:lineRule="auto"/>
              <w:jc w:val="both"/>
              <w:textAlignment w:val="auto"/>
              <w:rPr>
                <w:rFonts w:hint="default" w:ascii="Times New Roman" w:hAnsi="Times New Roman" w:eastAsia="宋体" w:cs="Times New Roman"/>
                <w:sz w:val="24"/>
                <w:szCs w:val="24"/>
                <w:lang w:val="zh-CN" w:eastAsia="zh-CN" w:bidi="zh-CN"/>
              </w:rPr>
            </w:pPr>
            <w:r>
              <w:rPr>
                <w:rFonts w:hint="default" w:ascii="Times New Roman" w:hAnsi="Times New Roman" w:eastAsia="宋体" w:cs="Times New Roman"/>
                <w:sz w:val="24"/>
                <w:szCs w:val="24"/>
              </w:rPr>
              <w:t>2026年</w:t>
            </w:r>
            <w:r>
              <w:rPr>
                <w:rFonts w:hint="eastAsia" w:ascii="Times New Roman" w:hAnsi="Times New Roman" w:eastAsia="宋体" w:cs="Times New Roman"/>
                <w:sz w:val="24"/>
                <w:szCs w:val="24"/>
                <w:lang w:val="en-US" w:eastAsia="zh-CN"/>
              </w:rPr>
              <w:t>10</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09</w:t>
            </w:r>
            <w:r>
              <w:rPr>
                <w:rFonts w:hint="default" w:ascii="Times New Roman" w:hAnsi="Times New Roman" w:eastAsia="宋体" w:cs="Times New Roman"/>
                <w:sz w:val="24"/>
                <w:szCs w:val="24"/>
              </w:rPr>
              <w:t>日</w:t>
            </w:r>
          </w:p>
        </w:tc>
      </w:tr>
    </w:tbl>
    <w:p w14:paraId="25ED8655">
      <w:pPr>
        <w:pStyle w:val="12"/>
        <w:keepNext w:val="0"/>
        <w:keepLines w:val="0"/>
        <w:pageBreakBefore w:val="0"/>
        <w:widowControl w:val="0"/>
        <w:kinsoku/>
        <w:wordWrap/>
        <w:overflowPunct/>
        <w:topLinePunct w:val="0"/>
        <w:autoSpaceDE/>
        <w:autoSpaceDN/>
        <w:bidi w:val="0"/>
        <w:adjustRightInd/>
        <w:snapToGrid/>
        <w:spacing w:before="100" w:beforeAutospacing="1" w:line="240" w:lineRule="auto"/>
        <w:jc w:val="both"/>
        <w:textAlignment w:val="auto"/>
        <w:rPr>
          <w:rFonts w:hint="default" w:ascii="Times New Roman" w:hAnsi="Times New Roman" w:eastAsia="宋体" w:cs="Times New Roman"/>
          <w:sz w:val="24"/>
          <w:szCs w:val="24"/>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Wingdings 2">
    <w:panose1 w:val="050201020105070707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36F67A3"/>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9B956F7"/>
    <w:rsid w:val="1BD06B6A"/>
    <w:rsid w:val="1F782BDE"/>
    <w:rsid w:val="204A6A53"/>
    <w:rsid w:val="23317869"/>
    <w:rsid w:val="25650CAE"/>
    <w:rsid w:val="26406598"/>
    <w:rsid w:val="28080056"/>
    <w:rsid w:val="28734C1A"/>
    <w:rsid w:val="289558C2"/>
    <w:rsid w:val="28C72DDD"/>
    <w:rsid w:val="29EE0E64"/>
    <w:rsid w:val="2BC4020A"/>
    <w:rsid w:val="2EF90F16"/>
    <w:rsid w:val="2F125C63"/>
    <w:rsid w:val="2F701D66"/>
    <w:rsid w:val="302C3D0A"/>
    <w:rsid w:val="3104598F"/>
    <w:rsid w:val="31EF36C0"/>
    <w:rsid w:val="32CA1D64"/>
    <w:rsid w:val="33723F92"/>
    <w:rsid w:val="33DE31BB"/>
    <w:rsid w:val="389C49C0"/>
    <w:rsid w:val="39BC78F4"/>
    <w:rsid w:val="3B35486F"/>
    <w:rsid w:val="3E4270F2"/>
    <w:rsid w:val="3EF1250A"/>
    <w:rsid w:val="40567DB0"/>
    <w:rsid w:val="40FF5CD2"/>
    <w:rsid w:val="42DB40B0"/>
    <w:rsid w:val="43B71B0A"/>
    <w:rsid w:val="44FA0589"/>
    <w:rsid w:val="45376BF2"/>
    <w:rsid w:val="45A663E3"/>
    <w:rsid w:val="469F09AF"/>
    <w:rsid w:val="4A192D1E"/>
    <w:rsid w:val="4B756271"/>
    <w:rsid w:val="4C8E1CA8"/>
    <w:rsid w:val="4D6D36A4"/>
    <w:rsid w:val="510903EF"/>
    <w:rsid w:val="53F137F4"/>
    <w:rsid w:val="543A6906"/>
    <w:rsid w:val="56850CBB"/>
    <w:rsid w:val="59D8738A"/>
    <w:rsid w:val="5A666D76"/>
    <w:rsid w:val="5B2253C2"/>
    <w:rsid w:val="5CF02E0F"/>
    <w:rsid w:val="602727C7"/>
    <w:rsid w:val="603269D2"/>
    <w:rsid w:val="61A52BCA"/>
    <w:rsid w:val="62EF5C6D"/>
    <w:rsid w:val="67095496"/>
    <w:rsid w:val="67ED7463"/>
    <w:rsid w:val="681A546A"/>
    <w:rsid w:val="68507D37"/>
    <w:rsid w:val="69CB37D4"/>
    <w:rsid w:val="6A0D5B9B"/>
    <w:rsid w:val="6A3B23B1"/>
    <w:rsid w:val="6AEA32DC"/>
    <w:rsid w:val="6CC24AB5"/>
    <w:rsid w:val="6D9271B2"/>
    <w:rsid w:val="6F134790"/>
    <w:rsid w:val="6FE81F5F"/>
    <w:rsid w:val="72446028"/>
    <w:rsid w:val="73076EC0"/>
    <w:rsid w:val="73B62EB5"/>
    <w:rsid w:val="74210CA6"/>
    <w:rsid w:val="746F4E76"/>
    <w:rsid w:val="76430096"/>
    <w:rsid w:val="77F037B4"/>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1606</Words>
  <Characters>1644</Characters>
  <Lines>2</Lines>
  <Paragraphs>1</Paragraphs>
  <TotalTime>11</TotalTime>
  <ScaleCrop>false</ScaleCrop>
  <LinksUpToDate>false</LinksUpToDate>
  <CharactersWithSpaces>1692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L</cp:lastModifiedBy>
  <dcterms:modified xsi:type="dcterms:W3CDTF">2026-10-09T09:11:48Z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1DA3F7F9587A404EBB35C2C31EC91F71_13</vt:lpwstr>
  </property>
  <property fmtid="{D5CDD505-2E9C-101B-9397-08002B2CF9AE}" pid="4" name="KSOTemplateDocerSaveRecord">
    <vt:lpwstr>eyJoZGlkIjoiYmM2OTY4ZDQ3YmYzYjAwZmYxYjIwMTY2ZTJjNzZjZmYiLCJ1c2VySWQiOiI1ODIyNDc4NzIifQ==</vt:lpwstr>
  </property>
</Properties>
</file>