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E48B20">
      <w:pPr>
        <w:jc w:val="center"/>
        <w:rPr>
          <w:rFonts w:ascii="黑体" w:hAnsi="黑体" w:eastAsia="黑体"/>
          <w:b/>
          <w:sz w:val="32"/>
          <w:szCs w:val="32"/>
        </w:rPr>
      </w:pPr>
      <w:r>
        <w:rPr>
          <w:rFonts w:hint="eastAsia" w:ascii="黑体" w:hAnsi="黑体" w:eastAsia="黑体"/>
          <w:b/>
          <w:sz w:val="32"/>
          <w:szCs w:val="32"/>
        </w:rPr>
        <w:t>中信重工机械股份有限公司</w:t>
      </w:r>
    </w:p>
    <w:p w14:paraId="55BA0B10">
      <w:pPr>
        <w:jc w:val="center"/>
        <w:rPr>
          <w:rFonts w:ascii="黑体" w:hAnsi="黑体" w:eastAsia="黑体"/>
          <w:b/>
          <w:sz w:val="32"/>
          <w:szCs w:val="32"/>
        </w:rPr>
      </w:pPr>
      <w:r>
        <w:rPr>
          <w:rFonts w:hint="eastAsia" w:ascii="黑体" w:hAnsi="黑体" w:eastAsia="黑体"/>
          <w:b/>
          <w:sz w:val="32"/>
          <w:szCs w:val="32"/>
        </w:rPr>
        <w:t>投资者关系活动记录表</w:t>
      </w:r>
    </w:p>
    <w:tbl>
      <w:tblPr>
        <w:tblStyle w:val="8"/>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68"/>
        <w:gridCol w:w="6854"/>
      </w:tblGrid>
      <w:tr w14:paraId="3833E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0" w:hRule="atLeast"/>
          <w:jc w:val="center"/>
        </w:trPr>
        <w:tc>
          <w:tcPr>
            <w:tcW w:w="1668" w:type="dxa"/>
            <w:vAlign w:val="center"/>
          </w:tcPr>
          <w:p w14:paraId="5D4746BE">
            <w:pPr>
              <w:jc w:val="center"/>
              <w:rPr>
                <w:rFonts w:asciiTheme="minorEastAsia" w:hAnsiTheme="minorEastAsia"/>
                <w:b/>
                <w:sz w:val="24"/>
                <w:szCs w:val="24"/>
              </w:rPr>
            </w:pPr>
            <w:r>
              <w:rPr>
                <w:rFonts w:hint="eastAsia" w:asciiTheme="minorEastAsia" w:hAnsiTheme="minorEastAsia"/>
                <w:b/>
                <w:sz w:val="24"/>
                <w:szCs w:val="24"/>
              </w:rPr>
              <w:t>投资者关系</w:t>
            </w:r>
          </w:p>
          <w:p w14:paraId="1271D060">
            <w:pPr>
              <w:jc w:val="center"/>
              <w:rPr>
                <w:rFonts w:asciiTheme="minorEastAsia" w:hAnsiTheme="minorEastAsia"/>
                <w:b/>
                <w:sz w:val="24"/>
                <w:szCs w:val="24"/>
              </w:rPr>
            </w:pPr>
            <w:r>
              <w:rPr>
                <w:rFonts w:hint="eastAsia" w:asciiTheme="minorEastAsia" w:hAnsiTheme="minorEastAsia"/>
                <w:b/>
                <w:sz w:val="24"/>
                <w:szCs w:val="24"/>
              </w:rPr>
              <w:t>活动类别</w:t>
            </w:r>
          </w:p>
        </w:tc>
        <w:tc>
          <w:tcPr>
            <w:tcW w:w="6854" w:type="dxa"/>
            <w:vAlign w:val="center"/>
          </w:tcPr>
          <w:p w14:paraId="3353B530">
            <w:pPr>
              <w:rPr>
                <w:rFonts w:cs="Arial" w:asciiTheme="minorEastAsia" w:hAnsiTheme="minorEastAsia"/>
                <w:sz w:val="24"/>
                <w:szCs w:val="24"/>
                <w:shd w:val="clear" w:color="auto" w:fill="FFFFFF"/>
              </w:rPr>
            </w:pPr>
            <w:r>
              <w:rPr>
                <w:rFonts w:hint="eastAsia" w:cs="Arial" w:asciiTheme="minorEastAsia" w:hAnsiTheme="minorEastAsia"/>
                <w:sz w:val="24"/>
                <w:szCs w:val="24"/>
                <w:shd w:val="clear" w:color="auto" w:fill="FFFFFF"/>
                <w:lang w:eastAsia="zh-CN"/>
              </w:rPr>
              <w:t>☑</w:t>
            </w:r>
            <w:r>
              <w:rPr>
                <w:rFonts w:cs="Arial" w:asciiTheme="minorEastAsia" w:hAnsiTheme="minorEastAsia"/>
                <w:sz w:val="24"/>
                <w:szCs w:val="24"/>
                <w:shd w:val="clear" w:color="auto" w:fill="FFFFFF"/>
              </w:rPr>
              <w:t>特定对象调研</w:t>
            </w:r>
            <w:r>
              <w:rPr>
                <w:rFonts w:hint="eastAsia" w:cs="Arial" w:asciiTheme="minorEastAsia" w:hAnsiTheme="minorEastAsia"/>
                <w:sz w:val="24"/>
                <w:szCs w:val="24"/>
                <w:shd w:val="clear" w:color="auto" w:fill="FFFFFF"/>
              </w:rPr>
              <w:t xml:space="preserve">     ☑</w:t>
            </w:r>
            <w:r>
              <w:rPr>
                <w:rFonts w:cs="Arial" w:asciiTheme="minorEastAsia" w:hAnsiTheme="minorEastAsia"/>
                <w:sz w:val="24"/>
                <w:szCs w:val="24"/>
                <w:shd w:val="clear" w:color="auto" w:fill="FFFFFF"/>
              </w:rPr>
              <w:t>分析师会议</w:t>
            </w:r>
          </w:p>
          <w:p w14:paraId="2D5AC2C3">
            <w:pPr>
              <w:rPr>
                <w:rFonts w:cs="Arial" w:asciiTheme="minorEastAsia" w:hAnsiTheme="minorEastAsia"/>
                <w:sz w:val="24"/>
                <w:szCs w:val="24"/>
                <w:shd w:val="clear" w:color="auto" w:fill="FFFFFF"/>
              </w:rPr>
            </w:pPr>
            <w:r>
              <w:rPr>
                <w:rFonts w:cs="Arial" w:asciiTheme="minorEastAsia" w:hAnsiTheme="minorEastAsia"/>
                <w:sz w:val="24"/>
                <w:szCs w:val="24"/>
                <w:shd w:val="clear" w:color="auto" w:fill="FFFFFF"/>
              </w:rPr>
              <w:t>□媒体采访</w:t>
            </w:r>
            <w:r>
              <w:rPr>
                <w:rFonts w:hint="eastAsia" w:cs="Arial" w:asciiTheme="minorEastAsia" w:hAnsiTheme="minorEastAsia"/>
                <w:sz w:val="24"/>
                <w:szCs w:val="24"/>
                <w:shd w:val="clear" w:color="auto" w:fill="FFFFFF"/>
              </w:rPr>
              <w:t xml:space="preserve">         </w:t>
            </w:r>
            <w:r>
              <w:rPr>
                <w:rFonts w:cs="Arial" w:asciiTheme="minorEastAsia" w:hAnsiTheme="minorEastAsia"/>
                <w:sz w:val="24"/>
                <w:szCs w:val="24"/>
                <w:shd w:val="clear" w:color="auto" w:fill="FFFFFF"/>
              </w:rPr>
              <w:t>□业绩说明会</w:t>
            </w:r>
          </w:p>
          <w:p w14:paraId="0DEE81E4">
            <w:pPr>
              <w:rPr>
                <w:rFonts w:cs="Arial" w:asciiTheme="minorEastAsia" w:hAnsiTheme="minorEastAsia"/>
                <w:sz w:val="24"/>
                <w:szCs w:val="24"/>
                <w:shd w:val="clear" w:color="auto" w:fill="FFFFFF"/>
              </w:rPr>
            </w:pPr>
            <w:r>
              <w:rPr>
                <w:rFonts w:cs="Arial" w:asciiTheme="minorEastAsia" w:hAnsiTheme="minorEastAsia"/>
                <w:sz w:val="24"/>
                <w:szCs w:val="24"/>
                <w:shd w:val="clear" w:color="auto" w:fill="FFFFFF"/>
              </w:rPr>
              <w:t>□新闻发布会</w:t>
            </w:r>
            <w:r>
              <w:rPr>
                <w:rFonts w:hint="eastAsia" w:cs="Arial" w:asciiTheme="minorEastAsia" w:hAnsiTheme="minorEastAsia"/>
                <w:sz w:val="24"/>
                <w:szCs w:val="24"/>
                <w:shd w:val="clear" w:color="auto" w:fill="FFFFFF"/>
              </w:rPr>
              <w:t xml:space="preserve">       □</w:t>
            </w:r>
            <w:r>
              <w:rPr>
                <w:rFonts w:cs="Arial" w:asciiTheme="minorEastAsia" w:hAnsiTheme="minorEastAsia"/>
                <w:sz w:val="24"/>
                <w:szCs w:val="24"/>
                <w:shd w:val="clear" w:color="auto" w:fill="FFFFFF"/>
              </w:rPr>
              <w:t>路演活动</w:t>
            </w:r>
          </w:p>
          <w:p w14:paraId="11F9D382">
            <w:pPr>
              <w:rPr>
                <w:rFonts w:cs="Arial" w:asciiTheme="minorEastAsia" w:hAnsiTheme="minorEastAsia"/>
                <w:sz w:val="24"/>
                <w:szCs w:val="24"/>
                <w:shd w:val="clear" w:color="auto" w:fill="FFFFFF"/>
              </w:rPr>
            </w:pPr>
            <w:r>
              <w:rPr>
                <w:rFonts w:cs="Arial" w:asciiTheme="minorEastAsia" w:hAnsiTheme="minorEastAsia"/>
                <w:sz w:val="24"/>
                <w:szCs w:val="24"/>
                <w:shd w:val="clear" w:color="auto" w:fill="FFFFFF"/>
              </w:rPr>
              <w:t>□现场参观</w:t>
            </w:r>
            <w:r>
              <w:rPr>
                <w:rFonts w:hint="eastAsia" w:cs="Arial" w:asciiTheme="minorEastAsia" w:hAnsiTheme="minorEastAsia"/>
                <w:sz w:val="24"/>
                <w:szCs w:val="24"/>
                <w:shd w:val="clear" w:color="auto" w:fill="FFFFFF"/>
              </w:rPr>
              <w:t xml:space="preserve">         </w:t>
            </w:r>
            <w:r>
              <w:rPr>
                <w:rFonts w:cs="Arial" w:asciiTheme="minorEastAsia" w:hAnsiTheme="minorEastAsia"/>
                <w:sz w:val="24"/>
                <w:szCs w:val="24"/>
                <w:shd w:val="clear" w:color="auto" w:fill="FFFFFF"/>
              </w:rPr>
              <w:t>□其他</w:t>
            </w:r>
          </w:p>
        </w:tc>
      </w:tr>
      <w:tr w14:paraId="05425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8" w:hRule="atLeast"/>
          <w:jc w:val="center"/>
        </w:trPr>
        <w:tc>
          <w:tcPr>
            <w:tcW w:w="1668" w:type="dxa"/>
            <w:vAlign w:val="center"/>
          </w:tcPr>
          <w:p w14:paraId="3A3ACDCD">
            <w:pPr>
              <w:jc w:val="center"/>
              <w:rPr>
                <w:rFonts w:asciiTheme="minorEastAsia" w:hAnsiTheme="minorEastAsia"/>
                <w:b/>
                <w:sz w:val="24"/>
                <w:szCs w:val="24"/>
              </w:rPr>
            </w:pPr>
            <w:r>
              <w:rPr>
                <w:rFonts w:hint="eastAsia" w:asciiTheme="minorEastAsia" w:hAnsiTheme="minorEastAsia"/>
                <w:b/>
                <w:sz w:val="24"/>
                <w:szCs w:val="24"/>
              </w:rPr>
              <w:t>参与单位名称及人员</w:t>
            </w:r>
          </w:p>
        </w:tc>
        <w:tc>
          <w:tcPr>
            <w:tcW w:w="6854" w:type="dxa"/>
            <w:vAlign w:val="center"/>
          </w:tcPr>
          <w:p w14:paraId="7CF6059D">
            <w:pPr>
              <w:rPr>
                <w:rFonts w:asciiTheme="minorEastAsia" w:hAnsiTheme="minorEastAsia"/>
                <w:sz w:val="24"/>
                <w:szCs w:val="24"/>
              </w:rPr>
            </w:pPr>
            <w:r>
              <w:rPr>
                <w:rFonts w:hint="eastAsia" w:asciiTheme="minorEastAsia" w:hAnsiTheme="minorEastAsia"/>
                <w:sz w:val="24"/>
                <w:szCs w:val="24"/>
              </w:rPr>
              <w:t>华夏基金、建信基金、光大证券、南方基金、摩根基金、中金公司（排名不分先后）</w:t>
            </w:r>
          </w:p>
        </w:tc>
      </w:tr>
      <w:tr w14:paraId="1A8D9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1668" w:type="dxa"/>
            <w:vAlign w:val="center"/>
          </w:tcPr>
          <w:p w14:paraId="5D260F25">
            <w:pPr>
              <w:jc w:val="center"/>
              <w:rPr>
                <w:rFonts w:asciiTheme="minorEastAsia" w:hAnsiTheme="minorEastAsia"/>
                <w:b/>
                <w:sz w:val="24"/>
                <w:szCs w:val="24"/>
              </w:rPr>
            </w:pPr>
            <w:r>
              <w:rPr>
                <w:rFonts w:hint="eastAsia" w:asciiTheme="minorEastAsia" w:hAnsiTheme="minorEastAsia"/>
                <w:b/>
                <w:sz w:val="24"/>
                <w:szCs w:val="24"/>
              </w:rPr>
              <w:t>时间</w:t>
            </w:r>
          </w:p>
        </w:tc>
        <w:tc>
          <w:tcPr>
            <w:tcW w:w="6854" w:type="dxa"/>
            <w:vAlign w:val="center"/>
          </w:tcPr>
          <w:p w14:paraId="181FE47F">
            <w:pPr>
              <w:rPr>
                <w:rFonts w:asciiTheme="minorEastAsia" w:hAnsiTheme="minorEastAsia"/>
                <w:sz w:val="24"/>
                <w:szCs w:val="24"/>
              </w:rPr>
            </w:pPr>
            <w:r>
              <w:rPr>
                <w:rFonts w:hint="eastAsia" w:asciiTheme="minorEastAsia" w:hAnsiTheme="minorEastAsia"/>
                <w:sz w:val="24"/>
                <w:szCs w:val="24"/>
              </w:rPr>
              <w:t>2026年9月21日、9月23日</w:t>
            </w:r>
          </w:p>
        </w:tc>
      </w:tr>
      <w:tr w14:paraId="47C1FA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668" w:type="dxa"/>
            <w:vAlign w:val="center"/>
          </w:tcPr>
          <w:p w14:paraId="460FF195">
            <w:pPr>
              <w:jc w:val="center"/>
              <w:rPr>
                <w:rFonts w:asciiTheme="minorEastAsia" w:hAnsiTheme="minorEastAsia"/>
                <w:b/>
                <w:sz w:val="24"/>
                <w:szCs w:val="24"/>
              </w:rPr>
            </w:pPr>
            <w:r>
              <w:rPr>
                <w:rFonts w:cs="Arial" w:asciiTheme="minorEastAsia" w:hAnsiTheme="minorEastAsia"/>
                <w:b/>
                <w:sz w:val="24"/>
                <w:szCs w:val="24"/>
                <w:shd w:val="clear" w:color="auto" w:fill="FFFFFF"/>
              </w:rPr>
              <w:t>地点</w:t>
            </w:r>
          </w:p>
        </w:tc>
        <w:tc>
          <w:tcPr>
            <w:tcW w:w="6854" w:type="dxa"/>
            <w:vAlign w:val="center"/>
          </w:tcPr>
          <w:p w14:paraId="6CB3C60E">
            <w:pPr>
              <w:rPr>
                <w:rFonts w:asciiTheme="minorEastAsia" w:hAnsiTheme="minorEastAsia"/>
                <w:sz w:val="24"/>
                <w:szCs w:val="24"/>
              </w:rPr>
            </w:pPr>
            <w:r>
              <w:rPr>
                <w:rFonts w:hint="eastAsia" w:asciiTheme="minorEastAsia" w:hAnsiTheme="minorEastAsia"/>
                <w:sz w:val="24"/>
                <w:szCs w:val="24"/>
              </w:rPr>
              <w:t>基金公司会议室</w:t>
            </w:r>
          </w:p>
        </w:tc>
      </w:tr>
      <w:tr w14:paraId="6B5B3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68" w:type="dxa"/>
            <w:vAlign w:val="center"/>
          </w:tcPr>
          <w:p w14:paraId="77B8A98F">
            <w:pPr>
              <w:jc w:val="center"/>
              <w:rPr>
                <w:rFonts w:asciiTheme="minorEastAsia" w:hAnsiTheme="minorEastAsia"/>
                <w:b/>
                <w:sz w:val="24"/>
                <w:szCs w:val="24"/>
              </w:rPr>
            </w:pPr>
            <w:r>
              <w:rPr>
                <w:rFonts w:hint="eastAsia" w:asciiTheme="minorEastAsia" w:hAnsiTheme="minorEastAsia"/>
                <w:b/>
                <w:sz w:val="24"/>
                <w:szCs w:val="24"/>
              </w:rPr>
              <w:t>上市公司接待人员</w:t>
            </w:r>
          </w:p>
        </w:tc>
        <w:tc>
          <w:tcPr>
            <w:tcW w:w="6854" w:type="dxa"/>
            <w:vAlign w:val="center"/>
          </w:tcPr>
          <w:p w14:paraId="7BD311B5">
            <w:pPr>
              <w:spacing w:line="360" w:lineRule="atLeast"/>
              <w:rPr>
                <w:rFonts w:asciiTheme="minorEastAsia" w:hAnsiTheme="minorEastAsia"/>
                <w:sz w:val="24"/>
                <w:szCs w:val="24"/>
              </w:rPr>
            </w:pPr>
            <w:r>
              <w:rPr>
                <w:rFonts w:hint="eastAsia" w:asciiTheme="minorEastAsia" w:hAnsiTheme="minorEastAsia"/>
                <w:sz w:val="24"/>
                <w:szCs w:val="24"/>
              </w:rPr>
              <w:t>公司董事会秘书、董事会办公室主任、证券事务代表等。</w:t>
            </w:r>
          </w:p>
        </w:tc>
      </w:tr>
      <w:tr w14:paraId="3DB5AE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68" w:type="dxa"/>
            <w:vAlign w:val="center"/>
          </w:tcPr>
          <w:p w14:paraId="25EF7AEC">
            <w:pPr>
              <w:jc w:val="center"/>
              <w:rPr>
                <w:rFonts w:asciiTheme="minorEastAsia" w:hAnsiTheme="minorEastAsia"/>
                <w:b/>
                <w:sz w:val="24"/>
                <w:szCs w:val="24"/>
              </w:rPr>
            </w:pPr>
            <w:r>
              <w:rPr>
                <w:rFonts w:hint="eastAsia" w:asciiTheme="minorEastAsia" w:hAnsiTheme="minorEastAsia"/>
                <w:b/>
                <w:sz w:val="24"/>
                <w:szCs w:val="24"/>
              </w:rPr>
              <w:t>投资者关系活动主要内容介绍</w:t>
            </w:r>
          </w:p>
        </w:tc>
        <w:tc>
          <w:tcPr>
            <w:tcW w:w="6854" w:type="dxa"/>
          </w:tcPr>
          <w:p w14:paraId="583F411A">
            <w:pPr>
              <w:spacing w:line="440" w:lineRule="exact"/>
              <w:rPr>
                <w:rFonts w:asciiTheme="minorEastAsia" w:hAnsiTheme="minorEastAsia"/>
                <w:b/>
                <w:bCs/>
                <w:sz w:val="24"/>
                <w:szCs w:val="24"/>
              </w:rPr>
            </w:pPr>
            <w:r>
              <w:rPr>
                <w:rFonts w:hint="eastAsia" w:asciiTheme="minorEastAsia" w:hAnsiTheme="minorEastAsia"/>
                <w:b/>
                <w:bCs/>
                <w:sz w:val="24"/>
                <w:szCs w:val="24"/>
              </w:rPr>
              <w:t>互动交流主要内容</w:t>
            </w:r>
            <w:bookmarkStart w:id="0" w:name="_GoBack"/>
            <w:bookmarkEnd w:id="0"/>
          </w:p>
          <w:p w14:paraId="55FEC622">
            <w:pPr>
              <w:spacing w:line="440" w:lineRule="exact"/>
              <w:ind w:firstLine="482" w:firstLineChars="200"/>
              <w:rPr>
                <w:rFonts w:asciiTheme="minorEastAsia" w:hAnsiTheme="minorEastAsia"/>
                <w:b/>
                <w:bCs/>
                <w:sz w:val="24"/>
                <w:szCs w:val="24"/>
              </w:rPr>
            </w:pPr>
            <w:r>
              <w:rPr>
                <w:rFonts w:hint="eastAsia" w:asciiTheme="minorEastAsia" w:hAnsiTheme="minorEastAsia"/>
                <w:b/>
                <w:bCs/>
                <w:sz w:val="24"/>
                <w:szCs w:val="24"/>
              </w:rPr>
              <w:t>一</w:t>
            </w:r>
            <w:r>
              <w:rPr>
                <w:rFonts w:asciiTheme="minorEastAsia" w:hAnsiTheme="minorEastAsia"/>
                <w:b/>
                <w:bCs/>
                <w:sz w:val="24"/>
                <w:szCs w:val="24"/>
              </w:rPr>
              <w:t>、</w:t>
            </w:r>
            <w:r>
              <w:rPr>
                <w:rFonts w:hint="eastAsia" w:asciiTheme="minorEastAsia" w:hAnsiTheme="minorEastAsia"/>
                <w:b/>
                <w:bCs/>
                <w:sz w:val="24"/>
                <w:szCs w:val="24"/>
              </w:rPr>
              <w:t>公司2026年上半年海外收入及国际化经营表现如何？</w:t>
            </w:r>
          </w:p>
          <w:p w14:paraId="5C5F165C">
            <w:pPr>
              <w:spacing w:line="440" w:lineRule="exact"/>
              <w:ind w:firstLine="482" w:firstLineChars="200"/>
              <w:rPr>
                <w:rFonts w:asciiTheme="minorEastAsia" w:hAnsiTheme="minorEastAsia"/>
                <w:sz w:val="24"/>
                <w:szCs w:val="24"/>
              </w:rPr>
            </w:pPr>
            <w:r>
              <w:rPr>
                <w:rFonts w:hint="eastAsia" w:asciiTheme="minorEastAsia" w:hAnsiTheme="minorEastAsia"/>
                <w:b/>
                <w:bCs/>
                <w:sz w:val="24"/>
                <w:szCs w:val="24"/>
              </w:rPr>
              <w:t>回复：</w:t>
            </w:r>
            <w:r>
              <w:rPr>
                <w:rFonts w:hint="eastAsia" w:asciiTheme="minorEastAsia" w:hAnsiTheme="minorEastAsia"/>
                <w:sz w:val="24"/>
                <w:szCs w:val="24"/>
              </w:rPr>
              <w:t>尊敬的投资者，您好！公司坚定不移走国际化道路，上半年全球化布局实现多点突破，公司海外市场新增生效订货超额完成半年度目标。在欧洲市场，签订生效挪威项目半自磨机与球磨机订单，实现矿业装备首次进入挪威，进一步完善欧洲高端装备市场战略布局。在美洲市场，首次将公司矿业装备引入中北美市场，签约危地马拉金银矿项目磨机订单，填补了该区域的市场空白；签订加拿大项目磨机订单，实现与北美金属核心供应商首次合作。在东南亚市场，成功签订菲律宾铜矿项目核心破磨设备一体化供货合同，实现破碎机产品首次进入菲律宾，刷新公司在东南亚的磨机供货纪录。在非洲与中亚市场，先后签订加纳、赞比亚、津巴布韦等国的磨机订单，在中亚累计签订多台磨机供货合同，持续扩大市场份额。公司产品和服务已覆盖全球70个国家和地区。感谢您对公司的关注。</w:t>
            </w:r>
          </w:p>
          <w:p w14:paraId="55984D61">
            <w:pPr>
              <w:spacing w:line="440" w:lineRule="exact"/>
              <w:ind w:firstLine="482" w:firstLineChars="200"/>
              <w:rPr>
                <w:rFonts w:asciiTheme="minorEastAsia" w:hAnsiTheme="minorEastAsia"/>
                <w:b/>
                <w:bCs/>
                <w:sz w:val="24"/>
                <w:szCs w:val="24"/>
              </w:rPr>
            </w:pPr>
            <w:r>
              <w:rPr>
                <w:rFonts w:hint="eastAsia" w:asciiTheme="minorEastAsia" w:hAnsiTheme="minorEastAsia"/>
                <w:b/>
                <w:bCs/>
                <w:sz w:val="24"/>
                <w:szCs w:val="24"/>
              </w:rPr>
              <w:t>二、公司如何应对国际市场汇率波动的风险？</w:t>
            </w:r>
          </w:p>
          <w:p w14:paraId="4D815D74">
            <w:pPr>
              <w:spacing w:line="440" w:lineRule="exact"/>
              <w:ind w:firstLine="482" w:firstLineChars="200"/>
              <w:rPr>
                <w:rFonts w:asciiTheme="minorEastAsia" w:hAnsiTheme="minorEastAsia"/>
                <w:sz w:val="24"/>
                <w:szCs w:val="24"/>
              </w:rPr>
            </w:pPr>
            <w:r>
              <w:rPr>
                <w:rFonts w:hint="eastAsia" w:asciiTheme="minorEastAsia" w:hAnsiTheme="minorEastAsia"/>
                <w:b/>
                <w:bCs/>
                <w:sz w:val="24"/>
                <w:szCs w:val="24"/>
              </w:rPr>
              <w:t>回复：</w:t>
            </w:r>
            <w:r>
              <w:rPr>
                <w:rFonts w:hint="eastAsia" w:asciiTheme="minorEastAsia" w:hAnsiTheme="minorEastAsia"/>
                <w:sz w:val="24"/>
                <w:szCs w:val="24"/>
              </w:rPr>
              <w:t>尊敬的投资者，您好！公司从多个层面强化汇率风险管理。一是加强汇率风险前瞻性研判，密切跟踪美元、欧元、澳元等主要结算货币的汇率变动；二是优化外币资产负债结构，通过匹配币种和期限自然对冲部分汇率风险；三是灵活运用金融工具，根据市场情况签署远期外汇合约或货币互换合约来规避外汇风险；四是持续推进国际化经营的本地化，依托西班牙生产基地、巴西公司、澳大利亚公司、秘鲁分公司等海外机构以本地化运营降低汇率波动影响。感谢您对公司的关注。</w:t>
            </w:r>
          </w:p>
          <w:p w14:paraId="78DA541E">
            <w:pPr>
              <w:spacing w:line="440" w:lineRule="exact"/>
              <w:ind w:firstLine="482" w:firstLineChars="200"/>
              <w:rPr>
                <w:rFonts w:asciiTheme="minorEastAsia" w:hAnsiTheme="minorEastAsia"/>
                <w:b/>
                <w:bCs/>
                <w:sz w:val="24"/>
                <w:szCs w:val="24"/>
              </w:rPr>
            </w:pPr>
            <w:r>
              <w:rPr>
                <w:rFonts w:hint="eastAsia" w:asciiTheme="minorEastAsia" w:hAnsiTheme="minorEastAsia"/>
                <w:b/>
                <w:bCs/>
                <w:sz w:val="24"/>
                <w:szCs w:val="24"/>
              </w:rPr>
              <w:t>三</w:t>
            </w:r>
            <w:r>
              <w:rPr>
                <w:rFonts w:asciiTheme="minorEastAsia" w:hAnsiTheme="minorEastAsia"/>
                <w:b/>
                <w:bCs/>
                <w:sz w:val="24"/>
                <w:szCs w:val="24"/>
              </w:rPr>
              <w:t>、</w:t>
            </w:r>
            <w:r>
              <w:rPr>
                <w:rFonts w:hint="eastAsia" w:asciiTheme="minorEastAsia" w:hAnsiTheme="minorEastAsia"/>
                <w:b/>
                <w:bCs/>
                <w:sz w:val="24"/>
                <w:szCs w:val="24"/>
              </w:rPr>
              <w:t>雅鲁藏布江下游水电工程将为公司带来哪些发展机遇？</w:t>
            </w:r>
          </w:p>
          <w:p w14:paraId="3DC1CD2A">
            <w:pPr>
              <w:spacing w:line="440" w:lineRule="exact"/>
              <w:ind w:firstLine="480" w:firstLineChars="200"/>
              <w:rPr>
                <w:rFonts w:asciiTheme="minorEastAsia" w:hAnsiTheme="minorEastAsia"/>
                <w:sz w:val="24"/>
                <w:szCs w:val="24"/>
              </w:rPr>
            </w:pPr>
            <w:r>
              <w:rPr>
                <w:rFonts w:hint="eastAsia" w:asciiTheme="minorEastAsia" w:hAnsiTheme="minorEastAsia"/>
                <w:sz w:val="24"/>
                <w:szCs w:val="24"/>
              </w:rPr>
              <w:t>回复：尊敬的投资者，您好！雅鲁藏布江下游水电工程是国家重大清洁能源工程，建设过程中对水电装备等需求将形成直接拉动。公司作为全球领先的高端装备制造企业，在高端铸锻件领域具有显著技术优势，相关产品已服务于三峡水利枢纽、小浪底水利枢纽、西藏大唐扎拉水电站、田湾河金窝水电站、大藤峡水电站、老挝琅勃拉邦水电站等水利水电工程。公司正在推进800MW超大型冲击式水轮机转轮研发项目，可为重大水电工程提供关键铸锻件及门机、固定卷扬式启闭机、过坝提升机、垂直升船机等系统装备，持续巩固在清洁能源装备领域的领先地位。</w:t>
            </w:r>
            <w:r>
              <w:rPr>
                <w:rFonts w:ascii="Segoe UI" w:hAnsi="Segoe UI" w:eastAsia="Segoe UI" w:cs="Segoe UI"/>
                <w:color w:val="0F1115"/>
                <w:sz w:val="24"/>
                <w:szCs w:val="24"/>
                <w:shd w:val="clear" w:color="auto" w:fill="FFFFFF"/>
              </w:rPr>
              <w:t>公司将密切关注雅下工程进展，</w:t>
            </w:r>
            <w:r>
              <w:rPr>
                <w:rFonts w:ascii="Segoe UI" w:hAnsi="Segoe UI" w:eastAsia="Segoe UI" w:cs="Segoe UI"/>
                <w:color w:val="0F1115"/>
                <w:sz w:val="24"/>
                <w:szCs w:val="24"/>
                <w:highlight w:val="none"/>
                <w:shd w:val="clear" w:color="auto" w:fill="FFFFFF"/>
              </w:rPr>
              <w:t>积极</w:t>
            </w:r>
            <w:r>
              <w:rPr>
                <w:rFonts w:hint="eastAsia" w:ascii="Segoe UI" w:hAnsi="Segoe UI" w:eastAsia="宋体" w:cs="Segoe UI"/>
                <w:color w:val="0F1115"/>
                <w:sz w:val="24"/>
                <w:szCs w:val="24"/>
                <w:highlight w:val="none"/>
                <w:shd w:val="clear" w:color="auto" w:fill="FFFFFF"/>
                <w:lang w:val="en-US" w:eastAsia="zh-CN"/>
              </w:rPr>
              <w:t>参与水轮机组制造、智能化运维等</w:t>
            </w:r>
            <w:r>
              <w:rPr>
                <w:rFonts w:ascii="Segoe UI" w:hAnsi="Segoe UI" w:eastAsia="Segoe UI" w:cs="Segoe UI"/>
                <w:color w:val="0F1115"/>
                <w:sz w:val="24"/>
                <w:szCs w:val="24"/>
                <w:highlight w:val="none"/>
                <w:shd w:val="clear" w:color="auto" w:fill="FFFFFF"/>
              </w:rPr>
              <w:t>相关环节。</w:t>
            </w:r>
            <w:r>
              <w:rPr>
                <w:rFonts w:ascii="Segoe UI" w:hAnsi="Segoe UI" w:eastAsia="Segoe UI" w:cs="Segoe UI"/>
                <w:color w:val="0F1115"/>
                <w:sz w:val="24"/>
                <w:szCs w:val="24"/>
                <w:shd w:val="clear" w:color="auto" w:fill="FFFFFF"/>
              </w:rPr>
              <w:t>具体参与方式、订单获取及业绩影响存在不确定性，若有达到披露标准的事项，公司将及时公告。</w:t>
            </w:r>
            <w:r>
              <w:rPr>
                <w:rFonts w:hint="eastAsia" w:asciiTheme="minorEastAsia" w:hAnsiTheme="minorEastAsia"/>
                <w:sz w:val="24"/>
                <w:szCs w:val="24"/>
              </w:rPr>
              <w:t>感谢您对公司的关注。</w:t>
            </w:r>
          </w:p>
          <w:p w14:paraId="55A21D1E">
            <w:pPr>
              <w:spacing w:line="440" w:lineRule="exact"/>
              <w:ind w:firstLine="482" w:firstLineChars="200"/>
              <w:rPr>
                <w:rFonts w:asciiTheme="minorEastAsia" w:hAnsiTheme="minorEastAsia"/>
                <w:b/>
                <w:bCs/>
                <w:sz w:val="24"/>
                <w:szCs w:val="24"/>
              </w:rPr>
            </w:pPr>
            <w:r>
              <w:rPr>
                <w:rFonts w:hint="eastAsia" w:asciiTheme="minorEastAsia" w:hAnsiTheme="minorEastAsia"/>
                <w:b/>
                <w:bCs/>
                <w:sz w:val="24"/>
                <w:szCs w:val="24"/>
              </w:rPr>
              <w:t>四、“中信微”操作系统和“中信智”控制器的研发进展及产业化应用情况如何？</w:t>
            </w:r>
          </w:p>
          <w:p w14:paraId="4E5EECC3">
            <w:pPr>
              <w:spacing w:line="440" w:lineRule="exact"/>
              <w:ind w:firstLine="482" w:firstLineChars="200"/>
              <w:rPr>
                <w:rFonts w:asciiTheme="minorEastAsia" w:hAnsiTheme="minorEastAsia"/>
                <w:sz w:val="24"/>
                <w:szCs w:val="24"/>
              </w:rPr>
            </w:pPr>
            <w:r>
              <w:rPr>
                <w:rFonts w:hint="eastAsia" w:asciiTheme="minorEastAsia" w:hAnsiTheme="minorEastAsia"/>
                <w:b/>
                <w:bCs/>
                <w:sz w:val="24"/>
                <w:szCs w:val="24"/>
              </w:rPr>
              <w:t>回复：</w:t>
            </w:r>
            <w:r>
              <w:rPr>
                <w:rFonts w:hint="eastAsia" w:asciiTheme="minorEastAsia" w:hAnsiTheme="minorEastAsia"/>
                <w:sz w:val="24"/>
                <w:szCs w:val="24"/>
              </w:rPr>
              <w:t>尊敬的投资者，您好！公司已推出基于自研“中信微”操作系统的工业控制平台解决方案，在磨机、破碎机等矿山主机装备及多类特种机器人上完成多轮试验调试与应用，构建起功能完善、安全可靠的工业控制底座，目前尚处于产业化推广阶段。感谢您对公司的关注。</w:t>
            </w:r>
          </w:p>
          <w:p w14:paraId="4AB039BA">
            <w:pPr>
              <w:spacing w:line="440" w:lineRule="exact"/>
              <w:ind w:firstLine="482" w:firstLineChars="200"/>
              <w:rPr>
                <w:rFonts w:asciiTheme="minorEastAsia" w:hAnsiTheme="minorEastAsia"/>
                <w:b/>
                <w:bCs/>
                <w:sz w:val="24"/>
                <w:szCs w:val="24"/>
                <w:highlight w:val="yellow"/>
              </w:rPr>
            </w:pPr>
            <w:r>
              <w:rPr>
                <w:rFonts w:hint="eastAsia" w:asciiTheme="minorEastAsia" w:hAnsiTheme="minorEastAsia"/>
                <w:b/>
                <w:bCs/>
                <w:sz w:val="24"/>
                <w:szCs w:val="24"/>
              </w:rPr>
              <w:t>五、公司高端耐磨材料基地项目的建设进展情况如何？</w:t>
            </w:r>
          </w:p>
          <w:p w14:paraId="19F221C9">
            <w:pPr>
              <w:spacing w:line="440" w:lineRule="exact"/>
              <w:ind w:firstLine="482" w:firstLineChars="200"/>
              <w:rPr>
                <w:rFonts w:asciiTheme="minorEastAsia" w:hAnsiTheme="minorEastAsia"/>
                <w:sz w:val="24"/>
                <w:szCs w:val="24"/>
              </w:rPr>
            </w:pPr>
            <w:r>
              <w:rPr>
                <w:rFonts w:hint="eastAsia" w:asciiTheme="minorEastAsia" w:hAnsiTheme="minorEastAsia"/>
                <w:b/>
                <w:bCs/>
                <w:sz w:val="24"/>
                <w:szCs w:val="24"/>
              </w:rPr>
              <w:t>回复：</w:t>
            </w:r>
            <w:r>
              <w:rPr>
                <w:rFonts w:hint="eastAsia" w:asciiTheme="minorEastAsia" w:hAnsiTheme="minorEastAsia"/>
                <w:sz w:val="24"/>
                <w:szCs w:val="24"/>
              </w:rPr>
              <w:t>尊敬的投资者，您好！</w:t>
            </w:r>
            <w:r>
              <w:rPr>
                <w:rFonts w:ascii="宋体" w:hAnsi="宋体" w:eastAsia="宋体" w:cs="宋体"/>
                <w:sz w:val="24"/>
                <w:szCs w:val="24"/>
              </w:rPr>
              <w:t>耐磨材料业务是公司“十五五”重点发展方向</w:t>
            </w:r>
            <w:r>
              <w:rPr>
                <w:rFonts w:hint="eastAsia" w:asciiTheme="minorEastAsia" w:hAnsiTheme="minorEastAsia"/>
                <w:sz w:val="24"/>
                <w:szCs w:val="24"/>
              </w:rPr>
              <w:t>，是典型的“长坡厚雪”赛道。</w:t>
            </w:r>
            <w:r>
              <w:rPr>
                <w:rFonts w:ascii="Segoe UI" w:hAnsi="Segoe UI" w:eastAsia="Segoe UI" w:cs="Segoe UI"/>
                <w:color w:val="0F1115"/>
                <w:sz w:val="24"/>
                <w:szCs w:val="24"/>
                <w:shd w:val="clear" w:color="auto" w:fill="FFFFFF"/>
              </w:rPr>
              <w:t>随着市场需求持续增长，公司耐磨产品订货保持良好态势</w:t>
            </w:r>
            <w:r>
              <w:rPr>
                <w:rFonts w:hint="eastAsia" w:ascii="Segoe UI" w:hAnsi="Segoe UI" w:eastAsia="宋体" w:cs="Segoe UI"/>
                <w:color w:val="0F1115"/>
                <w:sz w:val="24"/>
                <w:szCs w:val="24"/>
                <w:shd w:val="clear" w:color="auto" w:fill="FFFFFF"/>
              </w:rPr>
              <w:t>。</w:t>
            </w:r>
            <w:r>
              <w:rPr>
                <w:rFonts w:ascii="宋体" w:hAnsi="宋体" w:eastAsia="宋体" w:cs="宋体"/>
                <w:sz w:val="24"/>
                <w:szCs w:val="24"/>
              </w:rPr>
              <w:t>2025年耐磨衬板生效订货突破4.5万吨，同比增长13%，海外市场订货量同比增长25.1%。</w:t>
            </w:r>
            <w:r>
              <w:rPr>
                <w:rFonts w:hint="eastAsia" w:ascii="宋体" w:hAnsi="宋体" w:eastAsia="宋体" w:cs="宋体"/>
                <w:sz w:val="24"/>
                <w:szCs w:val="24"/>
                <w:lang w:val="en-US" w:eastAsia="zh-CN"/>
              </w:rPr>
              <w:t>2026年上半年耐磨衬板新增生效订货同比增长34%，</w:t>
            </w:r>
            <w:r>
              <w:rPr>
                <w:rFonts w:hint="eastAsia" w:ascii="宋体" w:hAnsi="宋体" w:eastAsia="宋体" w:cs="宋体"/>
                <w:sz w:val="24"/>
                <w:szCs w:val="24"/>
              </w:rPr>
              <w:t>目前</w:t>
            </w:r>
            <w:r>
              <w:rPr>
                <w:rFonts w:ascii="宋体" w:hAnsi="宋体" w:eastAsia="宋体" w:cs="宋体"/>
                <w:sz w:val="24"/>
                <w:szCs w:val="24"/>
              </w:rPr>
              <w:t>公司现有3万吨/年衬板产能已趋于饱和。</w:t>
            </w:r>
            <w:r>
              <w:rPr>
                <w:rFonts w:ascii="Segoe UI" w:hAnsi="Segoe UI" w:eastAsia="Segoe UI" w:cs="Segoe UI"/>
                <w:color w:val="0F1115"/>
                <w:sz w:val="24"/>
                <w:szCs w:val="24"/>
                <w:shd w:val="clear" w:color="auto" w:fill="FFFFFF"/>
              </w:rPr>
              <w:t>为突破产能瓶颈，公</w:t>
            </w:r>
            <w:r>
              <w:rPr>
                <w:rFonts w:hint="eastAsia" w:ascii="宋体" w:hAnsi="宋体" w:eastAsia="宋体" w:cs="宋体"/>
                <w:color w:val="0F1115"/>
                <w:sz w:val="24"/>
                <w:szCs w:val="24"/>
                <w:shd w:val="clear" w:color="auto" w:fill="FFFFFF"/>
              </w:rPr>
              <w:t>司2026</w:t>
            </w:r>
            <w:r>
              <w:rPr>
                <w:rFonts w:ascii="Segoe UI" w:hAnsi="Segoe UI" w:eastAsia="Segoe UI" w:cs="Segoe UI"/>
                <w:color w:val="0F1115"/>
                <w:sz w:val="24"/>
                <w:szCs w:val="24"/>
                <w:shd w:val="clear" w:color="auto" w:fill="FFFFFF"/>
              </w:rPr>
              <w:t>年第二次临时股东会审议通过变更部分募投项目用于建设高端耐磨材料基地，规划新建年产</w:t>
            </w:r>
            <w:r>
              <w:rPr>
                <w:rFonts w:hint="eastAsia" w:ascii="宋体" w:hAnsi="宋体" w:eastAsia="宋体" w:cs="宋体"/>
                <w:color w:val="0F1115"/>
                <w:sz w:val="24"/>
                <w:szCs w:val="24"/>
                <w:shd w:val="clear" w:color="auto" w:fill="FFFFFF"/>
              </w:rPr>
              <w:t>5</w:t>
            </w:r>
            <w:r>
              <w:rPr>
                <w:rFonts w:ascii="Segoe UI" w:hAnsi="Segoe UI" w:eastAsia="Segoe UI" w:cs="Segoe UI"/>
                <w:color w:val="0F1115"/>
                <w:sz w:val="24"/>
                <w:szCs w:val="24"/>
                <w:shd w:val="clear" w:color="auto" w:fill="FFFFFF"/>
              </w:rPr>
              <w:t>万吨高端耐磨材料生产线。该项目目前正按计划推进。</w:t>
            </w:r>
            <w:r>
              <w:rPr>
                <w:rFonts w:hint="eastAsia" w:asciiTheme="minorEastAsia" w:hAnsiTheme="minorEastAsia"/>
                <w:sz w:val="24"/>
                <w:szCs w:val="24"/>
              </w:rPr>
              <w:t>感谢您对公司的关注。</w:t>
            </w:r>
          </w:p>
          <w:p w14:paraId="59E789DD">
            <w:pPr>
              <w:spacing w:line="440" w:lineRule="exact"/>
              <w:ind w:firstLine="482" w:firstLineChars="200"/>
              <w:rPr>
                <w:rFonts w:asciiTheme="minorEastAsia" w:hAnsiTheme="minorEastAsia"/>
                <w:b/>
                <w:bCs/>
                <w:sz w:val="24"/>
                <w:szCs w:val="24"/>
              </w:rPr>
            </w:pPr>
            <w:r>
              <w:rPr>
                <w:rFonts w:hint="eastAsia" w:asciiTheme="minorEastAsia" w:hAnsiTheme="minorEastAsia"/>
                <w:b/>
                <w:bCs/>
                <w:sz w:val="24"/>
                <w:szCs w:val="24"/>
              </w:rPr>
              <w:t>六、公司是否有投资并购相关的计划？</w:t>
            </w:r>
          </w:p>
          <w:p w14:paraId="58291DCC">
            <w:pPr>
              <w:spacing w:line="440" w:lineRule="exact"/>
              <w:ind w:firstLine="482" w:firstLineChars="200"/>
              <w:rPr>
                <w:rFonts w:asciiTheme="minorEastAsia" w:hAnsiTheme="minorEastAsia"/>
                <w:sz w:val="24"/>
                <w:szCs w:val="24"/>
              </w:rPr>
            </w:pPr>
            <w:r>
              <w:rPr>
                <w:rFonts w:hint="eastAsia" w:asciiTheme="minorEastAsia" w:hAnsiTheme="minorEastAsia"/>
                <w:b/>
                <w:bCs/>
                <w:sz w:val="24"/>
                <w:szCs w:val="24"/>
              </w:rPr>
              <w:t>回复：</w:t>
            </w:r>
            <w:r>
              <w:rPr>
                <w:rFonts w:asciiTheme="minorEastAsia" w:hAnsiTheme="minorEastAsia"/>
                <w:sz w:val="24"/>
                <w:szCs w:val="24"/>
              </w:rPr>
              <w:t>尊敬的投资者，您好！围绕“强链</w:t>
            </w:r>
            <w:r>
              <w:rPr>
                <w:rFonts w:hint="eastAsia" w:asciiTheme="minorEastAsia" w:hAnsiTheme="minorEastAsia"/>
                <w:sz w:val="24"/>
                <w:szCs w:val="24"/>
                <w:lang w:eastAsia="zh-CN"/>
              </w:rPr>
              <w:t>、</w:t>
            </w:r>
            <w:r>
              <w:rPr>
                <w:rFonts w:asciiTheme="minorEastAsia" w:hAnsiTheme="minorEastAsia"/>
                <w:sz w:val="24"/>
                <w:szCs w:val="24"/>
              </w:rPr>
              <w:t>补链、延链”，公司持续关注产业链上可能的整合机会，以期通过外延式发展加速产业布局和技术升级。在矿山装备领域，重点围绕完善产品谱系、提升系统解决方案能力进行布局。在特种机器人领域，积极寻求能够增强产业基础、补齐技术短板的整合方向。在高端材料领域，关注与现有业务形成协同的新材料、新工艺机会。如有相关</w:t>
            </w:r>
            <w:r>
              <w:rPr>
                <w:rFonts w:hint="eastAsia" w:asciiTheme="minorEastAsia" w:hAnsiTheme="minorEastAsia"/>
                <w:sz w:val="24"/>
                <w:szCs w:val="24"/>
              </w:rPr>
              <w:t>投资</w:t>
            </w:r>
            <w:r>
              <w:rPr>
                <w:rFonts w:asciiTheme="minorEastAsia" w:hAnsiTheme="minorEastAsia"/>
                <w:sz w:val="24"/>
                <w:szCs w:val="24"/>
              </w:rPr>
              <w:t>并购计划</w:t>
            </w:r>
            <w:r>
              <w:rPr>
                <w:rFonts w:hint="eastAsia" w:asciiTheme="minorEastAsia" w:hAnsiTheme="minorEastAsia"/>
                <w:sz w:val="24"/>
                <w:szCs w:val="24"/>
              </w:rPr>
              <w:t>且达到信息披露标准</w:t>
            </w:r>
            <w:r>
              <w:rPr>
                <w:rFonts w:asciiTheme="minorEastAsia" w:hAnsiTheme="minorEastAsia"/>
                <w:sz w:val="24"/>
                <w:szCs w:val="24"/>
              </w:rPr>
              <w:t>，公司将按规定履行信息披露义务。感谢您对公司的关注。</w:t>
            </w:r>
          </w:p>
        </w:tc>
      </w:tr>
      <w:tr w14:paraId="7E2D6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68" w:type="dxa"/>
            <w:vAlign w:val="center"/>
          </w:tcPr>
          <w:p w14:paraId="7DEC6476">
            <w:pPr>
              <w:jc w:val="center"/>
              <w:rPr>
                <w:rFonts w:asciiTheme="minorEastAsia" w:hAnsiTheme="minorEastAsia"/>
                <w:b/>
                <w:sz w:val="24"/>
                <w:szCs w:val="24"/>
              </w:rPr>
            </w:pPr>
            <w:r>
              <w:rPr>
                <w:rFonts w:hint="eastAsia" w:asciiTheme="minorEastAsia" w:hAnsiTheme="minorEastAsia"/>
                <w:b/>
                <w:sz w:val="24"/>
                <w:szCs w:val="24"/>
              </w:rPr>
              <w:t>附件清单</w:t>
            </w:r>
          </w:p>
          <w:p w14:paraId="70D6EE50">
            <w:pPr>
              <w:jc w:val="center"/>
              <w:rPr>
                <w:rFonts w:asciiTheme="minorEastAsia" w:hAnsiTheme="minorEastAsia"/>
                <w:b/>
                <w:sz w:val="24"/>
                <w:szCs w:val="24"/>
              </w:rPr>
            </w:pPr>
            <w:r>
              <w:rPr>
                <w:rFonts w:hint="eastAsia" w:asciiTheme="minorEastAsia" w:hAnsiTheme="minorEastAsia"/>
                <w:b/>
                <w:sz w:val="24"/>
                <w:szCs w:val="24"/>
              </w:rPr>
              <w:t>（如有）</w:t>
            </w:r>
          </w:p>
        </w:tc>
        <w:tc>
          <w:tcPr>
            <w:tcW w:w="6854" w:type="dxa"/>
            <w:vAlign w:val="center"/>
          </w:tcPr>
          <w:p w14:paraId="00815F30">
            <w:pPr>
              <w:pStyle w:val="13"/>
              <w:spacing w:line="360" w:lineRule="exact"/>
              <w:ind w:firstLine="0" w:firstLineChars="0"/>
              <w:jc w:val="center"/>
              <w:rPr>
                <w:rFonts w:asciiTheme="minorEastAsia" w:hAnsiTheme="minorEastAsia"/>
                <w:bCs/>
                <w:sz w:val="24"/>
                <w:szCs w:val="21"/>
              </w:rPr>
            </w:pPr>
            <w:r>
              <w:rPr>
                <w:rFonts w:hint="eastAsia" w:asciiTheme="minorEastAsia" w:hAnsiTheme="minorEastAsia"/>
                <w:bCs/>
                <w:sz w:val="24"/>
                <w:szCs w:val="21"/>
              </w:rPr>
              <w:t>无</w:t>
            </w:r>
          </w:p>
        </w:tc>
      </w:tr>
    </w:tbl>
    <w:p w14:paraId="26301B05"/>
    <w:sectPr>
      <w:head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E218F8AE-59D2-4F19-8DF4-D4778AC9D4E9}"/>
  </w:font>
  <w:font w:name="黑体">
    <w:panose1 w:val="02010609060101010101"/>
    <w:charset w:val="86"/>
    <w:family w:val="auto"/>
    <w:pitch w:val="default"/>
    <w:sig w:usb0="800002BF" w:usb1="38CF7CFA" w:usb2="00000016" w:usb3="00000000" w:csb0="00040001" w:csb1="00000000"/>
    <w:embedRegular r:id="rId2" w:fontKey="{9CAB9AD7-F79F-448C-A1CC-7CD8599F8A8F}"/>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Segoe UI">
    <w:panose1 w:val="020B0502040204020203"/>
    <w:charset w:val="00"/>
    <w:family w:val="swiss"/>
    <w:pitch w:val="default"/>
    <w:sig w:usb0="E4002EFF" w:usb1="C000E47F" w:usb2="00000009" w:usb3="00000000" w:csb0="200001FF" w:csb1="00000000"/>
    <w:embedRegular r:id="rId3" w:fontKey="{B77E5A61-AE9B-47AD-A60F-D450C5E43F18}"/>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BE2275">
    <w:pPr>
      <w:pStyle w:val="5"/>
      <w:jc w:val="left"/>
    </w:pPr>
    <w:r>
      <w:rPr>
        <w:rFonts w:hint="eastAsia"/>
      </w:rPr>
      <w:t>证券代码：</w:t>
    </w:r>
    <w:r>
      <w:rPr>
        <w:rFonts w:hint="eastAsia" w:asciiTheme="minorEastAsia" w:hAnsiTheme="minorEastAsia"/>
      </w:rPr>
      <w:t>6</w:t>
    </w:r>
    <w:r>
      <w:rPr>
        <w:rFonts w:asciiTheme="minorEastAsia" w:hAnsiTheme="minorEastAsia"/>
      </w:rPr>
      <w:t>01608</w:t>
    </w:r>
    <w:r>
      <w:rPr>
        <w:rFonts w:hint="eastAsia"/>
      </w:rPr>
      <w:t xml:space="preserve"> </w:t>
    </w:r>
    <w:r>
      <w:t xml:space="preserve">                                                         </w:t>
    </w:r>
    <w:r>
      <w:rPr>
        <w:rFonts w:hint="eastAsia"/>
      </w:rPr>
      <w:t>证券简称：中信重工</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7310"/>
    <w:rsid w:val="000000FC"/>
    <w:rsid w:val="00002FE6"/>
    <w:rsid w:val="00004A2F"/>
    <w:rsid w:val="00011FEB"/>
    <w:rsid w:val="000132DE"/>
    <w:rsid w:val="000149BD"/>
    <w:rsid w:val="00016FA6"/>
    <w:rsid w:val="0001798C"/>
    <w:rsid w:val="00020947"/>
    <w:rsid w:val="000221F3"/>
    <w:rsid w:val="00030B2D"/>
    <w:rsid w:val="000356A4"/>
    <w:rsid w:val="0004093A"/>
    <w:rsid w:val="00044D4D"/>
    <w:rsid w:val="00051055"/>
    <w:rsid w:val="00054114"/>
    <w:rsid w:val="000571B6"/>
    <w:rsid w:val="000631D4"/>
    <w:rsid w:val="00063582"/>
    <w:rsid w:val="000635BF"/>
    <w:rsid w:val="00063773"/>
    <w:rsid w:val="0006483A"/>
    <w:rsid w:val="000668CC"/>
    <w:rsid w:val="00066B2D"/>
    <w:rsid w:val="00070636"/>
    <w:rsid w:val="00071E83"/>
    <w:rsid w:val="0007490D"/>
    <w:rsid w:val="000866E5"/>
    <w:rsid w:val="00092159"/>
    <w:rsid w:val="00095FF1"/>
    <w:rsid w:val="00097CA6"/>
    <w:rsid w:val="000A3C5D"/>
    <w:rsid w:val="000A6019"/>
    <w:rsid w:val="000A6A03"/>
    <w:rsid w:val="000B15AD"/>
    <w:rsid w:val="000B2511"/>
    <w:rsid w:val="000B3253"/>
    <w:rsid w:val="000B558B"/>
    <w:rsid w:val="000C6087"/>
    <w:rsid w:val="000C7159"/>
    <w:rsid w:val="000D6D0D"/>
    <w:rsid w:val="000D7225"/>
    <w:rsid w:val="000E0D78"/>
    <w:rsid w:val="000E47AB"/>
    <w:rsid w:val="000E634C"/>
    <w:rsid w:val="000F5ACB"/>
    <w:rsid w:val="000F7C2D"/>
    <w:rsid w:val="00100F44"/>
    <w:rsid w:val="00111236"/>
    <w:rsid w:val="00114DE5"/>
    <w:rsid w:val="00115D45"/>
    <w:rsid w:val="00116DD7"/>
    <w:rsid w:val="001209C7"/>
    <w:rsid w:val="00120CC5"/>
    <w:rsid w:val="00123673"/>
    <w:rsid w:val="00126F56"/>
    <w:rsid w:val="00126FBE"/>
    <w:rsid w:val="0014753D"/>
    <w:rsid w:val="00147C4F"/>
    <w:rsid w:val="001530C2"/>
    <w:rsid w:val="001534BD"/>
    <w:rsid w:val="001603CD"/>
    <w:rsid w:val="00160DBC"/>
    <w:rsid w:val="001618BA"/>
    <w:rsid w:val="0016348D"/>
    <w:rsid w:val="00166BB3"/>
    <w:rsid w:val="00171788"/>
    <w:rsid w:val="001745BA"/>
    <w:rsid w:val="00175BCF"/>
    <w:rsid w:val="00175F5C"/>
    <w:rsid w:val="0017752B"/>
    <w:rsid w:val="00177D6C"/>
    <w:rsid w:val="00180C23"/>
    <w:rsid w:val="001833BA"/>
    <w:rsid w:val="00183C7C"/>
    <w:rsid w:val="00186E00"/>
    <w:rsid w:val="00194600"/>
    <w:rsid w:val="00196CEC"/>
    <w:rsid w:val="001A03E5"/>
    <w:rsid w:val="001A0B70"/>
    <w:rsid w:val="001A18BF"/>
    <w:rsid w:val="001A31AE"/>
    <w:rsid w:val="001A487A"/>
    <w:rsid w:val="001A5535"/>
    <w:rsid w:val="001A592F"/>
    <w:rsid w:val="001A6893"/>
    <w:rsid w:val="001A732F"/>
    <w:rsid w:val="001B21A5"/>
    <w:rsid w:val="001B4016"/>
    <w:rsid w:val="001B75D4"/>
    <w:rsid w:val="001B7CAF"/>
    <w:rsid w:val="001C024F"/>
    <w:rsid w:val="001C1FFA"/>
    <w:rsid w:val="001C70B8"/>
    <w:rsid w:val="001D2780"/>
    <w:rsid w:val="001D7E7F"/>
    <w:rsid w:val="001E33BA"/>
    <w:rsid w:val="001E511A"/>
    <w:rsid w:val="001E6DF1"/>
    <w:rsid w:val="001F03E9"/>
    <w:rsid w:val="001F6870"/>
    <w:rsid w:val="001F6A7A"/>
    <w:rsid w:val="001F6E80"/>
    <w:rsid w:val="00200CA5"/>
    <w:rsid w:val="00201459"/>
    <w:rsid w:val="0020473A"/>
    <w:rsid w:val="00205E7B"/>
    <w:rsid w:val="0020796F"/>
    <w:rsid w:val="0021001D"/>
    <w:rsid w:val="00213698"/>
    <w:rsid w:val="00213C23"/>
    <w:rsid w:val="00213E69"/>
    <w:rsid w:val="00216C5F"/>
    <w:rsid w:val="00216D18"/>
    <w:rsid w:val="00223D4F"/>
    <w:rsid w:val="00224836"/>
    <w:rsid w:val="00225E22"/>
    <w:rsid w:val="00230342"/>
    <w:rsid w:val="00230488"/>
    <w:rsid w:val="00231929"/>
    <w:rsid w:val="00235D54"/>
    <w:rsid w:val="00235FDD"/>
    <w:rsid w:val="00245A3A"/>
    <w:rsid w:val="00245E78"/>
    <w:rsid w:val="0024685C"/>
    <w:rsid w:val="002468E6"/>
    <w:rsid w:val="00246FB3"/>
    <w:rsid w:val="0025254F"/>
    <w:rsid w:val="0025420E"/>
    <w:rsid w:val="00254CB5"/>
    <w:rsid w:val="00257651"/>
    <w:rsid w:val="002624B3"/>
    <w:rsid w:val="00262F37"/>
    <w:rsid w:val="00264A6D"/>
    <w:rsid w:val="00265C9E"/>
    <w:rsid w:val="00267005"/>
    <w:rsid w:val="0027082F"/>
    <w:rsid w:val="00271384"/>
    <w:rsid w:val="00273E64"/>
    <w:rsid w:val="00274CAB"/>
    <w:rsid w:val="00284E80"/>
    <w:rsid w:val="00285231"/>
    <w:rsid w:val="002879DD"/>
    <w:rsid w:val="00293491"/>
    <w:rsid w:val="002940FE"/>
    <w:rsid w:val="0029679B"/>
    <w:rsid w:val="002A74C7"/>
    <w:rsid w:val="002C2C42"/>
    <w:rsid w:val="002C31C5"/>
    <w:rsid w:val="002C3BAA"/>
    <w:rsid w:val="002C64F3"/>
    <w:rsid w:val="002D28A0"/>
    <w:rsid w:val="002E2B8F"/>
    <w:rsid w:val="002F20A9"/>
    <w:rsid w:val="002F6EF9"/>
    <w:rsid w:val="00302430"/>
    <w:rsid w:val="003045AC"/>
    <w:rsid w:val="00305B7F"/>
    <w:rsid w:val="00310707"/>
    <w:rsid w:val="00317955"/>
    <w:rsid w:val="00320F9A"/>
    <w:rsid w:val="00321574"/>
    <w:rsid w:val="0032487F"/>
    <w:rsid w:val="003258C7"/>
    <w:rsid w:val="003265F3"/>
    <w:rsid w:val="00327DF8"/>
    <w:rsid w:val="003321FF"/>
    <w:rsid w:val="00332430"/>
    <w:rsid w:val="0033370F"/>
    <w:rsid w:val="003402CF"/>
    <w:rsid w:val="0034235C"/>
    <w:rsid w:val="00354ED6"/>
    <w:rsid w:val="003621E1"/>
    <w:rsid w:val="003642EA"/>
    <w:rsid w:val="003642EB"/>
    <w:rsid w:val="003645C8"/>
    <w:rsid w:val="0036531F"/>
    <w:rsid w:val="00365F0B"/>
    <w:rsid w:val="00367781"/>
    <w:rsid w:val="00371A49"/>
    <w:rsid w:val="0037333E"/>
    <w:rsid w:val="003763A7"/>
    <w:rsid w:val="00380B6D"/>
    <w:rsid w:val="00384D24"/>
    <w:rsid w:val="00387244"/>
    <w:rsid w:val="0039433D"/>
    <w:rsid w:val="003965F3"/>
    <w:rsid w:val="00397164"/>
    <w:rsid w:val="003A1577"/>
    <w:rsid w:val="003A202A"/>
    <w:rsid w:val="003A4821"/>
    <w:rsid w:val="003A4C4B"/>
    <w:rsid w:val="003A792A"/>
    <w:rsid w:val="003B20B9"/>
    <w:rsid w:val="003B63C0"/>
    <w:rsid w:val="003C11AA"/>
    <w:rsid w:val="003C7B62"/>
    <w:rsid w:val="003D13EA"/>
    <w:rsid w:val="003D1630"/>
    <w:rsid w:val="003D166E"/>
    <w:rsid w:val="003D1B9B"/>
    <w:rsid w:val="003D5C7B"/>
    <w:rsid w:val="003D7487"/>
    <w:rsid w:val="003E55A0"/>
    <w:rsid w:val="003E6B0D"/>
    <w:rsid w:val="003E7CC7"/>
    <w:rsid w:val="003F026F"/>
    <w:rsid w:val="003F3171"/>
    <w:rsid w:val="003F31A8"/>
    <w:rsid w:val="003F4929"/>
    <w:rsid w:val="003F60DB"/>
    <w:rsid w:val="003F6F66"/>
    <w:rsid w:val="00400238"/>
    <w:rsid w:val="0040088E"/>
    <w:rsid w:val="004033FC"/>
    <w:rsid w:val="004066BC"/>
    <w:rsid w:val="00407202"/>
    <w:rsid w:val="00407CBC"/>
    <w:rsid w:val="00407F35"/>
    <w:rsid w:val="004101BE"/>
    <w:rsid w:val="0041101C"/>
    <w:rsid w:val="004110EB"/>
    <w:rsid w:val="0041249B"/>
    <w:rsid w:val="00414080"/>
    <w:rsid w:val="004171D5"/>
    <w:rsid w:val="00423717"/>
    <w:rsid w:val="004244CC"/>
    <w:rsid w:val="004252E9"/>
    <w:rsid w:val="00425C5A"/>
    <w:rsid w:val="00427FD9"/>
    <w:rsid w:val="00430012"/>
    <w:rsid w:val="004301BF"/>
    <w:rsid w:val="00434FE4"/>
    <w:rsid w:val="00435ED3"/>
    <w:rsid w:val="004416F4"/>
    <w:rsid w:val="0045020E"/>
    <w:rsid w:val="00455FCC"/>
    <w:rsid w:val="0045775E"/>
    <w:rsid w:val="004578D3"/>
    <w:rsid w:val="00460345"/>
    <w:rsid w:val="00463BBD"/>
    <w:rsid w:val="00465EFA"/>
    <w:rsid w:val="0046668B"/>
    <w:rsid w:val="00466CA7"/>
    <w:rsid w:val="00467C31"/>
    <w:rsid w:val="00470EA6"/>
    <w:rsid w:val="00471195"/>
    <w:rsid w:val="0047482F"/>
    <w:rsid w:val="00475350"/>
    <w:rsid w:val="0047700A"/>
    <w:rsid w:val="004778AD"/>
    <w:rsid w:val="00485778"/>
    <w:rsid w:val="004857CC"/>
    <w:rsid w:val="0049008C"/>
    <w:rsid w:val="0049110F"/>
    <w:rsid w:val="00491FB3"/>
    <w:rsid w:val="00493B3F"/>
    <w:rsid w:val="00494476"/>
    <w:rsid w:val="004967DB"/>
    <w:rsid w:val="00496937"/>
    <w:rsid w:val="00497C3E"/>
    <w:rsid w:val="004A0C59"/>
    <w:rsid w:val="004A4F02"/>
    <w:rsid w:val="004A5378"/>
    <w:rsid w:val="004A5A35"/>
    <w:rsid w:val="004A60BE"/>
    <w:rsid w:val="004A748E"/>
    <w:rsid w:val="004B4737"/>
    <w:rsid w:val="004B5BB0"/>
    <w:rsid w:val="004C03B8"/>
    <w:rsid w:val="004D1021"/>
    <w:rsid w:val="004D2A45"/>
    <w:rsid w:val="004D4AB3"/>
    <w:rsid w:val="004D7DA5"/>
    <w:rsid w:val="004E09D2"/>
    <w:rsid w:val="004E54FC"/>
    <w:rsid w:val="004E694D"/>
    <w:rsid w:val="004E70D8"/>
    <w:rsid w:val="004E7496"/>
    <w:rsid w:val="004F0375"/>
    <w:rsid w:val="004F09D5"/>
    <w:rsid w:val="004F29A7"/>
    <w:rsid w:val="005000DD"/>
    <w:rsid w:val="0050399E"/>
    <w:rsid w:val="00503D45"/>
    <w:rsid w:val="005078F1"/>
    <w:rsid w:val="00510102"/>
    <w:rsid w:val="0051271C"/>
    <w:rsid w:val="00513BDA"/>
    <w:rsid w:val="0051437F"/>
    <w:rsid w:val="00522345"/>
    <w:rsid w:val="005256B6"/>
    <w:rsid w:val="005268D3"/>
    <w:rsid w:val="005324EE"/>
    <w:rsid w:val="00532CFD"/>
    <w:rsid w:val="005336FA"/>
    <w:rsid w:val="0053401B"/>
    <w:rsid w:val="00534D86"/>
    <w:rsid w:val="00536BC4"/>
    <w:rsid w:val="00536CA0"/>
    <w:rsid w:val="005377BF"/>
    <w:rsid w:val="005503AD"/>
    <w:rsid w:val="00550B33"/>
    <w:rsid w:val="005522C1"/>
    <w:rsid w:val="0055355E"/>
    <w:rsid w:val="00553D41"/>
    <w:rsid w:val="005547C8"/>
    <w:rsid w:val="00556677"/>
    <w:rsid w:val="00562268"/>
    <w:rsid w:val="005623F5"/>
    <w:rsid w:val="005722D1"/>
    <w:rsid w:val="005735E2"/>
    <w:rsid w:val="00582F37"/>
    <w:rsid w:val="00585DCD"/>
    <w:rsid w:val="00591BC7"/>
    <w:rsid w:val="0059203A"/>
    <w:rsid w:val="00592B92"/>
    <w:rsid w:val="00597D77"/>
    <w:rsid w:val="005A0C7A"/>
    <w:rsid w:val="005A120F"/>
    <w:rsid w:val="005A14FA"/>
    <w:rsid w:val="005A1628"/>
    <w:rsid w:val="005A28B7"/>
    <w:rsid w:val="005A5F8F"/>
    <w:rsid w:val="005A7471"/>
    <w:rsid w:val="005B10D0"/>
    <w:rsid w:val="005B1CA1"/>
    <w:rsid w:val="005B2C0D"/>
    <w:rsid w:val="005B4529"/>
    <w:rsid w:val="005B777D"/>
    <w:rsid w:val="005C41E5"/>
    <w:rsid w:val="005C6DF9"/>
    <w:rsid w:val="005C728F"/>
    <w:rsid w:val="005D0C20"/>
    <w:rsid w:val="005D6656"/>
    <w:rsid w:val="005D7CFA"/>
    <w:rsid w:val="005E015A"/>
    <w:rsid w:val="005E3BA2"/>
    <w:rsid w:val="005E4130"/>
    <w:rsid w:val="005E459B"/>
    <w:rsid w:val="005E4C40"/>
    <w:rsid w:val="005E4E95"/>
    <w:rsid w:val="005E71AD"/>
    <w:rsid w:val="005F13D4"/>
    <w:rsid w:val="005F2782"/>
    <w:rsid w:val="005F6375"/>
    <w:rsid w:val="005F752F"/>
    <w:rsid w:val="005F7F0F"/>
    <w:rsid w:val="006017D6"/>
    <w:rsid w:val="00606C9E"/>
    <w:rsid w:val="00607D0A"/>
    <w:rsid w:val="006151FA"/>
    <w:rsid w:val="00616BBB"/>
    <w:rsid w:val="0061710F"/>
    <w:rsid w:val="00621A52"/>
    <w:rsid w:val="00622411"/>
    <w:rsid w:val="00624948"/>
    <w:rsid w:val="00626243"/>
    <w:rsid w:val="006332C8"/>
    <w:rsid w:val="00634524"/>
    <w:rsid w:val="00634D6A"/>
    <w:rsid w:val="00636D46"/>
    <w:rsid w:val="00641F61"/>
    <w:rsid w:val="00642CBA"/>
    <w:rsid w:val="00643F32"/>
    <w:rsid w:val="00644B96"/>
    <w:rsid w:val="006464C4"/>
    <w:rsid w:val="0065074C"/>
    <w:rsid w:val="00650B2A"/>
    <w:rsid w:val="00653321"/>
    <w:rsid w:val="006534CA"/>
    <w:rsid w:val="006575A7"/>
    <w:rsid w:val="00661BB6"/>
    <w:rsid w:val="006640D8"/>
    <w:rsid w:val="006659A8"/>
    <w:rsid w:val="0066633F"/>
    <w:rsid w:val="0066696D"/>
    <w:rsid w:val="006705A3"/>
    <w:rsid w:val="00673734"/>
    <w:rsid w:val="00680090"/>
    <w:rsid w:val="006854FC"/>
    <w:rsid w:val="00685774"/>
    <w:rsid w:val="0068777A"/>
    <w:rsid w:val="00687F7A"/>
    <w:rsid w:val="00690867"/>
    <w:rsid w:val="0069104D"/>
    <w:rsid w:val="00694C74"/>
    <w:rsid w:val="006963B7"/>
    <w:rsid w:val="006A051F"/>
    <w:rsid w:val="006A654C"/>
    <w:rsid w:val="006B7787"/>
    <w:rsid w:val="006C0131"/>
    <w:rsid w:val="006C0438"/>
    <w:rsid w:val="006C1ABF"/>
    <w:rsid w:val="006C2F9C"/>
    <w:rsid w:val="006E0666"/>
    <w:rsid w:val="006E25C7"/>
    <w:rsid w:val="006E3AAA"/>
    <w:rsid w:val="006E534B"/>
    <w:rsid w:val="006E764E"/>
    <w:rsid w:val="006F1611"/>
    <w:rsid w:val="006F57A6"/>
    <w:rsid w:val="006F59D6"/>
    <w:rsid w:val="006F6603"/>
    <w:rsid w:val="006F6B7F"/>
    <w:rsid w:val="00703FF0"/>
    <w:rsid w:val="00704C4D"/>
    <w:rsid w:val="007107F4"/>
    <w:rsid w:val="00711F65"/>
    <w:rsid w:val="00712630"/>
    <w:rsid w:val="00713035"/>
    <w:rsid w:val="007148E8"/>
    <w:rsid w:val="00720A6E"/>
    <w:rsid w:val="007274DA"/>
    <w:rsid w:val="00730E16"/>
    <w:rsid w:val="007316C3"/>
    <w:rsid w:val="0073306C"/>
    <w:rsid w:val="007379A8"/>
    <w:rsid w:val="00742727"/>
    <w:rsid w:val="0074314B"/>
    <w:rsid w:val="007465F1"/>
    <w:rsid w:val="007471A5"/>
    <w:rsid w:val="0075501B"/>
    <w:rsid w:val="007560BE"/>
    <w:rsid w:val="007603A2"/>
    <w:rsid w:val="00763133"/>
    <w:rsid w:val="00770A33"/>
    <w:rsid w:val="00774260"/>
    <w:rsid w:val="00775DA1"/>
    <w:rsid w:val="00776199"/>
    <w:rsid w:val="00783367"/>
    <w:rsid w:val="00786285"/>
    <w:rsid w:val="00787E50"/>
    <w:rsid w:val="007905F1"/>
    <w:rsid w:val="007911D9"/>
    <w:rsid w:val="007919AD"/>
    <w:rsid w:val="0079273F"/>
    <w:rsid w:val="007938CA"/>
    <w:rsid w:val="007A13E2"/>
    <w:rsid w:val="007A2E12"/>
    <w:rsid w:val="007A2E76"/>
    <w:rsid w:val="007A3947"/>
    <w:rsid w:val="007A42ED"/>
    <w:rsid w:val="007A5B6F"/>
    <w:rsid w:val="007B02B9"/>
    <w:rsid w:val="007B034B"/>
    <w:rsid w:val="007B043A"/>
    <w:rsid w:val="007B15FB"/>
    <w:rsid w:val="007B2C11"/>
    <w:rsid w:val="007B6659"/>
    <w:rsid w:val="007C36F7"/>
    <w:rsid w:val="007C37F1"/>
    <w:rsid w:val="007C5B1E"/>
    <w:rsid w:val="007C5EDA"/>
    <w:rsid w:val="007C7ECE"/>
    <w:rsid w:val="007D274C"/>
    <w:rsid w:val="007D53AB"/>
    <w:rsid w:val="007D6842"/>
    <w:rsid w:val="007E4157"/>
    <w:rsid w:val="007F176B"/>
    <w:rsid w:val="007F1D6D"/>
    <w:rsid w:val="007F1DB7"/>
    <w:rsid w:val="007F2AA8"/>
    <w:rsid w:val="007F2F8B"/>
    <w:rsid w:val="007F3C28"/>
    <w:rsid w:val="007F56A0"/>
    <w:rsid w:val="007F5A59"/>
    <w:rsid w:val="007F6F02"/>
    <w:rsid w:val="007F7292"/>
    <w:rsid w:val="00800A58"/>
    <w:rsid w:val="008052BD"/>
    <w:rsid w:val="00810A43"/>
    <w:rsid w:val="00814D8D"/>
    <w:rsid w:val="00814E63"/>
    <w:rsid w:val="008335E9"/>
    <w:rsid w:val="00841E6A"/>
    <w:rsid w:val="008432E2"/>
    <w:rsid w:val="00847310"/>
    <w:rsid w:val="008547FE"/>
    <w:rsid w:val="008563D3"/>
    <w:rsid w:val="00867379"/>
    <w:rsid w:val="00867D64"/>
    <w:rsid w:val="00870CB1"/>
    <w:rsid w:val="008711A4"/>
    <w:rsid w:val="0087592C"/>
    <w:rsid w:val="0087599E"/>
    <w:rsid w:val="00884501"/>
    <w:rsid w:val="00884BAD"/>
    <w:rsid w:val="00887B46"/>
    <w:rsid w:val="00892621"/>
    <w:rsid w:val="00892F4A"/>
    <w:rsid w:val="00893905"/>
    <w:rsid w:val="0089656C"/>
    <w:rsid w:val="008A13E4"/>
    <w:rsid w:val="008A2AD5"/>
    <w:rsid w:val="008A4FE7"/>
    <w:rsid w:val="008A6843"/>
    <w:rsid w:val="008B1271"/>
    <w:rsid w:val="008B3157"/>
    <w:rsid w:val="008C2445"/>
    <w:rsid w:val="008C5224"/>
    <w:rsid w:val="008C5D01"/>
    <w:rsid w:val="008D2972"/>
    <w:rsid w:val="008D3043"/>
    <w:rsid w:val="008D5AC4"/>
    <w:rsid w:val="008D6623"/>
    <w:rsid w:val="008E0228"/>
    <w:rsid w:val="008E3306"/>
    <w:rsid w:val="008E4E42"/>
    <w:rsid w:val="008F0A13"/>
    <w:rsid w:val="008F1665"/>
    <w:rsid w:val="008F1822"/>
    <w:rsid w:val="008F23AC"/>
    <w:rsid w:val="008F23E7"/>
    <w:rsid w:val="008F4B6B"/>
    <w:rsid w:val="008F6A1C"/>
    <w:rsid w:val="0090034F"/>
    <w:rsid w:val="0090124C"/>
    <w:rsid w:val="00905771"/>
    <w:rsid w:val="009117FD"/>
    <w:rsid w:val="00913A41"/>
    <w:rsid w:val="00916CE7"/>
    <w:rsid w:val="00921671"/>
    <w:rsid w:val="0092289F"/>
    <w:rsid w:val="00923859"/>
    <w:rsid w:val="00927234"/>
    <w:rsid w:val="00931741"/>
    <w:rsid w:val="009336F6"/>
    <w:rsid w:val="009370D6"/>
    <w:rsid w:val="009453D3"/>
    <w:rsid w:val="009466DA"/>
    <w:rsid w:val="00952EF8"/>
    <w:rsid w:val="00953C9A"/>
    <w:rsid w:val="0095439E"/>
    <w:rsid w:val="00954E35"/>
    <w:rsid w:val="00955055"/>
    <w:rsid w:val="009619BF"/>
    <w:rsid w:val="00961BB4"/>
    <w:rsid w:val="00965795"/>
    <w:rsid w:val="00970648"/>
    <w:rsid w:val="00972F62"/>
    <w:rsid w:val="009778A2"/>
    <w:rsid w:val="00986471"/>
    <w:rsid w:val="00986A1E"/>
    <w:rsid w:val="0098763F"/>
    <w:rsid w:val="0099049D"/>
    <w:rsid w:val="0099094C"/>
    <w:rsid w:val="00992664"/>
    <w:rsid w:val="009956FD"/>
    <w:rsid w:val="00997F92"/>
    <w:rsid w:val="009A06D9"/>
    <w:rsid w:val="009A6CE4"/>
    <w:rsid w:val="009A7AA8"/>
    <w:rsid w:val="009A7D3D"/>
    <w:rsid w:val="009B2F59"/>
    <w:rsid w:val="009B35B6"/>
    <w:rsid w:val="009C0101"/>
    <w:rsid w:val="009C1691"/>
    <w:rsid w:val="009C3FE3"/>
    <w:rsid w:val="009E066A"/>
    <w:rsid w:val="009E12A8"/>
    <w:rsid w:val="009E16DB"/>
    <w:rsid w:val="009E4513"/>
    <w:rsid w:val="009E652B"/>
    <w:rsid w:val="009F32F2"/>
    <w:rsid w:val="00A03572"/>
    <w:rsid w:val="00A04BA1"/>
    <w:rsid w:val="00A05906"/>
    <w:rsid w:val="00A07CB7"/>
    <w:rsid w:val="00A14F62"/>
    <w:rsid w:val="00A20634"/>
    <w:rsid w:val="00A23A11"/>
    <w:rsid w:val="00A23B08"/>
    <w:rsid w:val="00A250E1"/>
    <w:rsid w:val="00A30613"/>
    <w:rsid w:val="00A330B0"/>
    <w:rsid w:val="00A33671"/>
    <w:rsid w:val="00A346AB"/>
    <w:rsid w:val="00A35CDD"/>
    <w:rsid w:val="00A43B12"/>
    <w:rsid w:val="00A44589"/>
    <w:rsid w:val="00A44B0B"/>
    <w:rsid w:val="00A4685D"/>
    <w:rsid w:val="00A52364"/>
    <w:rsid w:val="00A52729"/>
    <w:rsid w:val="00A56FC2"/>
    <w:rsid w:val="00A57473"/>
    <w:rsid w:val="00A57599"/>
    <w:rsid w:val="00A57C60"/>
    <w:rsid w:val="00A64D24"/>
    <w:rsid w:val="00A65D66"/>
    <w:rsid w:val="00A66F06"/>
    <w:rsid w:val="00A735C4"/>
    <w:rsid w:val="00A74007"/>
    <w:rsid w:val="00A76A1D"/>
    <w:rsid w:val="00A77D52"/>
    <w:rsid w:val="00A802C2"/>
    <w:rsid w:val="00A811B1"/>
    <w:rsid w:val="00A82C5D"/>
    <w:rsid w:val="00A8728D"/>
    <w:rsid w:val="00A91B2D"/>
    <w:rsid w:val="00A972AA"/>
    <w:rsid w:val="00AA064E"/>
    <w:rsid w:val="00AA2E63"/>
    <w:rsid w:val="00AA4A61"/>
    <w:rsid w:val="00AB3B1B"/>
    <w:rsid w:val="00AB4B72"/>
    <w:rsid w:val="00AB783F"/>
    <w:rsid w:val="00AC0A3F"/>
    <w:rsid w:val="00AD2613"/>
    <w:rsid w:val="00AD4BC9"/>
    <w:rsid w:val="00AD57FC"/>
    <w:rsid w:val="00AD7990"/>
    <w:rsid w:val="00AE3280"/>
    <w:rsid w:val="00AE35A5"/>
    <w:rsid w:val="00AE4A9C"/>
    <w:rsid w:val="00AF26E3"/>
    <w:rsid w:val="00AF6BD5"/>
    <w:rsid w:val="00B024B5"/>
    <w:rsid w:val="00B0399E"/>
    <w:rsid w:val="00B046BC"/>
    <w:rsid w:val="00B04941"/>
    <w:rsid w:val="00B052BC"/>
    <w:rsid w:val="00B05691"/>
    <w:rsid w:val="00B10DED"/>
    <w:rsid w:val="00B121B6"/>
    <w:rsid w:val="00B13932"/>
    <w:rsid w:val="00B1697B"/>
    <w:rsid w:val="00B23736"/>
    <w:rsid w:val="00B23DD6"/>
    <w:rsid w:val="00B25A1D"/>
    <w:rsid w:val="00B26D18"/>
    <w:rsid w:val="00B407CC"/>
    <w:rsid w:val="00B41286"/>
    <w:rsid w:val="00B44B6E"/>
    <w:rsid w:val="00B45759"/>
    <w:rsid w:val="00B4628F"/>
    <w:rsid w:val="00B51B07"/>
    <w:rsid w:val="00B51D9E"/>
    <w:rsid w:val="00B53285"/>
    <w:rsid w:val="00B57BEE"/>
    <w:rsid w:val="00B628D9"/>
    <w:rsid w:val="00B64101"/>
    <w:rsid w:val="00B64D9D"/>
    <w:rsid w:val="00B66799"/>
    <w:rsid w:val="00B760B8"/>
    <w:rsid w:val="00B76E42"/>
    <w:rsid w:val="00B829EE"/>
    <w:rsid w:val="00B84803"/>
    <w:rsid w:val="00B84D32"/>
    <w:rsid w:val="00B868CD"/>
    <w:rsid w:val="00B91B18"/>
    <w:rsid w:val="00B9237F"/>
    <w:rsid w:val="00B9272C"/>
    <w:rsid w:val="00B97134"/>
    <w:rsid w:val="00BA07C6"/>
    <w:rsid w:val="00BA24A3"/>
    <w:rsid w:val="00BA3CF1"/>
    <w:rsid w:val="00BA4490"/>
    <w:rsid w:val="00BA5213"/>
    <w:rsid w:val="00BA559B"/>
    <w:rsid w:val="00BA7BA0"/>
    <w:rsid w:val="00BB05F8"/>
    <w:rsid w:val="00BB4F2D"/>
    <w:rsid w:val="00BB5DA7"/>
    <w:rsid w:val="00BB6B15"/>
    <w:rsid w:val="00BC0343"/>
    <w:rsid w:val="00BC1DE3"/>
    <w:rsid w:val="00BC4C2E"/>
    <w:rsid w:val="00BC521C"/>
    <w:rsid w:val="00BC643B"/>
    <w:rsid w:val="00BC6A70"/>
    <w:rsid w:val="00BD6586"/>
    <w:rsid w:val="00BE08A0"/>
    <w:rsid w:val="00BE1656"/>
    <w:rsid w:val="00BE75D7"/>
    <w:rsid w:val="00BF3A47"/>
    <w:rsid w:val="00BF5D37"/>
    <w:rsid w:val="00C02029"/>
    <w:rsid w:val="00C079A4"/>
    <w:rsid w:val="00C12193"/>
    <w:rsid w:val="00C2022A"/>
    <w:rsid w:val="00C21DFC"/>
    <w:rsid w:val="00C24308"/>
    <w:rsid w:val="00C26417"/>
    <w:rsid w:val="00C26492"/>
    <w:rsid w:val="00C300FE"/>
    <w:rsid w:val="00C31FAA"/>
    <w:rsid w:val="00C34388"/>
    <w:rsid w:val="00C353F5"/>
    <w:rsid w:val="00C36218"/>
    <w:rsid w:val="00C36EC2"/>
    <w:rsid w:val="00C438FB"/>
    <w:rsid w:val="00C456B0"/>
    <w:rsid w:val="00C46C64"/>
    <w:rsid w:val="00C47148"/>
    <w:rsid w:val="00C529DA"/>
    <w:rsid w:val="00C5705B"/>
    <w:rsid w:val="00C61F54"/>
    <w:rsid w:val="00C63D9B"/>
    <w:rsid w:val="00C6454A"/>
    <w:rsid w:val="00C6773D"/>
    <w:rsid w:val="00C67841"/>
    <w:rsid w:val="00C71F60"/>
    <w:rsid w:val="00C76726"/>
    <w:rsid w:val="00C810BE"/>
    <w:rsid w:val="00C82178"/>
    <w:rsid w:val="00C8307F"/>
    <w:rsid w:val="00C84469"/>
    <w:rsid w:val="00C8518E"/>
    <w:rsid w:val="00C92C20"/>
    <w:rsid w:val="00C93FF0"/>
    <w:rsid w:val="00C94167"/>
    <w:rsid w:val="00C97491"/>
    <w:rsid w:val="00C979B5"/>
    <w:rsid w:val="00CA2CC8"/>
    <w:rsid w:val="00CA2F26"/>
    <w:rsid w:val="00CA3A63"/>
    <w:rsid w:val="00CA3AC9"/>
    <w:rsid w:val="00CA69C7"/>
    <w:rsid w:val="00CB16E5"/>
    <w:rsid w:val="00CB490E"/>
    <w:rsid w:val="00CC4F73"/>
    <w:rsid w:val="00CC53FE"/>
    <w:rsid w:val="00CC6E2E"/>
    <w:rsid w:val="00CC6F3D"/>
    <w:rsid w:val="00CD2537"/>
    <w:rsid w:val="00CD7524"/>
    <w:rsid w:val="00CF02D8"/>
    <w:rsid w:val="00CF193A"/>
    <w:rsid w:val="00CF1EA9"/>
    <w:rsid w:val="00CF310C"/>
    <w:rsid w:val="00CF52E5"/>
    <w:rsid w:val="00CF7043"/>
    <w:rsid w:val="00D0029D"/>
    <w:rsid w:val="00D00A2A"/>
    <w:rsid w:val="00D03694"/>
    <w:rsid w:val="00D05C70"/>
    <w:rsid w:val="00D05DC3"/>
    <w:rsid w:val="00D11889"/>
    <w:rsid w:val="00D15DA9"/>
    <w:rsid w:val="00D1754F"/>
    <w:rsid w:val="00D22882"/>
    <w:rsid w:val="00D22B13"/>
    <w:rsid w:val="00D24837"/>
    <w:rsid w:val="00D25503"/>
    <w:rsid w:val="00D304A7"/>
    <w:rsid w:val="00D33B80"/>
    <w:rsid w:val="00D34294"/>
    <w:rsid w:val="00D44A28"/>
    <w:rsid w:val="00D4584C"/>
    <w:rsid w:val="00D464C3"/>
    <w:rsid w:val="00D509E2"/>
    <w:rsid w:val="00D50D03"/>
    <w:rsid w:val="00D51D79"/>
    <w:rsid w:val="00D57D29"/>
    <w:rsid w:val="00D67864"/>
    <w:rsid w:val="00D73C91"/>
    <w:rsid w:val="00D7498F"/>
    <w:rsid w:val="00D83857"/>
    <w:rsid w:val="00D85AE6"/>
    <w:rsid w:val="00D86B92"/>
    <w:rsid w:val="00D915F7"/>
    <w:rsid w:val="00D92535"/>
    <w:rsid w:val="00D97850"/>
    <w:rsid w:val="00DA003E"/>
    <w:rsid w:val="00DA18D0"/>
    <w:rsid w:val="00DA21E4"/>
    <w:rsid w:val="00DA29F1"/>
    <w:rsid w:val="00DB1351"/>
    <w:rsid w:val="00DB5286"/>
    <w:rsid w:val="00DB65F2"/>
    <w:rsid w:val="00DC15A1"/>
    <w:rsid w:val="00DC3045"/>
    <w:rsid w:val="00DC408C"/>
    <w:rsid w:val="00DC698F"/>
    <w:rsid w:val="00DD05BD"/>
    <w:rsid w:val="00DD1166"/>
    <w:rsid w:val="00DE007F"/>
    <w:rsid w:val="00DE2711"/>
    <w:rsid w:val="00DE2828"/>
    <w:rsid w:val="00DE4B70"/>
    <w:rsid w:val="00DE702D"/>
    <w:rsid w:val="00DF213B"/>
    <w:rsid w:val="00DF46DB"/>
    <w:rsid w:val="00E04956"/>
    <w:rsid w:val="00E0793F"/>
    <w:rsid w:val="00E21549"/>
    <w:rsid w:val="00E24DA6"/>
    <w:rsid w:val="00E2766F"/>
    <w:rsid w:val="00E35ACE"/>
    <w:rsid w:val="00E35CC4"/>
    <w:rsid w:val="00E36A00"/>
    <w:rsid w:val="00E42E68"/>
    <w:rsid w:val="00E44A73"/>
    <w:rsid w:val="00E44DD4"/>
    <w:rsid w:val="00E465EF"/>
    <w:rsid w:val="00E479EF"/>
    <w:rsid w:val="00E47B85"/>
    <w:rsid w:val="00E50546"/>
    <w:rsid w:val="00E510CA"/>
    <w:rsid w:val="00E53097"/>
    <w:rsid w:val="00E536E7"/>
    <w:rsid w:val="00E54142"/>
    <w:rsid w:val="00E5494E"/>
    <w:rsid w:val="00E563CE"/>
    <w:rsid w:val="00E5716E"/>
    <w:rsid w:val="00E61B7F"/>
    <w:rsid w:val="00E627A5"/>
    <w:rsid w:val="00E66243"/>
    <w:rsid w:val="00E66C40"/>
    <w:rsid w:val="00E67744"/>
    <w:rsid w:val="00E71360"/>
    <w:rsid w:val="00E72039"/>
    <w:rsid w:val="00E7468E"/>
    <w:rsid w:val="00E76CA6"/>
    <w:rsid w:val="00E76CE0"/>
    <w:rsid w:val="00E77E0B"/>
    <w:rsid w:val="00E81D17"/>
    <w:rsid w:val="00E82A78"/>
    <w:rsid w:val="00E83B3B"/>
    <w:rsid w:val="00E84471"/>
    <w:rsid w:val="00E90303"/>
    <w:rsid w:val="00E93A3C"/>
    <w:rsid w:val="00E94534"/>
    <w:rsid w:val="00E97F39"/>
    <w:rsid w:val="00EA0DBD"/>
    <w:rsid w:val="00EA26FB"/>
    <w:rsid w:val="00EA5315"/>
    <w:rsid w:val="00EB2D31"/>
    <w:rsid w:val="00EB4A15"/>
    <w:rsid w:val="00EC1A0C"/>
    <w:rsid w:val="00EC26A5"/>
    <w:rsid w:val="00EC4251"/>
    <w:rsid w:val="00ED2B62"/>
    <w:rsid w:val="00ED3574"/>
    <w:rsid w:val="00ED6794"/>
    <w:rsid w:val="00EE04E9"/>
    <w:rsid w:val="00EE0A0D"/>
    <w:rsid w:val="00EE14C2"/>
    <w:rsid w:val="00EE56AD"/>
    <w:rsid w:val="00EE5E00"/>
    <w:rsid w:val="00EE602E"/>
    <w:rsid w:val="00EE7869"/>
    <w:rsid w:val="00EF1608"/>
    <w:rsid w:val="00EF5FE9"/>
    <w:rsid w:val="00F01973"/>
    <w:rsid w:val="00F01FFC"/>
    <w:rsid w:val="00F056E2"/>
    <w:rsid w:val="00F063DB"/>
    <w:rsid w:val="00F07A35"/>
    <w:rsid w:val="00F10F18"/>
    <w:rsid w:val="00F14540"/>
    <w:rsid w:val="00F2165E"/>
    <w:rsid w:val="00F23558"/>
    <w:rsid w:val="00F23C39"/>
    <w:rsid w:val="00F257A2"/>
    <w:rsid w:val="00F27018"/>
    <w:rsid w:val="00F3113D"/>
    <w:rsid w:val="00F3315D"/>
    <w:rsid w:val="00F334A9"/>
    <w:rsid w:val="00F335A5"/>
    <w:rsid w:val="00F44110"/>
    <w:rsid w:val="00F5125D"/>
    <w:rsid w:val="00F53808"/>
    <w:rsid w:val="00F546F3"/>
    <w:rsid w:val="00F67357"/>
    <w:rsid w:val="00F67901"/>
    <w:rsid w:val="00F700AB"/>
    <w:rsid w:val="00F7359B"/>
    <w:rsid w:val="00F73D06"/>
    <w:rsid w:val="00F74582"/>
    <w:rsid w:val="00F768C4"/>
    <w:rsid w:val="00F82CFA"/>
    <w:rsid w:val="00F83425"/>
    <w:rsid w:val="00F8732A"/>
    <w:rsid w:val="00F91042"/>
    <w:rsid w:val="00F95483"/>
    <w:rsid w:val="00F9560A"/>
    <w:rsid w:val="00F9604E"/>
    <w:rsid w:val="00F9742A"/>
    <w:rsid w:val="00FA1655"/>
    <w:rsid w:val="00FA3046"/>
    <w:rsid w:val="00FA33B6"/>
    <w:rsid w:val="00FA726B"/>
    <w:rsid w:val="00FB0344"/>
    <w:rsid w:val="00FB1E9F"/>
    <w:rsid w:val="00FB2E18"/>
    <w:rsid w:val="00FB4CEB"/>
    <w:rsid w:val="00FB70B8"/>
    <w:rsid w:val="00FB7AD4"/>
    <w:rsid w:val="00FC05CC"/>
    <w:rsid w:val="00FC30C7"/>
    <w:rsid w:val="00FC3A58"/>
    <w:rsid w:val="00FD04CA"/>
    <w:rsid w:val="00FD06EC"/>
    <w:rsid w:val="00FD2A06"/>
    <w:rsid w:val="00FD2A33"/>
    <w:rsid w:val="00FD5384"/>
    <w:rsid w:val="00FE090F"/>
    <w:rsid w:val="00FF4CEE"/>
    <w:rsid w:val="00FF524E"/>
    <w:rsid w:val="00FF668C"/>
    <w:rsid w:val="00FF67CE"/>
    <w:rsid w:val="02A604E3"/>
    <w:rsid w:val="03E3631A"/>
    <w:rsid w:val="08FD16F4"/>
    <w:rsid w:val="0B991405"/>
    <w:rsid w:val="0CC22277"/>
    <w:rsid w:val="100B5616"/>
    <w:rsid w:val="11605F55"/>
    <w:rsid w:val="152D0E63"/>
    <w:rsid w:val="1759391E"/>
    <w:rsid w:val="189C2603"/>
    <w:rsid w:val="19C21230"/>
    <w:rsid w:val="1A8B1FCA"/>
    <w:rsid w:val="1AD44730"/>
    <w:rsid w:val="1B866036"/>
    <w:rsid w:val="1B9A3CD7"/>
    <w:rsid w:val="2011123A"/>
    <w:rsid w:val="2224601B"/>
    <w:rsid w:val="23593F7A"/>
    <w:rsid w:val="26974D58"/>
    <w:rsid w:val="270C2F8F"/>
    <w:rsid w:val="2B066E22"/>
    <w:rsid w:val="2F236894"/>
    <w:rsid w:val="2FF148DC"/>
    <w:rsid w:val="323D3E08"/>
    <w:rsid w:val="36715DA0"/>
    <w:rsid w:val="3D1617E6"/>
    <w:rsid w:val="3FC8054E"/>
    <w:rsid w:val="40F07398"/>
    <w:rsid w:val="45A472C6"/>
    <w:rsid w:val="46884AF5"/>
    <w:rsid w:val="4B967555"/>
    <w:rsid w:val="4D616AAD"/>
    <w:rsid w:val="5AFF37D6"/>
    <w:rsid w:val="5BDC40BB"/>
    <w:rsid w:val="63735674"/>
    <w:rsid w:val="645E403E"/>
    <w:rsid w:val="66C7577B"/>
    <w:rsid w:val="6B362ECF"/>
    <w:rsid w:val="6B6FFB50"/>
    <w:rsid w:val="6DF7744C"/>
    <w:rsid w:val="737B3E60"/>
    <w:rsid w:val="77B1D7F5"/>
    <w:rsid w:val="7E6F3626"/>
    <w:rsid w:val="7FF99102"/>
    <w:rsid w:val="FD9B024C"/>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2">
    <w:name w:val="annotation text"/>
    <w:basedOn w:val="1"/>
    <w:link w:val="17"/>
    <w:unhideWhenUsed/>
    <w:qFormat/>
    <w:uiPriority w:val="99"/>
    <w:pPr>
      <w:jc w:val="left"/>
    </w:pPr>
  </w:style>
  <w:style w:type="paragraph" w:styleId="3">
    <w:name w:val="Balloon Text"/>
    <w:basedOn w:val="1"/>
    <w:link w:val="16"/>
    <w:semiHidden/>
    <w:unhideWhenUsed/>
    <w:qFormat/>
    <w:uiPriority w:val="99"/>
    <w:rPr>
      <w:sz w:val="18"/>
      <w:szCs w:val="18"/>
    </w:rPr>
  </w:style>
  <w:style w:type="paragraph" w:styleId="4">
    <w:name w:val="footer"/>
    <w:basedOn w:val="1"/>
    <w:link w:val="12"/>
    <w:unhideWhenUsed/>
    <w:qFormat/>
    <w:uiPriority w:val="99"/>
    <w:pPr>
      <w:tabs>
        <w:tab w:val="center" w:pos="4153"/>
        <w:tab w:val="right" w:pos="8306"/>
      </w:tabs>
      <w:snapToGrid w:val="0"/>
      <w:jc w:val="left"/>
    </w:pPr>
    <w:rPr>
      <w:sz w:val="18"/>
      <w:szCs w:val="18"/>
    </w:rPr>
  </w:style>
  <w:style w:type="paragraph" w:styleId="5">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annotation subject"/>
    <w:basedOn w:val="2"/>
    <w:next w:val="2"/>
    <w:link w:val="18"/>
    <w:semiHidden/>
    <w:unhideWhenUsed/>
    <w:qFormat/>
    <w:uiPriority w:val="99"/>
    <w:rPr>
      <w:b/>
      <w:bCs/>
    </w:rPr>
  </w:style>
  <w:style w:type="table" w:styleId="8">
    <w:name w:val="Table Grid"/>
    <w:basedOn w:val="7"/>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annotation reference"/>
    <w:basedOn w:val="9"/>
    <w:semiHidden/>
    <w:unhideWhenUsed/>
    <w:qFormat/>
    <w:uiPriority w:val="99"/>
    <w:rPr>
      <w:sz w:val="21"/>
      <w:szCs w:val="21"/>
    </w:rPr>
  </w:style>
  <w:style w:type="character" w:customStyle="1" w:styleId="11">
    <w:name w:val="页眉 字符"/>
    <w:basedOn w:val="9"/>
    <w:link w:val="5"/>
    <w:qFormat/>
    <w:uiPriority w:val="99"/>
    <w:rPr>
      <w:kern w:val="2"/>
      <w:sz w:val="18"/>
      <w:szCs w:val="18"/>
    </w:rPr>
  </w:style>
  <w:style w:type="character" w:customStyle="1" w:styleId="12">
    <w:name w:val="页脚 字符"/>
    <w:basedOn w:val="9"/>
    <w:link w:val="4"/>
    <w:qFormat/>
    <w:uiPriority w:val="99"/>
    <w:rPr>
      <w:kern w:val="2"/>
      <w:sz w:val="18"/>
      <w:szCs w:val="18"/>
    </w:rPr>
  </w:style>
  <w:style w:type="paragraph" w:styleId="13">
    <w:name w:val="List Paragraph"/>
    <w:basedOn w:val="1"/>
    <w:qFormat/>
    <w:uiPriority w:val="99"/>
    <w:pPr>
      <w:ind w:firstLine="420" w:firstLineChars="200"/>
    </w:pPr>
  </w:style>
  <w:style w:type="paragraph" w:customStyle="1" w:styleId="14">
    <w:name w:val="修订1"/>
    <w:hidden/>
    <w:semiHidden/>
    <w:qFormat/>
    <w:uiPriority w:val="99"/>
    <w:rPr>
      <w:rFonts w:asciiTheme="minorHAnsi" w:hAnsiTheme="minorHAnsi" w:eastAsiaTheme="minorEastAsia" w:cstheme="minorBidi"/>
      <w:kern w:val="2"/>
      <w:sz w:val="21"/>
      <w:szCs w:val="22"/>
      <w:lang w:val="en-US" w:eastAsia="zh-CN" w:bidi="ar-SA"/>
    </w:rPr>
  </w:style>
  <w:style w:type="character" w:customStyle="1" w:styleId="15">
    <w:name w:val="fontstyle01"/>
    <w:basedOn w:val="9"/>
    <w:qFormat/>
    <w:uiPriority w:val="0"/>
    <w:rPr>
      <w:rFonts w:hint="eastAsia" w:ascii="宋体" w:hAnsi="宋体" w:eastAsia="宋体"/>
      <w:color w:val="000000"/>
      <w:sz w:val="20"/>
      <w:szCs w:val="20"/>
    </w:rPr>
  </w:style>
  <w:style w:type="character" w:customStyle="1" w:styleId="16">
    <w:name w:val="批注框文本 字符"/>
    <w:basedOn w:val="9"/>
    <w:link w:val="3"/>
    <w:semiHidden/>
    <w:qFormat/>
    <w:uiPriority w:val="99"/>
    <w:rPr>
      <w:kern w:val="2"/>
      <w:sz w:val="18"/>
      <w:szCs w:val="18"/>
    </w:rPr>
  </w:style>
  <w:style w:type="character" w:customStyle="1" w:styleId="17">
    <w:name w:val="批注文字 字符"/>
    <w:basedOn w:val="9"/>
    <w:link w:val="2"/>
    <w:qFormat/>
    <w:uiPriority w:val="99"/>
    <w:rPr>
      <w:kern w:val="2"/>
      <w:sz w:val="21"/>
      <w:szCs w:val="22"/>
    </w:rPr>
  </w:style>
  <w:style w:type="character" w:customStyle="1" w:styleId="18">
    <w:name w:val="批注主题 字符"/>
    <w:basedOn w:val="17"/>
    <w:link w:val="6"/>
    <w:semiHidden/>
    <w:qFormat/>
    <w:uiPriority w:val="99"/>
    <w:rPr>
      <w:b/>
      <w:bCs/>
      <w:kern w:val="2"/>
      <w:sz w:val="21"/>
      <w:szCs w:val="2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c6fc40a3-21c0-4a23-8a67-27155e895246</errorID>
      <errorWord>正</errorWord>
      <group>L1_Word</group>
      <groupName>字词问题</groupName>
      <ability>L2_Typo</ability>
      <abilityName>字词错误</abilityName>
      <candidateList>
        <item>正在</item>
      </candidateList>
      <explain/>
      <paraID>19F221C9</paraID>
      <start>212</start>
      <end>213</end>
      <status>unmodified</status>
      <modifiedWord/>
      <trackRevisions>false</trackRevisions>
    </reviewItem>
  </reviewItems>
  <config/>
</contractReview>
</file>

<file path=customXml/itemProps1.xml><?xml version="1.0" encoding="utf-8"?>
<ds:datastoreItem xmlns:ds="http://schemas.openxmlformats.org/officeDocument/2006/customXml" ds:itemID="{4AE64AEB-EB83-4E71-800A-FC4915D83809}">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Pages>
  <Words>1974</Words>
  <Characters>2013</Characters>
  <Lines>13</Lines>
  <Paragraphs>3</Paragraphs>
  <TotalTime>14</TotalTime>
  <ScaleCrop>false</ScaleCrop>
  <LinksUpToDate>false</LinksUpToDate>
  <CharactersWithSpaces>2088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2023-11-01T05:27:00Z</dcterms:created>
  <dc:creator>郭枫</dc:creator>
  <cp:lastModifiedBy>孙萌堃</cp:lastModifiedBy>
  <cp:lastPrinted>2026-10-09T08:36:00Z</cp:lastPrinted>
  <dcterms:modified xsi:type="dcterms:W3CDTF">2026-10-12T08:00:03Z</dcterms:modified>
  <cp:revision>109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eyJoZGlkIjoiNDI2OTk3YzA5ZGQ3YTcwNmFlN2JkODE3OTIwMTgwNzQiLCJ1c2VySWQiOiIzMjk0Njg2MjAifQ==</vt:lpwstr>
  </property>
  <property fmtid="{D5CDD505-2E9C-101B-9397-08002B2CF9AE}" pid="4" name="ICV">
    <vt:lpwstr>E8F2A0E3AF604D3289963C39340F8CF0_13</vt:lpwstr>
  </property>
</Properties>
</file>