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774AD7" w14:textId="161B6B0C" w:rsidR="002B36E5" w:rsidRPr="00CD2409" w:rsidRDefault="00007C18">
      <w:pPr>
        <w:spacing w:line="420" w:lineRule="exact"/>
        <w:rPr>
          <w:rFonts w:asciiTheme="minorEastAsia" w:eastAsiaTheme="minorEastAsia" w:hAnsiTheme="minorEastAsia"/>
          <w:b/>
          <w:iCs/>
          <w:sz w:val="24"/>
        </w:rPr>
      </w:pPr>
      <w:r w:rsidRPr="00CD2409">
        <w:rPr>
          <w:rFonts w:asciiTheme="minorEastAsia" w:eastAsiaTheme="minorEastAsia" w:hAnsiTheme="minorEastAsia"/>
          <w:b/>
          <w:iCs/>
          <w:sz w:val="24"/>
        </w:rPr>
        <w:t>证券代码：688100                                   证券简称：</w:t>
      </w:r>
      <w:r w:rsidRPr="00CD2409">
        <w:rPr>
          <w:rFonts w:asciiTheme="minorEastAsia" w:eastAsiaTheme="minorEastAsia" w:hAnsiTheme="minorEastAsia" w:hint="eastAsia"/>
          <w:b/>
          <w:iCs/>
          <w:sz w:val="24"/>
        </w:rPr>
        <w:t>威胜信息</w:t>
      </w:r>
    </w:p>
    <w:p w14:paraId="214A5EDA" w14:textId="77777777" w:rsidR="002B36E5" w:rsidRPr="00CD2409" w:rsidRDefault="00007C18">
      <w:pPr>
        <w:spacing w:beforeLines="150" w:before="468" w:afterLines="50" w:after="156" w:line="420" w:lineRule="exact"/>
        <w:jc w:val="center"/>
        <w:rPr>
          <w:rFonts w:asciiTheme="minorEastAsia" w:eastAsiaTheme="minorEastAsia" w:hAnsiTheme="minorEastAsia"/>
          <w:b/>
          <w:bCs/>
          <w:iCs/>
          <w:sz w:val="24"/>
        </w:rPr>
      </w:pPr>
      <w:r w:rsidRPr="00CD2409">
        <w:rPr>
          <w:rFonts w:asciiTheme="minorEastAsia" w:eastAsiaTheme="minorEastAsia" w:hAnsiTheme="minorEastAsia" w:hint="eastAsia"/>
          <w:b/>
          <w:bCs/>
          <w:iCs/>
          <w:sz w:val="24"/>
        </w:rPr>
        <w:t>威胜信息技术股份有限公司</w:t>
      </w:r>
    </w:p>
    <w:p w14:paraId="3D25A018" w14:textId="5E1D9F94" w:rsidR="002B36E5" w:rsidRPr="00CD2409" w:rsidRDefault="00007C18">
      <w:pPr>
        <w:spacing w:beforeLines="50" w:before="156" w:afterLines="150" w:after="468" w:line="420" w:lineRule="exact"/>
        <w:jc w:val="center"/>
        <w:rPr>
          <w:rFonts w:asciiTheme="minorEastAsia" w:eastAsiaTheme="minorEastAsia" w:hAnsiTheme="minorEastAsia"/>
          <w:b/>
          <w:bCs/>
          <w:iCs/>
          <w:sz w:val="24"/>
        </w:rPr>
      </w:pPr>
      <w:r w:rsidRPr="00CD2409">
        <w:rPr>
          <w:rFonts w:asciiTheme="minorEastAsia" w:eastAsiaTheme="minorEastAsia" w:hAnsiTheme="minorEastAsia" w:hint="eastAsia"/>
          <w:b/>
          <w:bCs/>
          <w:iCs/>
          <w:sz w:val="24"/>
        </w:rPr>
        <w:t>2026年</w:t>
      </w:r>
      <w:r w:rsidR="00B064C6">
        <w:rPr>
          <w:rFonts w:asciiTheme="minorEastAsia" w:eastAsiaTheme="minorEastAsia" w:hAnsiTheme="minorEastAsia"/>
          <w:b/>
          <w:bCs/>
          <w:iCs/>
          <w:sz w:val="24"/>
        </w:rPr>
        <w:t>10</w:t>
      </w:r>
      <w:r w:rsidRPr="00CD2409">
        <w:rPr>
          <w:rFonts w:asciiTheme="minorEastAsia" w:eastAsiaTheme="minorEastAsia" w:hAnsiTheme="minorEastAsia" w:hint="eastAsia"/>
          <w:b/>
          <w:bCs/>
          <w:iCs/>
          <w:sz w:val="24"/>
        </w:rPr>
        <w:t>月</w:t>
      </w:r>
      <w:r w:rsidR="00B064C6">
        <w:rPr>
          <w:rFonts w:asciiTheme="minorEastAsia" w:eastAsiaTheme="minorEastAsia" w:hAnsiTheme="minorEastAsia"/>
          <w:b/>
          <w:bCs/>
          <w:iCs/>
          <w:sz w:val="24"/>
        </w:rPr>
        <w:t>10</w:t>
      </w:r>
      <w:r w:rsidRPr="00CD2409">
        <w:rPr>
          <w:rFonts w:asciiTheme="minorEastAsia" w:eastAsiaTheme="minorEastAsia" w:hAnsiTheme="minorEastAsia" w:hint="eastAsia"/>
          <w:b/>
          <w:bCs/>
          <w:iCs/>
          <w:sz w:val="24"/>
        </w:rPr>
        <w:t>日</w:t>
      </w:r>
      <w:r w:rsidR="00B064C6">
        <w:rPr>
          <w:rFonts w:asciiTheme="minorEastAsia" w:eastAsiaTheme="minorEastAsia" w:hAnsiTheme="minorEastAsia" w:hint="eastAsia"/>
          <w:b/>
          <w:bCs/>
          <w:iCs/>
          <w:sz w:val="24"/>
        </w:rPr>
        <w:t>-</w:t>
      </w:r>
      <w:r w:rsidR="00B064C6">
        <w:rPr>
          <w:rFonts w:asciiTheme="minorEastAsia" w:eastAsiaTheme="minorEastAsia" w:hAnsiTheme="minorEastAsia"/>
          <w:b/>
          <w:bCs/>
          <w:iCs/>
          <w:sz w:val="24"/>
        </w:rPr>
        <w:t>12日</w:t>
      </w:r>
      <w:r w:rsidRPr="00CD2409">
        <w:rPr>
          <w:rFonts w:asciiTheme="minorEastAsia" w:eastAsiaTheme="minorEastAsia" w:hAnsiTheme="minorEastAsia" w:hint="eastAsia"/>
          <w:b/>
          <w:bCs/>
          <w:iCs/>
          <w:sz w:val="24"/>
        </w:rPr>
        <w:t>投资者交流会会议记录</w:t>
      </w:r>
    </w:p>
    <w:p w14:paraId="0CDC3D92" w14:textId="3E228632" w:rsidR="002B36E5" w:rsidRPr="00CD2409" w:rsidRDefault="00007C18">
      <w:pPr>
        <w:spacing w:line="420" w:lineRule="exact"/>
        <w:ind w:firstLineChars="177" w:firstLine="425"/>
        <w:rPr>
          <w:rFonts w:asciiTheme="minorEastAsia" w:eastAsiaTheme="minorEastAsia" w:hAnsiTheme="minorEastAsia"/>
          <w:sz w:val="24"/>
        </w:rPr>
      </w:pPr>
      <w:r w:rsidRPr="00CD2409">
        <w:rPr>
          <w:rFonts w:asciiTheme="minorEastAsia" w:eastAsiaTheme="minorEastAsia" w:hAnsiTheme="minorEastAsia" w:hint="eastAsia"/>
          <w:sz w:val="24"/>
        </w:rPr>
        <w:t>威胜信息技术股份有限公司（以下简称“公司”）2</w:t>
      </w:r>
      <w:r w:rsidRPr="00CD2409">
        <w:rPr>
          <w:rFonts w:asciiTheme="minorEastAsia" w:eastAsiaTheme="minorEastAsia" w:hAnsiTheme="minorEastAsia"/>
          <w:sz w:val="24"/>
        </w:rPr>
        <w:t>02</w:t>
      </w:r>
      <w:r w:rsidRPr="00CD2409">
        <w:rPr>
          <w:rFonts w:asciiTheme="minorEastAsia" w:eastAsiaTheme="minorEastAsia" w:hAnsiTheme="minorEastAsia" w:hint="eastAsia"/>
          <w:sz w:val="24"/>
        </w:rPr>
        <w:t>6年</w:t>
      </w:r>
      <w:r w:rsidR="00B064C6">
        <w:rPr>
          <w:rFonts w:asciiTheme="minorEastAsia" w:eastAsiaTheme="minorEastAsia" w:hAnsiTheme="minorEastAsia"/>
          <w:sz w:val="24"/>
        </w:rPr>
        <w:t>10</w:t>
      </w:r>
      <w:r w:rsidRPr="00CD2409">
        <w:rPr>
          <w:rFonts w:asciiTheme="minorEastAsia" w:eastAsiaTheme="minorEastAsia" w:hAnsiTheme="minorEastAsia" w:hint="eastAsia"/>
          <w:sz w:val="24"/>
        </w:rPr>
        <w:t>月</w:t>
      </w:r>
      <w:r w:rsidR="00B064C6">
        <w:rPr>
          <w:rFonts w:asciiTheme="minorEastAsia" w:eastAsiaTheme="minorEastAsia" w:hAnsiTheme="minorEastAsia"/>
          <w:sz w:val="24"/>
        </w:rPr>
        <w:t>10</w:t>
      </w:r>
      <w:r w:rsidRPr="00CD2409">
        <w:rPr>
          <w:rFonts w:asciiTheme="minorEastAsia" w:eastAsiaTheme="minorEastAsia" w:hAnsiTheme="minorEastAsia"/>
          <w:sz w:val="24"/>
        </w:rPr>
        <w:t>日</w:t>
      </w:r>
      <w:r w:rsidR="00B064C6">
        <w:rPr>
          <w:rFonts w:asciiTheme="minorEastAsia" w:eastAsiaTheme="minorEastAsia" w:hAnsiTheme="minorEastAsia" w:hint="eastAsia"/>
          <w:sz w:val="24"/>
        </w:rPr>
        <w:t>-</w:t>
      </w:r>
      <w:r w:rsidR="00B064C6">
        <w:rPr>
          <w:rFonts w:asciiTheme="minorEastAsia" w:eastAsiaTheme="minorEastAsia" w:hAnsiTheme="minorEastAsia"/>
          <w:sz w:val="24"/>
        </w:rPr>
        <w:t>12日</w:t>
      </w:r>
      <w:r w:rsidR="00B11370">
        <w:rPr>
          <w:rFonts w:asciiTheme="minorEastAsia" w:eastAsiaTheme="minorEastAsia" w:hAnsiTheme="minorEastAsia" w:hint="eastAsia"/>
          <w:sz w:val="24"/>
        </w:rPr>
        <w:t>投资者交流会</w:t>
      </w:r>
      <w:r w:rsidRPr="00CD2409">
        <w:rPr>
          <w:rFonts w:asciiTheme="minorEastAsia" w:eastAsiaTheme="minorEastAsia" w:hAnsiTheme="minorEastAsia" w:hint="eastAsia"/>
          <w:sz w:val="24"/>
        </w:rPr>
        <w:t>交流情况如下：</w:t>
      </w:r>
    </w:p>
    <w:p w14:paraId="4E642437" w14:textId="461897D6" w:rsidR="002B36E5" w:rsidRPr="00B064C6" w:rsidRDefault="00B064C6" w:rsidP="00B064C6">
      <w:pPr>
        <w:spacing w:line="420" w:lineRule="exact"/>
        <w:rPr>
          <w:rFonts w:asciiTheme="minorEastAsia" w:eastAsiaTheme="minorEastAsia" w:hAnsiTheme="minorEastAsia"/>
          <w:b/>
          <w:bCs/>
          <w:sz w:val="24"/>
        </w:rPr>
      </w:pPr>
      <w:r>
        <w:rPr>
          <w:rFonts w:asciiTheme="minorEastAsia" w:eastAsiaTheme="minorEastAsia" w:hAnsiTheme="minorEastAsia"/>
          <w:b/>
          <w:bCs/>
          <w:sz w:val="24"/>
        </w:rPr>
        <w:t>一、</w:t>
      </w:r>
      <w:r w:rsidR="00007C18" w:rsidRPr="00B064C6">
        <w:rPr>
          <w:rFonts w:asciiTheme="minorEastAsia" w:eastAsiaTheme="minorEastAsia" w:hAnsiTheme="minorEastAsia" w:hint="eastAsia"/>
          <w:b/>
          <w:bCs/>
          <w:sz w:val="24"/>
        </w:rPr>
        <w:t>参会人员</w:t>
      </w:r>
    </w:p>
    <w:p w14:paraId="04467B09" w14:textId="77777777" w:rsidR="002B36E5" w:rsidRPr="00CD2409" w:rsidRDefault="00007C18">
      <w:pPr>
        <w:pStyle w:val="a5"/>
        <w:spacing w:line="420" w:lineRule="exact"/>
        <w:ind w:firstLineChars="200" w:firstLine="480"/>
        <w:rPr>
          <w:rFonts w:asciiTheme="minorEastAsia" w:eastAsiaTheme="minorEastAsia" w:hAnsiTheme="minorEastAsia"/>
          <w:sz w:val="24"/>
        </w:rPr>
      </w:pPr>
      <w:r w:rsidRPr="00CD2409">
        <w:rPr>
          <w:rFonts w:asciiTheme="minorEastAsia" w:eastAsiaTheme="minorEastAsia" w:hAnsiTheme="minorEastAsia" w:hint="eastAsia"/>
          <w:sz w:val="24"/>
        </w:rPr>
        <w:t xml:space="preserve">钟喜玉 </w:t>
      </w:r>
      <w:r w:rsidRPr="00CD2409">
        <w:rPr>
          <w:rFonts w:asciiTheme="minorEastAsia" w:eastAsiaTheme="minorEastAsia" w:hAnsiTheme="minorEastAsia"/>
          <w:sz w:val="24"/>
        </w:rPr>
        <w:t xml:space="preserve"> </w:t>
      </w:r>
      <w:r w:rsidRPr="00CD2409">
        <w:rPr>
          <w:rFonts w:asciiTheme="minorEastAsia" w:eastAsiaTheme="minorEastAsia" w:hAnsiTheme="minorEastAsia" w:hint="eastAsia"/>
          <w:sz w:val="24"/>
        </w:rPr>
        <w:t>董事会秘书兼财务总监</w:t>
      </w:r>
    </w:p>
    <w:p w14:paraId="1EEAAA84" w14:textId="77777777" w:rsidR="002B36E5" w:rsidRPr="00CD2409" w:rsidRDefault="00007C18">
      <w:pPr>
        <w:pStyle w:val="a5"/>
        <w:spacing w:line="420" w:lineRule="exact"/>
        <w:ind w:firstLineChars="200" w:firstLine="480"/>
        <w:rPr>
          <w:rFonts w:asciiTheme="minorEastAsia" w:eastAsiaTheme="minorEastAsia" w:hAnsiTheme="minorEastAsia"/>
          <w:sz w:val="24"/>
        </w:rPr>
      </w:pPr>
      <w:r w:rsidRPr="00CD2409">
        <w:rPr>
          <w:rFonts w:asciiTheme="minorEastAsia" w:eastAsiaTheme="minorEastAsia" w:hAnsiTheme="minorEastAsia"/>
          <w:sz w:val="24"/>
        </w:rPr>
        <w:t>吴</w:t>
      </w:r>
      <w:r w:rsidRPr="00CD2409">
        <w:rPr>
          <w:rFonts w:asciiTheme="minorEastAsia" w:eastAsiaTheme="minorEastAsia" w:hAnsiTheme="minorEastAsia" w:hint="eastAsia"/>
          <w:sz w:val="24"/>
        </w:rPr>
        <w:t xml:space="preserve"> </w:t>
      </w:r>
      <w:r w:rsidRPr="00CD2409">
        <w:rPr>
          <w:rFonts w:asciiTheme="minorEastAsia" w:eastAsiaTheme="minorEastAsia" w:hAnsiTheme="minorEastAsia"/>
          <w:sz w:val="24"/>
        </w:rPr>
        <w:t xml:space="preserve"> </w:t>
      </w:r>
      <w:proofErr w:type="gramStart"/>
      <w:r w:rsidRPr="00CD2409">
        <w:rPr>
          <w:rFonts w:asciiTheme="minorEastAsia" w:eastAsiaTheme="minorEastAsia" w:hAnsiTheme="minorEastAsia"/>
          <w:sz w:val="24"/>
        </w:rPr>
        <w:t>浩</w:t>
      </w:r>
      <w:proofErr w:type="gramEnd"/>
      <w:r w:rsidRPr="00CD2409">
        <w:rPr>
          <w:rFonts w:asciiTheme="minorEastAsia" w:eastAsiaTheme="minorEastAsia" w:hAnsiTheme="minorEastAsia" w:hint="eastAsia"/>
          <w:sz w:val="24"/>
        </w:rPr>
        <w:t xml:space="preserve"> </w:t>
      </w:r>
      <w:r w:rsidRPr="00CD2409">
        <w:rPr>
          <w:rFonts w:asciiTheme="minorEastAsia" w:eastAsiaTheme="minorEastAsia" w:hAnsiTheme="minorEastAsia"/>
          <w:sz w:val="24"/>
        </w:rPr>
        <w:t xml:space="preserve"> </w:t>
      </w:r>
      <w:r w:rsidRPr="00CD2409">
        <w:rPr>
          <w:rFonts w:asciiTheme="minorEastAsia" w:eastAsiaTheme="minorEastAsia" w:hAnsiTheme="minorEastAsia" w:hint="eastAsia"/>
          <w:sz w:val="24"/>
        </w:rPr>
        <w:t>战略投资总监</w:t>
      </w:r>
    </w:p>
    <w:p w14:paraId="0F4D0FB3" w14:textId="77777777" w:rsidR="002B36E5" w:rsidRPr="00CD2409" w:rsidRDefault="00007C18">
      <w:pPr>
        <w:pStyle w:val="a5"/>
        <w:spacing w:line="420" w:lineRule="exact"/>
        <w:ind w:firstLineChars="200" w:firstLine="480"/>
        <w:rPr>
          <w:rFonts w:asciiTheme="minorEastAsia" w:eastAsiaTheme="minorEastAsia" w:hAnsiTheme="minorEastAsia"/>
          <w:sz w:val="24"/>
        </w:rPr>
      </w:pPr>
      <w:proofErr w:type="gramStart"/>
      <w:r w:rsidRPr="00CD2409">
        <w:rPr>
          <w:rFonts w:asciiTheme="minorEastAsia" w:eastAsiaTheme="minorEastAsia" w:hAnsiTheme="minorEastAsia" w:hint="eastAsia"/>
          <w:sz w:val="24"/>
        </w:rPr>
        <w:t>张乐维</w:t>
      </w:r>
      <w:proofErr w:type="gramEnd"/>
      <w:r w:rsidRPr="00CD2409">
        <w:rPr>
          <w:rFonts w:asciiTheme="minorEastAsia" w:eastAsiaTheme="minorEastAsia" w:hAnsiTheme="minorEastAsia" w:hint="eastAsia"/>
          <w:sz w:val="24"/>
        </w:rPr>
        <w:t xml:space="preserve">  投资者关系经理</w:t>
      </w:r>
    </w:p>
    <w:p w14:paraId="72267791" w14:textId="77777777" w:rsidR="002B36E5" w:rsidRPr="00CD2409" w:rsidRDefault="002B36E5">
      <w:pPr>
        <w:pStyle w:val="a5"/>
        <w:spacing w:line="420" w:lineRule="exact"/>
        <w:ind w:firstLineChars="200" w:firstLine="480"/>
        <w:rPr>
          <w:rFonts w:asciiTheme="minorEastAsia" w:eastAsiaTheme="minorEastAsia" w:hAnsiTheme="minorEastAsia"/>
          <w:sz w:val="24"/>
        </w:rPr>
      </w:pPr>
    </w:p>
    <w:p w14:paraId="272912A1" w14:textId="77777777" w:rsidR="002B36E5" w:rsidRPr="00CD2409" w:rsidRDefault="00007C18">
      <w:pPr>
        <w:pStyle w:val="a5"/>
        <w:spacing w:line="420" w:lineRule="exact"/>
        <w:ind w:firstLineChars="200" w:firstLine="480"/>
        <w:rPr>
          <w:rFonts w:asciiTheme="minorEastAsia" w:eastAsiaTheme="minorEastAsia" w:hAnsiTheme="minorEastAsia"/>
          <w:sz w:val="24"/>
        </w:rPr>
      </w:pPr>
      <w:r w:rsidRPr="00CD2409">
        <w:rPr>
          <w:rFonts w:asciiTheme="minorEastAsia" w:eastAsiaTheme="minorEastAsia" w:hAnsiTheme="minorEastAsia" w:hint="eastAsia"/>
          <w:sz w:val="24"/>
        </w:rPr>
        <w:t>机构参会：</w:t>
      </w:r>
    </w:p>
    <w:p w14:paraId="1CCE92ED" w14:textId="0C62456B" w:rsidR="00795F09" w:rsidRDefault="00B064C6">
      <w:pPr>
        <w:pStyle w:val="a5"/>
        <w:spacing w:line="420" w:lineRule="exact"/>
        <w:ind w:firstLineChars="200" w:firstLine="480"/>
        <w:rPr>
          <w:rFonts w:asciiTheme="minorEastAsia" w:eastAsiaTheme="minorEastAsia" w:hAnsiTheme="minorEastAsia" w:cs="宋体"/>
          <w:sz w:val="24"/>
        </w:rPr>
      </w:pPr>
      <w:r w:rsidRPr="00B064C6">
        <w:rPr>
          <w:rFonts w:asciiTheme="minorEastAsia" w:eastAsiaTheme="minorEastAsia" w:hAnsiTheme="minorEastAsia" w:cs="宋体" w:hint="eastAsia"/>
          <w:sz w:val="24"/>
        </w:rPr>
        <w:t>10月10日 华商基金、</w:t>
      </w:r>
      <w:proofErr w:type="gramStart"/>
      <w:r w:rsidRPr="00B064C6">
        <w:rPr>
          <w:rFonts w:asciiTheme="minorEastAsia" w:eastAsiaTheme="minorEastAsia" w:hAnsiTheme="minorEastAsia" w:cs="宋体" w:hint="eastAsia"/>
          <w:sz w:val="24"/>
        </w:rPr>
        <w:t>泓德基金</w:t>
      </w:r>
      <w:proofErr w:type="gramEnd"/>
      <w:r w:rsidRPr="00B064C6">
        <w:rPr>
          <w:rFonts w:asciiTheme="minorEastAsia" w:eastAsiaTheme="minorEastAsia" w:hAnsiTheme="minorEastAsia" w:cs="宋体" w:hint="eastAsia"/>
          <w:sz w:val="24"/>
        </w:rPr>
        <w:t>、</w:t>
      </w:r>
      <w:proofErr w:type="gramStart"/>
      <w:r w:rsidRPr="00B064C6">
        <w:rPr>
          <w:rFonts w:asciiTheme="minorEastAsia" w:eastAsiaTheme="minorEastAsia" w:hAnsiTheme="minorEastAsia" w:cs="宋体" w:hint="eastAsia"/>
          <w:sz w:val="24"/>
        </w:rPr>
        <w:t>交银施罗</w:t>
      </w:r>
      <w:proofErr w:type="gramEnd"/>
      <w:r w:rsidRPr="00B064C6">
        <w:rPr>
          <w:rFonts w:asciiTheme="minorEastAsia" w:eastAsiaTheme="minorEastAsia" w:hAnsiTheme="minorEastAsia" w:cs="宋体" w:hint="eastAsia"/>
          <w:sz w:val="24"/>
        </w:rPr>
        <w:t>德、</w:t>
      </w:r>
      <w:proofErr w:type="gramStart"/>
      <w:r w:rsidRPr="00B064C6">
        <w:rPr>
          <w:rFonts w:asciiTheme="minorEastAsia" w:eastAsiaTheme="minorEastAsia" w:hAnsiTheme="minorEastAsia" w:cs="宋体" w:hint="eastAsia"/>
          <w:sz w:val="24"/>
        </w:rPr>
        <w:t>源乘投资</w:t>
      </w:r>
      <w:proofErr w:type="gramEnd"/>
      <w:r w:rsidRPr="00B064C6">
        <w:rPr>
          <w:rFonts w:asciiTheme="minorEastAsia" w:eastAsiaTheme="minorEastAsia" w:hAnsiTheme="minorEastAsia" w:cs="宋体" w:hint="eastAsia"/>
          <w:sz w:val="24"/>
        </w:rPr>
        <w:t>、永谦基金、长江证券、西部证券</w:t>
      </w:r>
      <w:r w:rsidRPr="00B064C6">
        <w:rPr>
          <w:rFonts w:asciiTheme="minorEastAsia" w:eastAsiaTheme="minorEastAsia" w:hAnsiTheme="minorEastAsia" w:cs="宋体" w:hint="eastAsia"/>
          <w:sz w:val="24"/>
        </w:rPr>
        <w:cr/>
      </w:r>
      <w:r>
        <w:rPr>
          <w:rFonts w:asciiTheme="minorEastAsia" w:eastAsiaTheme="minorEastAsia" w:hAnsiTheme="minorEastAsia" w:cs="宋体"/>
          <w:sz w:val="24"/>
        </w:rPr>
        <w:t xml:space="preserve">    </w:t>
      </w:r>
      <w:r w:rsidRPr="00B064C6">
        <w:rPr>
          <w:rFonts w:asciiTheme="minorEastAsia" w:eastAsiaTheme="minorEastAsia" w:hAnsiTheme="minorEastAsia" w:cs="宋体" w:hint="eastAsia"/>
          <w:sz w:val="24"/>
        </w:rPr>
        <w:t>10月12日 中欧基金、</w:t>
      </w:r>
      <w:proofErr w:type="gramStart"/>
      <w:r w:rsidRPr="00B064C6">
        <w:rPr>
          <w:rFonts w:asciiTheme="minorEastAsia" w:eastAsiaTheme="minorEastAsia" w:hAnsiTheme="minorEastAsia" w:cs="宋体" w:hint="eastAsia"/>
          <w:sz w:val="24"/>
        </w:rPr>
        <w:t>中信保诚</w:t>
      </w:r>
      <w:proofErr w:type="gramEnd"/>
      <w:r w:rsidRPr="00B064C6">
        <w:rPr>
          <w:rFonts w:asciiTheme="minorEastAsia" w:eastAsiaTheme="minorEastAsia" w:hAnsiTheme="minorEastAsia" w:cs="宋体" w:hint="eastAsia"/>
          <w:sz w:val="24"/>
        </w:rPr>
        <w:t>、</w:t>
      </w:r>
      <w:proofErr w:type="gramStart"/>
      <w:r w:rsidRPr="00B064C6">
        <w:rPr>
          <w:rFonts w:asciiTheme="minorEastAsia" w:eastAsiaTheme="minorEastAsia" w:hAnsiTheme="minorEastAsia" w:cs="宋体" w:hint="eastAsia"/>
          <w:sz w:val="24"/>
        </w:rPr>
        <w:t>云富投资</w:t>
      </w:r>
      <w:proofErr w:type="gramEnd"/>
      <w:r w:rsidRPr="00B064C6">
        <w:rPr>
          <w:rFonts w:asciiTheme="minorEastAsia" w:eastAsiaTheme="minorEastAsia" w:hAnsiTheme="minorEastAsia" w:cs="宋体" w:hint="eastAsia"/>
          <w:sz w:val="24"/>
        </w:rPr>
        <w:t>、方正证券、广发证券</w:t>
      </w:r>
    </w:p>
    <w:p w14:paraId="4B9C6214" w14:textId="77777777" w:rsidR="00B064C6" w:rsidRPr="00CD2409" w:rsidRDefault="00B064C6">
      <w:pPr>
        <w:pStyle w:val="a5"/>
        <w:spacing w:line="420" w:lineRule="exact"/>
        <w:ind w:firstLineChars="200" w:firstLine="480"/>
        <w:rPr>
          <w:rFonts w:asciiTheme="minorEastAsia" w:eastAsiaTheme="minorEastAsia" w:hAnsiTheme="minorEastAsia" w:cs="宋体"/>
          <w:sz w:val="24"/>
        </w:rPr>
      </w:pPr>
    </w:p>
    <w:p w14:paraId="6C58339D" w14:textId="3096E176" w:rsidR="00B064C6" w:rsidRDefault="00B064C6" w:rsidP="00B064C6">
      <w:pPr>
        <w:pStyle w:val="a5"/>
        <w:spacing w:line="420" w:lineRule="exact"/>
        <w:rPr>
          <w:rFonts w:hAnsi="宋体"/>
          <w:b/>
          <w:bCs/>
          <w:sz w:val="24"/>
        </w:rPr>
      </w:pPr>
      <w:bookmarkStart w:id="0" w:name="OLE_LINK1"/>
      <w:bookmarkStart w:id="1" w:name="OLE_LINK2"/>
      <w:r>
        <w:rPr>
          <w:rFonts w:hAnsi="宋体" w:cs="宋体" w:hint="eastAsia"/>
          <w:sz w:val="24"/>
        </w:rPr>
        <w:t>二、</w:t>
      </w:r>
      <w:r>
        <w:rPr>
          <w:rFonts w:hAnsi="宋体" w:hint="eastAsia"/>
          <w:b/>
          <w:bCs/>
          <w:sz w:val="24"/>
        </w:rPr>
        <w:t>2026</w:t>
      </w:r>
      <w:r>
        <w:rPr>
          <w:rFonts w:hAnsi="宋体"/>
          <w:b/>
          <w:bCs/>
          <w:sz w:val="24"/>
        </w:rPr>
        <w:t>年</w:t>
      </w:r>
      <w:r>
        <w:rPr>
          <w:rFonts w:hAnsi="宋体" w:hint="eastAsia"/>
          <w:b/>
          <w:bCs/>
          <w:sz w:val="24"/>
        </w:rPr>
        <w:t>半年报主要业务情况介绍</w:t>
      </w:r>
    </w:p>
    <w:p w14:paraId="0EC0F6B7" w14:textId="77777777" w:rsidR="00B064C6" w:rsidRDefault="00B064C6" w:rsidP="00B064C6">
      <w:pPr>
        <w:spacing w:beforeLines="50" w:before="156" w:line="420" w:lineRule="exact"/>
        <w:rPr>
          <w:rFonts w:ascii="宋体" w:hAnsi="宋体"/>
          <w:b/>
          <w:bCs/>
          <w:kern w:val="0"/>
          <w:sz w:val="24"/>
        </w:rPr>
      </w:pPr>
      <w:r>
        <w:rPr>
          <w:rFonts w:ascii="宋体" w:hAnsi="宋体"/>
          <w:b/>
          <w:bCs/>
          <w:kern w:val="0"/>
          <w:sz w:val="24"/>
        </w:rPr>
        <w:t>（一）上半年核心经营数据</w:t>
      </w:r>
    </w:p>
    <w:p w14:paraId="1BC57485" w14:textId="77777777" w:rsidR="00B064C6" w:rsidRDefault="00B064C6" w:rsidP="00B064C6">
      <w:pPr>
        <w:spacing w:beforeLines="50" w:before="156" w:line="360" w:lineRule="auto"/>
        <w:ind w:firstLineChars="200" w:firstLine="480"/>
        <w:rPr>
          <w:rFonts w:ascii="宋体" w:hAnsi="宋体"/>
          <w:sz w:val="24"/>
        </w:rPr>
      </w:pPr>
      <w:r>
        <w:rPr>
          <w:rFonts w:ascii="宋体" w:hAnsi="宋体" w:hint="eastAsia"/>
          <w:sz w:val="24"/>
        </w:rPr>
        <w:t>公司上半年实现营业收入</w:t>
      </w:r>
      <w:r>
        <w:rPr>
          <w:rFonts w:ascii="宋体" w:hAnsi="宋体"/>
          <w:sz w:val="24"/>
        </w:rPr>
        <w:t>10.67亿元，</w:t>
      </w:r>
      <w:proofErr w:type="gramStart"/>
      <w:r>
        <w:rPr>
          <w:rFonts w:ascii="宋体" w:hAnsi="宋体" w:hint="eastAsia"/>
          <w:sz w:val="24"/>
        </w:rPr>
        <w:t>归母</w:t>
      </w:r>
      <w:r>
        <w:rPr>
          <w:rFonts w:ascii="宋体" w:hAnsi="宋体"/>
          <w:sz w:val="24"/>
        </w:rPr>
        <w:t>净利润</w:t>
      </w:r>
      <w:proofErr w:type="gramEnd"/>
      <w:r>
        <w:rPr>
          <w:rFonts w:ascii="宋体" w:hAnsi="宋体"/>
          <w:sz w:val="24"/>
        </w:rPr>
        <w:t>2亿元，业绩</w:t>
      </w:r>
      <w:r>
        <w:rPr>
          <w:rFonts w:ascii="宋体" w:hAnsi="宋体" w:hint="eastAsia"/>
          <w:sz w:val="24"/>
        </w:rPr>
        <w:t>有所</w:t>
      </w:r>
      <w:r>
        <w:rPr>
          <w:rFonts w:ascii="宋体" w:hAnsi="宋体"/>
          <w:sz w:val="24"/>
        </w:rPr>
        <w:t>承压</w:t>
      </w:r>
      <w:r>
        <w:rPr>
          <w:rFonts w:ascii="宋体" w:hAnsi="宋体" w:hint="eastAsia"/>
          <w:sz w:val="24"/>
        </w:rPr>
        <w:t>，此次承压是行业阶段性的，非个体失速。</w:t>
      </w:r>
      <w:r>
        <w:rPr>
          <w:rFonts w:ascii="宋体" w:hAnsi="宋体"/>
          <w:sz w:val="24"/>
        </w:rPr>
        <w:t>上半年推出43款新品，新品收入占总营收67.8%；新签合同</w:t>
      </w:r>
      <w:r>
        <w:rPr>
          <w:rFonts w:ascii="宋体" w:hAnsi="宋体" w:hint="eastAsia"/>
          <w:sz w:val="24"/>
        </w:rPr>
        <w:t>1</w:t>
      </w:r>
      <w:r>
        <w:rPr>
          <w:rFonts w:ascii="宋体" w:hAnsi="宋体"/>
          <w:sz w:val="24"/>
        </w:rPr>
        <w:t>3亿元，在手合同38亿元</w:t>
      </w:r>
      <w:r>
        <w:rPr>
          <w:rFonts w:ascii="宋体" w:hAnsi="宋体" w:hint="eastAsia"/>
          <w:sz w:val="24"/>
        </w:rPr>
        <w:t>，新的</w:t>
      </w:r>
      <w:r>
        <w:rPr>
          <w:rFonts w:ascii="宋体" w:hAnsi="宋体"/>
          <w:sz w:val="24"/>
        </w:rPr>
        <w:t>业务增长点</w:t>
      </w:r>
      <w:r>
        <w:rPr>
          <w:rFonts w:ascii="宋体" w:hAnsi="宋体" w:hint="eastAsia"/>
          <w:sz w:val="24"/>
        </w:rPr>
        <w:t>涌现：</w:t>
      </w:r>
    </w:p>
    <w:p w14:paraId="0113C1FA" w14:textId="77777777" w:rsidR="00B064C6" w:rsidRDefault="00B064C6" w:rsidP="00B064C6">
      <w:pPr>
        <w:spacing w:beforeLines="50" w:before="156" w:line="360" w:lineRule="auto"/>
        <w:ind w:firstLineChars="200" w:firstLine="480"/>
        <w:rPr>
          <w:rFonts w:ascii="宋体" w:hAnsi="宋体"/>
          <w:sz w:val="24"/>
        </w:rPr>
      </w:pPr>
      <w:r>
        <w:rPr>
          <w:rFonts w:ascii="宋体" w:hAnsi="宋体" w:hint="eastAsia"/>
          <w:sz w:val="24"/>
        </w:rPr>
        <w:t>公司海外通讯模块实现批量交付超50</w:t>
      </w:r>
      <w:r>
        <w:rPr>
          <w:rFonts w:ascii="宋体" w:hAnsi="宋体"/>
          <w:sz w:val="24"/>
        </w:rPr>
        <w:t>00万</w:t>
      </w:r>
      <w:r>
        <w:rPr>
          <w:rFonts w:ascii="宋体" w:hAnsi="宋体" w:hint="eastAsia"/>
          <w:sz w:val="24"/>
        </w:rPr>
        <w:t xml:space="preserve">元，同比增长超 18 </w:t>
      </w:r>
      <w:proofErr w:type="gramStart"/>
      <w:r>
        <w:rPr>
          <w:rFonts w:ascii="宋体" w:hAnsi="宋体" w:hint="eastAsia"/>
          <w:sz w:val="24"/>
        </w:rPr>
        <w:t>倍</w:t>
      </w:r>
      <w:proofErr w:type="gramEnd"/>
      <w:r>
        <w:rPr>
          <w:rFonts w:ascii="宋体" w:hAnsi="宋体" w:hint="eastAsia"/>
          <w:sz w:val="24"/>
        </w:rPr>
        <w:t>，公司通讯模块业务已从国内市场向海外市场深度延伸布局，为后续全场景解决方案在海外市场的深度渗透奠定坚实基础。</w:t>
      </w:r>
    </w:p>
    <w:p w14:paraId="6E053503" w14:textId="77777777" w:rsidR="00B064C6" w:rsidRDefault="00B064C6" w:rsidP="00B064C6">
      <w:pPr>
        <w:spacing w:beforeLines="50" w:before="156" w:line="360" w:lineRule="auto"/>
        <w:ind w:firstLineChars="200" w:firstLine="480"/>
        <w:rPr>
          <w:rFonts w:ascii="宋体" w:hAnsi="宋体"/>
          <w:sz w:val="24"/>
        </w:rPr>
      </w:pPr>
      <w:r>
        <w:rPr>
          <w:rFonts w:ascii="宋体" w:hAnsi="宋体" w:hint="eastAsia"/>
          <w:sz w:val="24"/>
        </w:rPr>
        <w:t>智能电网业务方面，受益于 “十五五” 能源数字化政策红利持续释放，凭借在配网数字化领域深厚的技术积淀与自主可控的核心能力，公司的台区治理及输电线路在线监测业务发展成效尤为突出，中标额累计超3亿元，稳居行业头部，全国区域市场布局持续拓宽，多点开花的区域突破验证了公司产品方案的广泛适配性与市场竞争力。</w:t>
      </w:r>
    </w:p>
    <w:p w14:paraId="58CF9FD6" w14:textId="77777777" w:rsidR="00B064C6" w:rsidRDefault="00B064C6" w:rsidP="00B064C6">
      <w:pPr>
        <w:spacing w:beforeLines="50" w:before="156" w:line="360" w:lineRule="auto"/>
        <w:ind w:firstLineChars="200" w:firstLine="480"/>
        <w:rPr>
          <w:rFonts w:ascii="宋体" w:hAnsi="宋体"/>
          <w:sz w:val="24"/>
        </w:rPr>
      </w:pPr>
      <w:r>
        <w:rPr>
          <w:rFonts w:ascii="宋体" w:hAnsi="宋体" w:hint="eastAsia"/>
          <w:sz w:val="24"/>
        </w:rPr>
        <w:lastRenderedPageBreak/>
        <w:t>海外市场方面，公司连续中标中东区域水</w:t>
      </w:r>
      <w:proofErr w:type="gramStart"/>
      <w:r>
        <w:rPr>
          <w:rFonts w:ascii="宋体" w:hAnsi="宋体" w:hint="eastAsia"/>
          <w:sz w:val="24"/>
        </w:rPr>
        <w:t>务</w:t>
      </w:r>
      <w:proofErr w:type="gramEnd"/>
      <w:r>
        <w:rPr>
          <w:rFonts w:ascii="宋体" w:hAnsi="宋体" w:hint="eastAsia"/>
          <w:sz w:val="24"/>
        </w:rPr>
        <w:t>公司智能水表项目与非洲科摩罗水</w:t>
      </w:r>
      <w:proofErr w:type="gramStart"/>
      <w:r>
        <w:rPr>
          <w:rFonts w:ascii="宋体" w:hAnsi="宋体" w:hint="eastAsia"/>
          <w:sz w:val="24"/>
        </w:rPr>
        <w:t>务</w:t>
      </w:r>
      <w:proofErr w:type="gramEnd"/>
      <w:r>
        <w:rPr>
          <w:rFonts w:ascii="宋体" w:hAnsi="宋体" w:hint="eastAsia"/>
          <w:sz w:val="24"/>
        </w:rPr>
        <w:t>治理升级项目，智能水表、AMI平台与综合数字水</w:t>
      </w:r>
      <w:proofErr w:type="gramStart"/>
      <w:r>
        <w:rPr>
          <w:rFonts w:ascii="宋体" w:hAnsi="宋体" w:hint="eastAsia"/>
          <w:sz w:val="24"/>
        </w:rPr>
        <w:t>务</w:t>
      </w:r>
      <w:proofErr w:type="gramEnd"/>
      <w:r>
        <w:rPr>
          <w:rFonts w:ascii="宋体" w:hAnsi="宋体" w:hint="eastAsia"/>
          <w:sz w:val="24"/>
        </w:rPr>
        <w:t>方案的区域示范价值与复制潜力进一步释放，全场景解决方案的全球化适配能力与市场竞争力得到持续提升。</w:t>
      </w:r>
    </w:p>
    <w:p w14:paraId="3033C1C4" w14:textId="284CCE92" w:rsidR="00B064C6" w:rsidRDefault="00B064C6" w:rsidP="00B064C6">
      <w:pPr>
        <w:spacing w:beforeLines="50" w:before="156" w:line="360" w:lineRule="auto"/>
        <w:ind w:firstLineChars="200" w:firstLine="480"/>
        <w:rPr>
          <w:rFonts w:ascii="宋体" w:hAnsi="宋体"/>
          <w:sz w:val="24"/>
        </w:rPr>
      </w:pPr>
      <w:r>
        <w:rPr>
          <w:rFonts w:ascii="宋体" w:hAnsi="宋体" w:hint="eastAsia"/>
          <w:sz w:val="24"/>
        </w:rPr>
        <w:t>在研发创新方面，公司上半年研发投入占比10.26%，同比增长2.7</w:t>
      </w:r>
      <w:r>
        <w:rPr>
          <w:rFonts w:ascii="宋体" w:hAnsi="宋体"/>
          <w:sz w:val="24"/>
        </w:rPr>
        <w:t>1个百分点</w:t>
      </w:r>
      <w:r>
        <w:rPr>
          <w:rFonts w:ascii="宋体" w:hAnsi="宋体" w:hint="eastAsia"/>
          <w:sz w:val="24"/>
        </w:rPr>
        <w:t>，荣获“基于智能融合终端的低压配电网数字化建设项目”“数字新基建”100个标志性项目、“面向海量分散资源的全域采集感知与聚合调控关键技术”</w:t>
      </w:r>
      <w:proofErr w:type="gramStart"/>
      <w:r>
        <w:rPr>
          <w:rFonts w:ascii="宋体" w:hAnsi="宋体" w:hint="eastAsia"/>
          <w:sz w:val="24"/>
        </w:rPr>
        <w:t>国网湖南</w:t>
      </w:r>
      <w:proofErr w:type="gramEnd"/>
      <w:r>
        <w:rPr>
          <w:rFonts w:ascii="宋体" w:hAnsi="宋体" w:hint="eastAsia"/>
          <w:sz w:val="24"/>
        </w:rPr>
        <w:t>电力科技进步一等奖、“千万千瓦级分布式资源通感融合分层调控关键技术及应用”湖南省科学技术进步奖一等奖等系列里程碑行业荣誉，储备未来动能。</w:t>
      </w:r>
    </w:p>
    <w:p w14:paraId="4C9D3AB1" w14:textId="77777777" w:rsidR="00B064C6" w:rsidRDefault="00B064C6" w:rsidP="00B064C6">
      <w:pPr>
        <w:spacing w:beforeLines="50" w:before="156" w:line="360" w:lineRule="auto"/>
        <w:ind w:firstLineChars="200" w:firstLine="480"/>
        <w:rPr>
          <w:rFonts w:ascii="宋体" w:hAnsi="宋体"/>
          <w:sz w:val="24"/>
        </w:rPr>
      </w:pPr>
      <w:r>
        <w:rPr>
          <w:rFonts w:ascii="宋体" w:hAnsi="宋体" w:hint="eastAsia"/>
          <w:sz w:val="24"/>
        </w:rPr>
        <w:t>公司实验室也已取得CNAS认可，检测报告实现全球互认，有效降低海外市场准入门槛，同时公司布局光模块业务，</w:t>
      </w:r>
      <w:proofErr w:type="gramStart"/>
      <w:r>
        <w:rPr>
          <w:rFonts w:ascii="宋体" w:hAnsi="宋体" w:hint="eastAsia"/>
          <w:sz w:val="24"/>
        </w:rPr>
        <w:t>完善算力产业</w:t>
      </w:r>
      <w:proofErr w:type="gramEnd"/>
      <w:r>
        <w:rPr>
          <w:rFonts w:ascii="宋体" w:hAnsi="宋体" w:hint="eastAsia"/>
          <w:sz w:val="24"/>
        </w:rPr>
        <w:t>矩阵。</w:t>
      </w:r>
    </w:p>
    <w:p w14:paraId="46E184DF" w14:textId="77777777" w:rsidR="00B064C6" w:rsidRDefault="00B064C6" w:rsidP="00B064C6">
      <w:pPr>
        <w:spacing w:beforeLines="50" w:before="156" w:line="360" w:lineRule="auto"/>
        <w:ind w:firstLineChars="200" w:firstLine="480"/>
        <w:rPr>
          <w:rFonts w:ascii="宋体" w:hAnsi="宋体"/>
          <w:sz w:val="24"/>
        </w:rPr>
      </w:pPr>
      <w:r>
        <w:rPr>
          <w:rFonts w:ascii="宋体" w:hAnsi="宋体" w:hint="eastAsia"/>
          <w:sz w:val="24"/>
        </w:rPr>
        <w:t>期内经营现金流净额净流出 1 亿元，主要为战略性</w:t>
      </w:r>
      <w:proofErr w:type="gramStart"/>
      <w:r>
        <w:rPr>
          <w:rFonts w:ascii="宋体" w:hAnsi="宋体" w:hint="eastAsia"/>
          <w:sz w:val="24"/>
        </w:rPr>
        <w:t>备库锁价</w:t>
      </w:r>
      <w:proofErr w:type="gramEnd"/>
      <w:r>
        <w:rPr>
          <w:rFonts w:ascii="宋体" w:hAnsi="宋体" w:hint="eastAsia"/>
          <w:sz w:val="24"/>
        </w:rPr>
        <w:t>形成的阶段性现象；销售回款基本持平，采购支出同比增加 2.76 亿元。后续随订单交付结转，经营现金流将回归常态，公司存量资金充裕，资金状况稳健安全。</w:t>
      </w:r>
    </w:p>
    <w:p w14:paraId="54B3406B" w14:textId="77777777" w:rsidR="00B064C6" w:rsidRDefault="00B064C6" w:rsidP="00B064C6">
      <w:pPr>
        <w:spacing w:beforeLines="50" w:before="156" w:line="360" w:lineRule="auto"/>
        <w:ind w:firstLineChars="200" w:firstLine="480"/>
        <w:rPr>
          <w:rFonts w:ascii="宋体" w:hAnsi="宋体"/>
          <w:sz w:val="24"/>
        </w:rPr>
      </w:pPr>
      <w:r>
        <w:rPr>
          <w:rFonts w:ascii="宋体" w:hAnsi="宋体" w:hint="eastAsia"/>
          <w:sz w:val="24"/>
        </w:rPr>
        <w:t xml:space="preserve">上半年，公司还完成了第三轮股份回购，回购 175.23 万股，耗资 5000 万元。上市以来累计回购 1,829.85 万股，金额 4.99 亿元；831.48 万股已注销，占总股本 1.66%，等效分红约 2 亿元，增厚 EPS、优化股本。公司累计现金分红 + 回购合计回馈股东 17.26 亿元，为 IPO 募资净额 2.8 </w:t>
      </w:r>
      <w:proofErr w:type="gramStart"/>
      <w:r>
        <w:rPr>
          <w:rFonts w:ascii="宋体" w:hAnsi="宋体" w:hint="eastAsia"/>
          <w:sz w:val="24"/>
        </w:rPr>
        <w:t>倍</w:t>
      </w:r>
      <w:proofErr w:type="gramEnd"/>
      <w:r>
        <w:rPr>
          <w:rFonts w:ascii="宋体" w:hAnsi="宋体" w:hint="eastAsia"/>
          <w:sz w:val="24"/>
        </w:rPr>
        <w:t>，以实际行动回馈投资者，坚定看好公司长期发展。</w:t>
      </w:r>
    </w:p>
    <w:p w14:paraId="7BBB27CD" w14:textId="0FE92572" w:rsidR="00B064C6" w:rsidRDefault="00B064C6" w:rsidP="00B064C6">
      <w:pPr>
        <w:spacing w:beforeLines="50" w:before="156" w:line="360" w:lineRule="auto"/>
        <w:rPr>
          <w:rFonts w:ascii="宋体" w:hAnsi="宋体"/>
          <w:sz w:val="24"/>
        </w:rPr>
      </w:pPr>
      <w:r>
        <w:rPr>
          <w:rFonts w:ascii="宋体" w:hAnsi="宋体" w:hint="eastAsia"/>
          <w:b/>
          <w:bCs/>
          <w:kern w:val="0"/>
          <w:sz w:val="24"/>
        </w:rPr>
        <w:t>三、</w:t>
      </w:r>
      <w:r>
        <w:rPr>
          <w:rFonts w:ascii="宋体" w:hAnsi="宋体"/>
          <w:b/>
          <w:bCs/>
          <w:kern w:val="0"/>
          <w:sz w:val="24"/>
        </w:rPr>
        <w:t>技术与产品布局介绍</w:t>
      </w:r>
    </w:p>
    <w:p w14:paraId="55F2E8FE" w14:textId="77777777" w:rsidR="00B064C6" w:rsidRDefault="00B064C6" w:rsidP="00B064C6">
      <w:pPr>
        <w:spacing w:beforeLines="50" w:before="156" w:line="360" w:lineRule="auto"/>
        <w:ind w:firstLine="420"/>
        <w:rPr>
          <w:rFonts w:ascii="宋体" w:hAnsi="宋体"/>
          <w:sz w:val="24"/>
        </w:rPr>
      </w:pPr>
      <w:r>
        <w:rPr>
          <w:rFonts w:ascii="宋体" w:hAnsi="宋体" w:hint="eastAsia"/>
          <w:sz w:val="24"/>
        </w:rPr>
        <w:t>在“双碳”目标推动下，高比例新能源接入电网，传统电力系统正从“单向输电”转向“双向互动”，这带来的核心挑战是</w:t>
      </w:r>
      <w:proofErr w:type="gramStart"/>
      <w:r>
        <w:rPr>
          <w:rFonts w:ascii="宋体" w:hAnsi="宋体" w:hint="eastAsia"/>
          <w:sz w:val="24"/>
        </w:rPr>
        <w:t>电不仅</w:t>
      </w:r>
      <w:proofErr w:type="gramEnd"/>
      <w:r>
        <w:rPr>
          <w:rFonts w:ascii="宋体" w:hAnsi="宋体" w:hint="eastAsia"/>
          <w:sz w:val="24"/>
        </w:rPr>
        <w:t>从电厂流向用户，也从千家万户的屋顶光伏、电动汽车、储能设备中反向流入电网。电网从过去稳定、单向的“单行道”，变成了动态、双向的“立交桥”，面临双向潮流平衡、供电质量与可靠性等新挑战。</w:t>
      </w:r>
    </w:p>
    <w:p w14:paraId="62E14C7C" w14:textId="77777777" w:rsidR="00B064C6" w:rsidRDefault="00B064C6" w:rsidP="00B064C6">
      <w:pPr>
        <w:spacing w:beforeLines="50" w:before="156" w:line="360" w:lineRule="auto"/>
        <w:ind w:firstLine="420"/>
        <w:rPr>
          <w:rFonts w:ascii="宋体" w:hAnsi="宋体"/>
          <w:sz w:val="24"/>
        </w:rPr>
      </w:pPr>
      <w:r>
        <w:rPr>
          <w:rFonts w:ascii="宋体" w:hAnsi="宋体" w:hint="eastAsia"/>
          <w:sz w:val="24"/>
        </w:rPr>
        <w:t>面向新的挑战，需要构建一个 “可观、可测、可调、可控”的数字电网。</w:t>
      </w:r>
    </w:p>
    <w:p w14:paraId="784026AE" w14:textId="77777777" w:rsidR="00B064C6" w:rsidRDefault="00B064C6" w:rsidP="00B064C6">
      <w:pPr>
        <w:spacing w:beforeLines="50" w:before="156" w:line="360" w:lineRule="auto"/>
        <w:ind w:firstLine="420"/>
        <w:rPr>
          <w:rFonts w:ascii="宋体" w:hAnsi="宋体"/>
          <w:sz w:val="24"/>
        </w:rPr>
      </w:pPr>
      <w:r>
        <w:rPr>
          <w:rFonts w:ascii="宋体" w:hAnsi="宋体" w:hint="eastAsia"/>
          <w:sz w:val="24"/>
        </w:rPr>
        <w:t>“可观、可测、可调、可控”这“八字方针”，恰恰精准地定义了对通信、感</w:t>
      </w:r>
      <w:r>
        <w:rPr>
          <w:rFonts w:ascii="宋体" w:hAnsi="宋体" w:hint="eastAsia"/>
          <w:sz w:val="24"/>
        </w:rPr>
        <w:lastRenderedPageBreak/>
        <w:t>知、计算三大能力的全新需求：</w:t>
      </w:r>
    </w:p>
    <w:p w14:paraId="5018E828" w14:textId="77777777" w:rsidR="00B064C6" w:rsidRDefault="00B064C6" w:rsidP="00B064C6">
      <w:pPr>
        <w:spacing w:beforeLines="50" w:before="156" w:line="360" w:lineRule="auto"/>
        <w:ind w:firstLine="420"/>
        <w:rPr>
          <w:rFonts w:ascii="宋体" w:hAnsi="宋体"/>
          <w:sz w:val="24"/>
        </w:rPr>
      </w:pPr>
      <w:r>
        <w:rPr>
          <w:rFonts w:ascii="宋体" w:hAnsi="宋体" w:hint="eastAsia"/>
          <w:sz w:val="24"/>
        </w:rPr>
        <w:t>“可观、可测”要求海量节点在线、数据</w:t>
      </w:r>
      <w:proofErr w:type="gramStart"/>
      <w:r>
        <w:rPr>
          <w:rFonts w:ascii="宋体" w:hAnsi="宋体" w:hint="eastAsia"/>
          <w:sz w:val="24"/>
        </w:rPr>
        <w:t>分钟级</w:t>
      </w:r>
      <w:proofErr w:type="gramEnd"/>
      <w:r>
        <w:rPr>
          <w:rFonts w:ascii="宋体" w:hAnsi="宋体" w:hint="eastAsia"/>
          <w:sz w:val="24"/>
        </w:rPr>
        <w:t>甚至秒级采集上报，这是对通信能力的极限考验。</w:t>
      </w:r>
    </w:p>
    <w:p w14:paraId="668F259D" w14:textId="77777777" w:rsidR="00B064C6" w:rsidRDefault="00B064C6" w:rsidP="00B064C6">
      <w:pPr>
        <w:spacing w:beforeLines="50" w:before="156" w:line="360" w:lineRule="auto"/>
        <w:ind w:firstLine="420"/>
        <w:rPr>
          <w:rFonts w:ascii="宋体" w:hAnsi="宋体"/>
          <w:sz w:val="24"/>
        </w:rPr>
      </w:pPr>
      <w:r>
        <w:rPr>
          <w:rFonts w:ascii="宋体" w:hAnsi="宋体" w:hint="eastAsia"/>
          <w:sz w:val="24"/>
        </w:rPr>
        <w:t>“可调、可控”则要求系统能进行在线监测、故障</w:t>
      </w:r>
      <w:proofErr w:type="gramStart"/>
      <w:r>
        <w:rPr>
          <w:rFonts w:ascii="宋体" w:hAnsi="宋体" w:hint="eastAsia"/>
          <w:sz w:val="24"/>
        </w:rPr>
        <w:t>研</w:t>
      </w:r>
      <w:proofErr w:type="gramEnd"/>
      <w:r>
        <w:rPr>
          <w:rFonts w:ascii="宋体" w:hAnsi="宋体" w:hint="eastAsia"/>
          <w:sz w:val="24"/>
        </w:rPr>
        <w:t>判、台区治理，实现配网</w:t>
      </w:r>
      <w:proofErr w:type="gramStart"/>
      <w:r>
        <w:rPr>
          <w:rFonts w:ascii="宋体" w:hAnsi="宋体" w:hint="eastAsia"/>
          <w:sz w:val="24"/>
        </w:rPr>
        <w:t>和微网的</w:t>
      </w:r>
      <w:proofErr w:type="gramEnd"/>
      <w:r>
        <w:rPr>
          <w:rFonts w:ascii="宋体" w:hAnsi="宋体" w:hint="eastAsia"/>
          <w:sz w:val="24"/>
        </w:rPr>
        <w:t>协同，这背后是多维感知和边缘计算智能的深度融合。</w:t>
      </w:r>
    </w:p>
    <w:p w14:paraId="1CA2E522" w14:textId="77777777" w:rsidR="00B064C6" w:rsidRDefault="00B064C6" w:rsidP="00B064C6">
      <w:pPr>
        <w:spacing w:beforeLines="50" w:before="156" w:line="360" w:lineRule="auto"/>
        <w:ind w:firstLine="420"/>
        <w:rPr>
          <w:rFonts w:ascii="宋体" w:hAnsi="宋体"/>
          <w:sz w:val="24"/>
        </w:rPr>
      </w:pPr>
      <w:r>
        <w:rPr>
          <w:rFonts w:ascii="宋体" w:hAnsi="宋体" w:hint="eastAsia"/>
          <w:sz w:val="24"/>
        </w:rPr>
        <w:t>挑战与机遇并行，面向电网，威</w:t>
      </w:r>
      <w:proofErr w:type="gramStart"/>
      <w:r>
        <w:rPr>
          <w:rFonts w:ascii="宋体" w:hAnsi="宋体" w:hint="eastAsia"/>
          <w:sz w:val="24"/>
        </w:rPr>
        <w:t>胜信息</w:t>
      </w:r>
      <w:proofErr w:type="gramEnd"/>
      <w:r>
        <w:rPr>
          <w:rFonts w:ascii="宋体" w:hAnsi="宋体" w:hint="eastAsia"/>
          <w:sz w:val="24"/>
        </w:rPr>
        <w:t>的主战场正从相对成熟的“电力AMI”（用电信息采集系统）向更广阔、更复杂的“数智电网”加速转移。在“电力AMI”领域，核心是“法制计量设备”（如智能电表），关乎电费结算，要求极高的精确性和可靠性，因此通信、感知、计算功能通常需要分离设计以确保安全。</w:t>
      </w:r>
    </w:p>
    <w:p w14:paraId="303D0ED0" w14:textId="77777777" w:rsidR="00B064C6" w:rsidRDefault="00B064C6" w:rsidP="00B064C6">
      <w:pPr>
        <w:spacing w:beforeLines="50" w:before="156" w:line="360" w:lineRule="auto"/>
        <w:ind w:firstLine="420"/>
        <w:rPr>
          <w:rFonts w:ascii="宋体" w:hAnsi="宋体"/>
          <w:sz w:val="24"/>
        </w:rPr>
      </w:pPr>
      <w:r>
        <w:rPr>
          <w:rFonts w:ascii="宋体" w:hAnsi="宋体" w:hint="eastAsia"/>
          <w:sz w:val="24"/>
        </w:rPr>
        <w:t>而在“数智电网”中，主角变成了海量的 “非法制计量设备”，如智能开关、在线监测装置、光伏并网断路器/台区电能质量治理装置等。它们的核心任务是状态监测和智能控制，这一转变，为技术融合创造了绝佳的条件：</w:t>
      </w:r>
    </w:p>
    <w:p w14:paraId="316E03A7" w14:textId="77777777" w:rsidR="00B064C6" w:rsidRDefault="00B064C6" w:rsidP="00B064C6">
      <w:pPr>
        <w:spacing w:beforeLines="50" w:before="156" w:line="360" w:lineRule="auto"/>
        <w:ind w:firstLine="420"/>
        <w:rPr>
          <w:rFonts w:ascii="宋体" w:hAnsi="宋体"/>
          <w:sz w:val="24"/>
        </w:rPr>
      </w:pPr>
      <w:r>
        <w:rPr>
          <w:rFonts w:ascii="宋体" w:hAnsi="宋体" w:hint="eastAsia"/>
          <w:sz w:val="24"/>
        </w:rPr>
        <w:t>1、需求升级：从单一的电参量采集，升级为对电参量、通信状态、设备状态、环境参量等的多维动态感知。</w:t>
      </w:r>
    </w:p>
    <w:p w14:paraId="648ED916" w14:textId="77777777" w:rsidR="00B064C6" w:rsidRDefault="00B064C6" w:rsidP="00B064C6">
      <w:pPr>
        <w:spacing w:beforeLines="50" w:before="156" w:line="360" w:lineRule="auto"/>
        <w:ind w:firstLine="420"/>
        <w:rPr>
          <w:rFonts w:ascii="宋体" w:hAnsi="宋体"/>
          <w:sz w:val="24"/>
        </w:rPr>
      </w:pPr>
      <w:r>
        <w:rPr>
          <w:rFonts w:ascii="宋体" w:hAnsi="宋体" w:hint="eastAsia"/>
          <w:sz w:val="24"/>
        </w:rPr>
        <w:t>2、产品驱动：这些设备通常安装在恶劣、受限的环境（如配电箱、杆塔），对小型化、低功耗、低成本、高可靠有着极致要求。</w:t>
      </w:r>
    </w:p>
    <w:p w14:paraId="572AFC67" w14:textId="77777777" w:rsidR="00B064C6" w:rsidRDefault="00B064C6" w:rsidP="00B064C6">
      <w:pPr>
        <w:spacing w:beforeLines="50" w:before="156" w:line="360" w:lineRule="auto"/>
        <w:ind w:firstLine="420"/>
        <w:rPr>
          <w:rFonts w:ascii="宋体" w:hAnsi="宋体"/>
          <w:sz w:val="24"/>
        </w:rPr>
      </w:pPr>
      <w:r>
        <w:rPr>
          <w:rFonts w:ascii="宋体" w:hAnsi="宋体" w:hint="eastAsia"/>
          <w:sz w:val="24"/>
        </w:rPr>
        <w:t>传统的“通信芯、感知芯、计算芯”三颗芯片分离的方案，面临体积、功耗和成本的瓶颈。因此，</w:t>
      </w:r>
      <w:proofErr w:type="spellStart"/>
      <w:r>
        <w:rPr>
          <w:rFonts w:ascii="宋体" w:hAnsi="宋体" w:hint="eastAsia"/>
          <w:sz w:val="24"/>
        </w:rPr>
        <w:t>SoC</w:t>
      </w:r>
      <w:proofErr w:type="spellEnd"/>
      <w:r>
        <w:rPr>
          <w:rFonts w:ascii="宋体" w:hAnsi="宋体" w:hint="eastAsia"/>
          <w:sz w:val="24"/>
        </w:rPr>
        <w:t>级别的“通感算三芯合一”不再是选择题，而是必答题。以该芯片为基础的通感算合一模组能够显著缩小体积、降低功耗、优化成本，是状态监测和智能控制设备的数字化底座，也是满足未来电网海量数字化设备部署需求的最佳路径。我们预估，未来国内国际配电网将有数十亿个节点需要互联互通，催生了一个高达500至1000亿元的广阔市场空间，也高度契合中国</w:t>
      </w:r>
      <w:r>
        <w:rPr>
          <w:rFonts w:ascii="宋体" w:hAnsi="宋体"/>
          <w:sz w:val="24"/>
        </w:rPr>
        <w:t>“十五五”</w:t>
      </w:r>
      <w:r>
        <w:rPr>
          <w:rFonts w:ascii="宋体" w:hAnsi="宋体" w:hint="eastAsia"/>
          <w:sz w:val="24"/>
        </w:rPr>
        <w:t>规划，按照国家规划</w:t>
      </w:r>
      <w:r>
        <w:rPr>
          <w:rFonts w:ascii="宋体" w:hAnsi="宋体"/>
          <w:sz w:val="24"/>
        </w:rPr>
        <w:t>新型电力系统总投资超 12 万亿元；</w:t>
      </w:r>
      <w:r>
        <w:rPr>
          <w:rFonts w:ascii="宋体" w:hAnsi="宋体" w:hint="eastAsia"/>
          <w:sz w:val="24"/>
        </w:rPr>
        <w:t>其中</w:t>
      </w:r>
      <w:r>
        <w:rPr>
          <w:rFonts w:ascii="宋体" w:hAnsi="宋体"/>
          <w:sz w:val="24"/>
        </w:rPr>
        <w:t>国家电网、南方电网总投资</w:t>
      </w:r>
      <w:proofErr w:type="gramStart"/>
      <w:r>
        <w:rPr>
          <w:rFonts w:ascii="宋体" w:hAnsi="宋体"/>
          <w:sz w:val="24"/>
        </w:rPr>
        <w:t>规划达</w:t>
      </w:r>
      <w:proofErr w:type="gramEnd"/>
      <w:r>
        <w:rPr>
          <w:rFonts w:ascii="宋体" w:hAnsi="宋体"/>
          <w:sz w:val="24"/>
        </w:rPr>
        <w:t xml:space="preserve"> 5 万亿元，其</w:t>
      </w:r>
      <w:r>
        <w:rPr>
          <w:rFonts w:ascii="宋体" w:hAnsi="宋体" w:hint="eastAsia"/>
          <w:sz w:val="24"/>
        </w:rPr>
        <w:t>中国网对</w:t>
      </w:r>
      <w:r>
        <w:rPr>
          <w:rFonts w:ascii="宋体" w:hAnsi="宋体"/>
          <w:sz w:val="24"/>
        </w:rPr>
        <w:t>配网投资1.6-1.8</w:t>
      </w:r>
      <w:proofErr w:type="gramStart"/>
      <w:r>
        <w:rPr>
          <w:rFonts w:ascii="宋体" w:hAnsi="宋体"/>
          <w:sz w:val="24"/>
        </w:rPr>
        <w:t>万亿</w:t>
      </w:r>
      <w:proofErr w:type="gramEnd"/>
      <w:r>
        <w:rPr>
          <w:rFonts w:ascii="宋体" w:hAnsi="宋体"/>
          <w:sz w:val="24"/>
        </w:rPr>
        <w:t>（占比40%-45%），</w:t>
      </w:r>
      <w:proofErr w:type="gramStart"/>
      <w:r>
        <w:rPr>
          <w:rFonts w:ascii="宋体" w:hAnsi="宋体"/>
          <w:sz w:val="24"/>
        </w:rPr>
        <w:t>数智化</w:t>
      </w:r>
      <w:proofErr w:type="gramEnd"/>
      <w:r>
        <w:rPr>
          <w:rFonts w:ascii="宋体" w:hAnsi="宋体"/>
          <w:sz w:val="24"/>
        </w:rPr>
        <w:t>0.6-0.8</w:t>
      </w:r>
      <w:proofErr w:type="gramStart"/>
      <w:r>
        <w:rPr>
          <w:rFonts w:ascii="宋体" w:hAnsi="宋体"/>
          <w:sz w:val="24"/>
        </w:rPr>
        <w:t>万亿</w:t>
      </w:r>
      <w:proofErr w:type="gramEnd"/>
      <w:r>
        <w:rPr>
          <w:rFonts w:ascii="宋体" w:hAnsi="宋体"/>
          <w:sz w:val="24"/>
        </w:rPr>
        <w:t>（15%-20%）</w:t>
      </w:r>
      <w:r>
        <w:rPr>
          <w:rFonts w:ascii="宋体" w:hAnsi="宋体" w:hint="eastAsia"/>
          <w:sz w:val="24"/>
        </w:rPr>
        <w:t>，</w:t>
      </w:r>
      <w:proofErr w:type="gramStart"/>
      <w:r>
        <w:rPr>
          <w:rFonts w:ascii="宋体" w:hAnsi="宋体"/>
          <w:sz w:val="24"/>
        </w:rPr>
        <w:t>配网数智化</w:t>
      </w:r>
      <w:proofErr w:type="gramEnd"/>
      <w:r>
        <w:rPr>
          <w:rFonts w:ascii="宋体" w:hAnsi="宋体"/>
          <w:sz w:val="24"/>
        </w:rPr>
        <w:t>升级成为新一轮电网投资的核心方向。</w:t>
      </w:r>
    </w:p>
    <w:p w14:paraId="2721EC56" w14:textId="77777777" w:rsidR="00B064C6" w:rsidRDefault="00B064C6" w:rsidP="00B064C6">
      <w:pPr>
        <w:spacing w:beforeLines="50" w:before="156" w:line="360" w:lineRule="auto"/>
        <w:ind w:firstLine="420"/>
        <w:rPr>
          <w:rFonts w:ascii="宋体" w:hAnsi="宋体"/>
          <w:sz w:val="24"/>
        </w:rPr>
      </w:pPr>
      <w:r>
        <w:rPr>
          <w:rFonts w:ascii="宋体" w:hAnsi="宋体" w:hint="eastAsia"/>
          <w:sz w:val="24"/>
        </w:rPr>
        <w:t>面对这一机遇，威</w:t>
      </w:r>
      <w:proofErr w:type="gramStart"/>
      <w:r>
        <w:rPr>
          <w:rFonts w:ascii="宋体" w:hAnsi="宋体" w:hint="eastAsia"/>
          <w:sz w:val="24"/>
        </w:rPr>
        <w:t>胜信息</w:t>
      </w:r>
      <w:proofErr w:type="gramEnd"/>
      <w:r>
        <w:rPr>
          <w:rFonts w:ascii="宋体" w:hAnsi="宋体" w:hint="eastAsia"/>
          <w:sz w:val="24"/>
        </w:rPr>
        <w:t>未来是如何布局的？</w:t>
      </w:r>
      <w:r>
        <w:rPr>
          <w:rFonts w:ascii="宋体" w:hAnsi="宋体"/>
          <w:sz w:val="24"/>
        </w:rPr>
        <w:t xml:space="preserve"> </w:t>
      </w:r>
    </w:p>
    <w:p w14:paraId="5B746ED1" w14:textId="77777777" w:rsidR="00B064C6" w:rsidRDefault="00B064C6" w:rsidP="00B064C6">
      <w:pPr>
        <w:spacing w:beforeLines="50" w:before="156" w:line="360" w:lineRule="auto"/>
        <w:ind w:firstLine="420"/>
        <w:rPr>
          <w:rFonts w:ascii="宋体" w:hAnsi="宋体"/>
          <w:sz w:val="24"/>
        </w:rPr>
      </w:pPr>
      <w:r>
        <w:rPr>
          <w:rFonts w:ascii="宋体" w:hAnsi="宋体" w:hint="eastAsia"/>
          <w:sz w:val="24"/>
        </w:rPr>
        <w:lastRenderedPageBreak/>
        <w:t>从2019年</w:t>
      </w:r>
      <w:proofErr w:type="gramStart"/>
      <w:r>
        <w:rPr>
          <w:rFonts w:ascii="宋体" w:hAnsi="宋体" w:hint="eastAsia"/>
          <w:sz w:val="24"/>
        </w:rPr>
        <w:t>满足国南网标准</w:t>
      </w:r>
      <w:proofErr w:type="gramEnd"/>
      <w:r>
        <w:rPr>
          <w:rFonts w:ascii="宋体" w:hAnsi="宋体" w:hint="eastAsia"/>
          <w:sz w:val="24"/>
        </w:rPr>
        <w:t>的HPLC芯片，到后来的双模芯片、Wi-SUN芯片，以及去年推出</w:t>
      </w:r>
      <w:proofErr w:type="gramStart"/>
      <w:r>
        <w:rPr>
          <w:rFonts w:ascii="宋体" w:hAnsi="宋体" w:hint="eastAsia"/>
          <w:sz w:val="24"/>
        </w:rPr>
        <w:t>的三模通信</w:t>
      </w:r>
      <w:proofErr w:type="gramEnd"/>
      <w:r>
        <w:rPr>
          <w:rFonts w:ascii="宋体" w:hAnsi="宋体" w:hint="eastAsia"/>
          <w:sz w:val="24"/>
        </w:rPr>
        <w:t>芯片，我们的产品累计出货已超过3000万片。这为我们迈向“通感算融合”打下了坚实的基础。</w:t>
      </w:r>
    </w:p>
    <w:p w14:paraId="1CCC1E05" w14:textId="77777777" w:rsidR="00B064C6" w:rsidRDefault="00B064C6" w:rsidP="00B064C6">
      <w:pPr>
        <w:spacing w:beforeLines="50" w:before="156" w:line="360" w:lineRule="auto"/>
        <w:ind w:firstLine="420"/>
        <w:rPr>
          <w:rFonts w:ascii="宋体" w:hAnsi="宋体"/>
          <w:sz w:val="24"/>
        </w:rPr>
      </w:pPr>
      <w:r>
        <w:rPr>
          <w:rFonts w:ascii="宋体" w:hAnsi="宋体" w:hint="eastAsia"/>
          <w:sz w:val="24"/>
        </w:rPr>
        <w:t>2025年我们已成功研制高精度感知芯片，为多维传感奠定了基础。集成通信和感知的通感融合芯片WTI10已流片成功，正在小批量推广试点中。而我们的核心目标，是在今年内推出通感算融合SOC芯片WTI30，它将新一代通信、多维感知和边缘AI计算单元深度融合，</w:t>
      </w:r>
      <w:r>
        <w:rPr>
          <w:rFonts w:ascii="宋体" w:hAnsi="宋体"/>
          <w:sz w:val="24"/>
        </w:rPr>
        <w:t>支持边缘AI决策，覆盖</w:t>
      </w:r>
      <w:r>
        <w:rPr>
          <w:rFonts w:ascii="宋体" w:hAnsi="宋体" w:hint="eastAsia"/>
          <w:sz w:val="24"/>
        </w:rPr>
        <w:t>输变电智能监测</w:t>
      </w:r>
      <w:r>
        <w:rPr>
          <w:rFonts w:ascii="宋体" w:hAnsi="宋体"/>
          <w:sz w:val="24"/>
        </w:rPr>
        <w:t>、光伏并网、</w:t>
      </w:r>
      <w:r>
        <w:rPr>
          <w:rFonts w:ascii="宋体" w:hAnsi="宋体" w:hint="eastAsia"/>
          <w:sz w:val="24"/>
        </w:rPr>
        <w:t>台区治理</w:t>
      </w:r>
      <w:r>
        <w:rPr>
          <w:rFonts w:ascii="宋体" w:hAnsi="宋体"/>
          <w:sz w:val="24"/>
        </w:rPr>
        <w:t>等高端场景</w:t>
      </w:r>
      <w:r>
        <w:rPr>
          <w:rFonts w:ascii="宋体" w:hAnsi="宋体" w:hint="eastAsia"/>
          <w:sz w:val="24"/>
        </w:rPr>
        <w:t>，真正实现设备的“端侧AI智能”</w:t>
      </w:r>
      <w:r>
        <w:rPr>
          <w:rFonts w:ascii="宋体" w:hAnsi="宋体"/>
          <w:sz w:val="24"/>
        </w:rPr>
        <w:t>。</w:t>
      </w:r>
    </w:p>
    <w:p w14:paraId="5DA87457" w14:textId="77777777" w:rsidR="00B064C6" w:rsidRDefault="00B064C6" w:rsidP="00B064C6">
      <w:pPr>
        <w:spacing w:beforeLines="50" w:before="156" w:line="360" w:lineRule="auto"/>
        <w:ind w:firstLine="420"/>
        <w:rPr>
          <w:rFonts w:ascii="宋体" w:hAnsi="宋体"/>
          <w:sz w:val="24"/>
        </w:rPr>
      </w:pPr>
      <w:r>
        <w:rPr>
          <w:rFonts w:ascii="宋体" w:hAnsi="宋体" w:hint="eastAsia"/>
          <w:sz w:val="24"/>
        </w:rPr>
        <w:t>以此为基础，我们规划了</w:t>
      </w:r>
      <w:r>
        <w:rPr>
          <w:rFonts w:ascii="宋体" w:hAnsi="宋体"/>
          <w:sz w:val="24"/>
        </w:rPr>
        <w:t>输电智能感知解决方案</w:t>
      </w:r>
      <w:r>
        <w:rPr>
          <w:rFonts w:ascii="宋体" w:hAnsi="宋体" w:hint="eastAsia"/>
          <w:sz w:val="24"/>
        </w:rPr>
        <w:t>/</w:t>
      </w:r>
      <w:r>
        <w:rPr>
          <w:rFonts w:ascii="宋体" w:hAnsi="宋体"/>
          <w:sz w:val="24"/>
        </w:rPr>
        <w:t>变压器在线监测解决方案</w:t>
      </w:r>
      <w:r>
        <w:rPr>
          <w:rFonts w:ascii="宋体" w:hAnsi="宋体" w:hint="eastAsia"/>
          <w:sz w:val="24"/>
        </w:rPr>
        <w:t>/</w:t>
      </w:r>
      <w:r>
        <w:rPr>
          <w:rFonts w:ascii="宋体" w:hAnsi="宋体"/>
          <w:sz w:val="24"/>
        </w:rPr>
        <w:t>台区智能感知与自愈解决方案</w:t>
      </w:r>
      <w:r>
        <w:rPr>
          <w:rFonts w:ascii="宋体" w:hAnsi="宋体" w:hint="eastAsia"/>
          <w:sz w:val="24"/>
        </w:rPr>
        <w:t>/</w:t>
      </w:r>
      <w:proofErr w:type="gramStart"/>
      <w:r>
        <w:rPr>
          <w:rFonts w:ascii="宋体" w:hAnsi="宋体" w:hint="eastAsia"/>
          <w:sz w:val="24"/>
        </w:rPr>
        <w:t>配微</w:t>
      </w:r>
      <w:proofErr w:type="gramEnd"/>
      <w:r>
        <w:rPr>
          <w:rFonts w:ascii="宋体" w:hAnsi="宋体"/>
          <w:sz w:val="24"/>
        </w:rPr>
        <w:t>AI协同解决方案</w:t>
      </w:r>
      <w:r>
        <w:rPr>
          <w:rFonts w:ascii="宋体" w:hAnsi="宋体" w:hint="eastAsia"/>
          <w:sz w:val="24"/>
        </w:rPr>
        <w:t>/</w:t>
      </w:r>
      <w:r>
        <w:rPr>
          <w:rFonts w:ascii="宋体" w:hAnsi="宋体"/>
          <w:sz w:val="24"/>
        </w:rPr>
        <w:t>新型电力负荷调控解决方案</w:t>
      </w:r>
      <w:r>
        <w:rPr>
          <w:rFonts w:ascii="宋体" w:hAnsi="宋体" w:hint="eastAsia"/>
          <w:sz w:val="24"/>
        </w:rPr>
        <w:t>等五大解决方案，覆盖新型电力系统发输变配用五大环节，涵盖</w:t>
      </w:r>
      <w:r>
        <w:rPr>
          <w:rFonts w:ascii="宋体" w:hAnsi="宋体"/>
          <w:sz w:val="24"/>
        </w:rPr>
        <w:t>输电多物理量集成传感器</w:t>
      </w:r>
      <w:r>
        <w:rPr>
          <w:rFonts w:ascii="宋体" w:hAnsi="宋体" w:hint="eastAsia"/>
          <w:sz w:val="24"/>
        </w:rPr>
        <w:t>/</w:t>
      </w:r>
      <w:r>
        <w:rPr>
          <w:rFonts w:ascii="宋体" w:hAnsi="宋体"/>
          <w:sz w:val="24"/>
        </w:rPr>
        <w:t>图像视频</w:t>
      </w:r>
      <w:r>
        <w:rPr>
          <w:rFonts w:ascii="宋体" w:hAnsi="宋体" w:hint="eastAsia"/>
          <w:sz w:val="24"/>
        </w:rPr>
        <w:t>在线</w:t>
      </w:r>
      <w:r>
        <w:rPr>
          <w:rFonts w:ascii="宋体" w:hAnsi="宋体"/>
          <w:sz w:val="24"/>
        </w:rPr>
        <w:t>监测</w:t>
      </w:r>
      <w:r>
        <w:rPr>
          <w:rFonts w:ascii="宋体" w:hAnsi="宋体" w:hint="eastAsia"/>
          <w:sz w:val="24"/>
        </w:rPr>
        <w:t>装置/</w:t>
      </w:r>
      <w:r>
        <w:rPr>
          <w:rFonts w:ascii="宋体" w:hAnsi="宋体"/>
          <w:sz w:val="24"/>
        </w:rPr>
        <w:t>变压器多物理量在线监测</w:t>
      </w:r>
      <w:r>
        <w:rPr>
          <w:rFonts w:ascii="宋体" w:hAnsi="宋体" w:hint="eastAsia"/>
          <w:sz w:val="24"/>
        </w:rPr>
        <w:t>装置/台区AI终端/电能质量监测与治理装置/</w:t>
      </w:r>
      <w:proofErr w:type="gramStart"/>
      <w:r>
        <w:rPr>
          <w:rFonts w:ascii="宋体" w:hAnsi="宋体" w:hint="eastAsia"/>
          <w:sz w:val="24"/>
        </w:rPr>
        <w:t>光伏四可</w:t>
      </w:r>
      <w:proofErr w:type="gramEnd"/>
      <w:r>
        <w:rPr>
          <w:rFonts w:ascii="宋体" w:hAnsi="宋体" w:hint="eastAsia"/>
          <w:sz w:val="24"/>
        </w:rPr>
        <w:t>/柔性负荷调控器等十余种新产品。通过“存量改造+增量适配”双路径，“迭代升级+产品创新”双模式驱动创新发展。2026年上半年迭代升级和全新开发产品营业收入占比超67%；其中输变电在线监测与台区智能感知与自愈相关产品在2026年上半年增速显著，覆盖广东、云南、广西、贵州、冀北、天津、安徽、吉林、黑龙江、北京、河北、重庆、江西、浙江、湖南、宁夏、新疆、甘肃、青海、福建等地区。</w:t>
      </w:r>
    </w:p>
    <w:p w14:paraId="2284153C" w14:textId="77777777" w:rsidR="00B064C6" w:rsidRDefault="00B064C6" w:rsidP="00B064C6">
      <w:pPr>
        <w:spacing w:beforeLines="50" w:before="156" w:line="360" w:lineRule="auto"/>
        <w:ind w:firstLine="420"/>
        <w:rPr>
          <w:rFonts w:ascii="宋体" w:hAnsi="宋体"/>
          <w:sz w:val="24"/>
        </w:rPr>
      </w:pPr>
      <w:r>
        <w:rPr>
          <w:rFonts w:ascii="宋体" w:hAnsi="宋体" w:hint="eastAsia"/>
          <w:sz w:val="24"/>
        </w:rPr>
        <w:t>我们致力于通过，以</w:t>
      </w:r>
      <w:r>
        <w:rPr>
          <w:rFonts w:ascii="宋体" w:hAnsi="宋体"/>
          <w:sz w:val="24"/>
        </w:rPr>
        <w:t>“物联网+芯片+人工智能”深度融合</w:t>
      </w:r>
      <w:r>
        <w:rPr>
          <w:rFonts w:ascii="宋体" w:hAnsi="宋体" w:hint="eastAsia"/>
          <w:sz w:val="24"/>
        </w:rPr>
        <w:t>为</w:t>
      </w:r>
      <w:r>
        <w:rPr>
          <w:rFonts w:ascii="宋体" w:hAnsi="宋体"/>
          <w:sz w:val="24"/>
        </w:rPr>
        <w:t>核心竞争力，</w:t>
      </w:r>
      <w:r>
        <w:rPr>
          <w:rFonts w:ascii="宋体" w:hAnsi="宋体" w:hint="eastAsia"/>
          <w:sz w:val="24"/>
        </w:rPr>
        <w:t>通过</w:t>
      </w:r>
      <w:r>
        <w:rPr>
          <w:rFonts w:ascii="宋体" w:hAnsi="宋体"/>
          <w:sz w:val="24"/>
        </w:rPr>
        <w:t>“通感算</w:t>
      </w:r>
      <w:r>
        <w:rPr>
          <w:rFonts w:ascii="宋体" w:hAnsi="宋体" w:hint="eastAsia"/>
          <w:sz w:val="24"/>
        </w:rPr>
        <w:t>SOC</w:t>
      </w:r>
      <w:r>
        <w:rPr>
          <w:rFonts w:ascii="宋体" w:hAnsi="宋体"/>
          <w:sz w:val="24"/>
        </w:rPr>
        <w:t>”技术底座，深度</w:t>
      </w:r>
      <w:proofErr w:type="gramStart"/>
      <w:r>
        <w:rPr>
          <w:rFonts w:ascii="宋体" w:hAnsi="宋体" w:hint="eastAsia"/>
          <w:sz w:val="24"/>
        </w:rPr>
        <w:t>链接新型</w:t>
      </w:r>
      <w:proofErr w:type="gramEnd"/>
      <w:r>
        <w:rPr>
          <w:rFonts w:ascii="宋体" w:hAnsi="宋体" w:hint="eastAsia"/>
          <w:sz w:val="24"/>
        </w:rPr>
        <w:t>电力系统</w:t>
      </w:r>
      <w:r>
        <w:rPr>
          <w:rFonts w:ascii="宋体" w:hAnsi="宋体"/>
          <w:sz w:val="24"/>
        </w:rPr>
        <w:t>生态</w:t>
      </w:r>
      <w:r>
        <w:rPr>
          <w:rFonts w:ascii="宋体" w:hAnsi="宋体" w:hint="eastAsia"/>
          <w:sz w:val="24"/>
        </w:rPr>
        <w:t>链</w:t>
      </w:r>
      <w:r>
        <w:rPr>
          <w:rFonts w:ascii="宋体" w:hAnsi="宋体"/>
          <w:sz w:val="24"/>
        </w:rPr>
        <w:t>，驱动业务实现可持续增长</w:t>
      </w:r>
      <w:r>
        <w:rPr>
          <w:rFonts w:ascii="宋体" w:hAnsi="宋体" w:hint="eastAsia"/>
          <w:sz w:val="24"/>
        </w:rPr>
        <w:t>，成为电网数字化革命的“芯”力量。</w:t>
      </w:r>
    </w:p>
    <w:p w14:paraId="402F5A4A" w14:textId="77777777" w:rsidR="00B064C6" w:rsidRDefault="00B064C6" w:rsidP="00B064C6">
      <w:pPr>
        <w:spacing w:line="420" w:lineRule="exact"/>
        <w:rPr>
          <w:rFonts w:ascii="宋体" w:hAnsi="宋体"/>
          <w:b/>
          <w:sz w:val="24"/>
        </w:rPr>
      </w:pPr>
    </w:p>
    <w:p w14:paraId="73A7AB43" w14:textId="35D35C2B" w:rsidR="00B064C6" w:rsidRDefault="000F12EE" w:rsidP="00B064C6">
      <w:pPr>
        <w:spacing w:line="420" w:lineRule="exact"/>
        <w:ind w:left="-11"/>
        <w:rPr>
          <w:rFonts w:ascii="宋体" w:hAnsi="宋体"/>
          <w:bCs/>
          <w:sz w:val="24"/>
        </w:rPr>
      </w:pPr>
      <w:r>
        <w:rPr>
          <w:rFonts w:ascii="宋体" w:hAnsi="宋体" w:hint="eastAsia"/>
          <w:b/>
          <w:sz w:val="24"/>
        </w:rPr>
        <w:t>四</w:t>
      </w:r>
      <w:r w:rsidR="00B064C6">
        <w:rPr>
          <w:rFonts w:ascii="宋体" w:hAnsi="宋体" w:hint="eastAsia"/>
          <w:b/>
          <w:sz w:val="24"/>
        </w:rPr>
        <w:t>、投资者问答</w:t>
      </w:r>
      <w:r w:rsidR="00B064C6">
        <w:rPr>
          <w:rFonts w:ascii="宋体" w:hAnsi="宋体"/>
          <w:bCs/>
          <w:sz w:val="24"/>
        </w:rPr>
        <w:t xml:space="preserve"> </w:t>
      </w:r>
    </w:p>
    <w:p w14:paraId="02621624" w14:textId="77777777" w:rsidR="00B064C6" w:rsidRDefault="00B064C6" w:rsidP="00B064C6">
      <w:pPr>
        <w:spacing w:line="420" w:lineRule="exact"/>
        <w:ind w:left="-11" w:firstLineChars="200" w:firstLine="482"/>
        <w:rPr>
          <w:rFonts w:ascii="宋体" w:hAnsi="宋体"/>
          <w:b/>
          <w:bCs/>
          <w:sz w:val="24"/>
        </w:rPr>
      </w:pPr>
      <w:r>
        <w:rPr>
          <w:rFonts w:ascii="宋体" w:hAnsi="宋体"/>
          <w:b/>
          <w:bCs/>
          <w:sz w:val="24"/>
        </w:rPr>
        <w:t>Q：如何看待当前行业环境与公司所处的发展阶段？</w:t>
      </w:r>
    </w:p>
    <w:p w14:paraId="07F80CAB" w14:textId="77777777" w:rsidR="00B064C6" w:rsidRDefault="00B064C6" w:rsidP="00B064C6">
      <w:pPr>
        <w:spacing w:line="420" w:lineRule="exact"/>
        <w:ind w:left="-11" w:firstLineChars="200" w:firstLine="480"/>
        <w:rPr>
          <w:rFonts w:ascii="宋体" w:hAnsi="宋体"/>
          <w:bCs/>
          <w:sz w:val="24"/>
        </w:rPr>
      </w:pPr>
      <w:r>
        <w:rPr>
          <w:rFonts w:ascii="宋体" w:hAnsi="宋体" w:hint="eastAsia"/>
          <w:bCs/>
          <w:sz w:val="24"/>
        </w:rPr>
        <w:t>A:“双碳”目标</w:t>
      </w:r>
      <w:r>
        <w:rPr>
          <w:rFonts w:ascii="宋体" w:hAnsi="宋体"/>
          <w:bCs/>
          <w:sz w:val="24"/>
        </w:rPr>
        <w:t>推动下，新能源高比例接入使传统电力系统从</w:t>
      </w:r>
      <w:r>
        <w:rPr>
          <w:rFonts w:ascii="宋体" w:hAnsi="宋体" w:hint="eastAsia"/>
          <w:bCs/>
          <w:sz w:val="24"/>
        </w:rPr>
        <w:t>“单向输电”</w:t>
      </w:r>
      <w:r>
        <w:rPr>
          <w:rFonts w:ascii="宋体" w:hAnsi="宋体"/>
          <w:bCs/>
          <w:sz w:val="24"/>
        </w:rPr>
        <w:t>转向</w:t>
      </w:r>
      <w:r>
        <w:rPr>
          <w:rFonts w:ascii="宋体" w:hAnsi="宋体" w:hint="eastAsia"/>
          <w:bCs/>
          <w:sz w:val="24"/>
        </w:rPr>
        <w:t>“双向互动”</w:t>
      </w:r>
      <w:r>
        <w:rPr>
          <w:rFonts w:ascii="宋体" w:hAnsi="宋体"/>
          <w:bCs/>
          <w:sz w:val="24"/>
        </w:rPr>
        <w:t>，电网由稳定的</w:t>
      </w:r>
      <w:r>
        <w:rPr>
          <w:rFonts w:ascii="宋体" w:hAnsi="宋体" w:hint="eastAsia"/>
          <w:bCs/>
          <w:sz w:val="24"/>
        </w:rPr>
        <w:t>“单行道”</w:t>
      </w:r>
      <w:r>
        <w:rPr>
          <w:rFonts w:ascii="宋体" w:hAnsi="宋体"/>
          <w:bCs/>
          <w:sz w:val="24"/>
        </w:rPr>
        <w:t>变为动态的</w:t>
      </w:r>
      <w:r>
        <w:rPr>
          <w:rFonts w:ascii="宋体" w:hAnsi="宋体" w:hint="eastAsia"/>
          <w:bCs/>
          <w:sz w:val="24"/>
        </w:rPr>
        <w:t>“立交桥”</w:t>
      </w:r>
      <w:r>
        <w:rPr>
          <w:rFonts w:ascii="宋体" w:hAnsi="宋体"/>
          <w:bCs/>
          <w:sz w:val="24"/>
        </w:rPr>
        <w:t>，亟需构建</w:t>
      </w:r>
      <w:r>
        <w:rPr>
          <w:rFonts w:ascii="宋体" w:hAnsi="宋体" w:hint="eastAsia"/>
          <w:bCs/>
          <w:sz w:val="24"/>
        </w:rPr>
        <w:t>“可观、可测、可调、可控”</w:t>
      </w:r>
      <w:r>
        <w:rPr>
          <w:rFonts w:ascii="宋体" w:hAnsi="宋体"/>
          <w:bCs/>
          <w:sz w:val="24"/>
        </w:rPr>
        <w:t>的数字电网。这一转变驱动行业投资重心从传统用电信息采集（AMI）向更广阔的配网数字化、</w:t>
      </w:r>
      <w:proofErr w:type="gramStart"/>
      <w:r>
        <w:rPr>
          <w:rFonts w:ascii="宋体" w:hAnsi="宋体"/>
          <w:bCs/>
          <w:sz w:val="24"/>
        </w:rPr>
        <w:t>数智电网</w:t>
      </w:r>
      <w:proofErr w:type="gramEnd"/>
      <w:r>
        <w:rPr>
          <w:rFonts w:ascii="宋体" w:hAnsi="宋体"/>
          <w:bCs/>
          <w:sz w:val="24"/>
        </w:rPr>
        <w:t>迁移。</w:t>
      </w:r>
    </w:p>
    <w:p w14:paraId="520AA855" w14:textId="77777777" w:rsidR="00B064C6" w:rsidRDefault="00B064C6" w:rsidP="00B064C6">
      <w:pPr>
        <w:spacing w:line="420" w:lineRule="exact"/>
        <w:ind w:left="-11" w:firstLineChars="200" w:firstLine="480"/>
        <w:rPr>
          <w:rFonts w:ascii="宋体" w:hAnsi="宋体"/>
          <w:bCs/>
          <w:sz w:val="24"/>
        </w:rPr>
      </w:pPr>
      <w:r>
        <w:rPr>
          <w:rFonts w:ascii="宋体" w:hAnsi="宋体"/>
          <w:bCs/>
          <w:sz w:val="24"/>
        </w:rPr>
        <w:t>国家</w:t>
      </w:r>
      <w:r>
        <w:rPr>
          <w:rFonts w:ascii="宋体" w:hAnsi="宋体" w:hint="eastAsia"/>
          <w:bCs/>
          <w:sz w:val="24"/>
        </w:rPr>
        <w:t>“十五五”规划</w:t>
      </w:r>
      <w:r>
        <w:rPr>
          <w:rFonts w:ascii="宋体" w:hAnsi="宋体"/>
          <w:bCs/>
          <w:sz w:val="24"/>
        </w:rPr>
        <w:t>新型电力系统总投资超12</w:t>
      </w:r>
      <w:proofErr w:type="gramStart"/>
      <w:r>
        <w:rPr>
          <w:rFonts w:ascii="宋体" w:hAnsi="宋体"/>
          <w:bCs/>
          <w:sz w:val="24"/>
        </w:rPr>
        <w:t>万亿</w:t>
      </w:r>
      <w:proofErr w:type="gramEnd"/>
      <w:r>
        <w:rPr>
          <w:rFonts w:ascii="宋体" w:hAnsi="宋体"/>
          <w:bCs/>
          <w:sz w:val="24"/>
        </w:rPr>
        <w:t>元，其中国网、</w:t>
      </w:r>
      <w:proofErr w:type="gramStart"/>
      <w:r>
        <w:rPr>
          <w:rFonts w:ascii="宋体" w:hAnsi="宋体"/>
          <w:bCs/>
          <w:sz w:val="24"/>
        </w:rPr>
        <w:t>南网总</w:t>
      </w:r>
      <w:proofErr w:type="gramEnd"/>
      <w:r>
        <w:rPr>
          <w:rFonts w:ascii="宋体" w:hAnsi="宋体"/>
          <w:bCs/>
          <w:sz w:val="24"/>
        </w:rPr>
        <w:lastRenderedPageBreak/>
        <w:t>投资</w:t>
      </w:r>
      <w:r>
        <w:rPr>
          <w:rFonts w:ascii="宋体" w:hAnsi="宋体" w:hint="eastAsia"/>
          <w:bCs/>
          <w:sz w:val="24"/>
        </w:rPr>
        <w:t>约</w:t>
      </w:r>
      <w:r>
        <w:rPr>
          <w:rFonts w:ascii="宋体" w:hAnsi="宋体"/>
          <w:bCs/>
          <w:sz w:val="24"/>
        </w:rPr>
        <w:t>5</w:t>
      </w:r>
      <w:proofErr w:type="gramStart"/>
      <w:r>
        <w:rPr>
          <w:rFonts w:ascii="宋体" w:hAnsi="宋体"/>
          <w:bCs/>
          <w:sz w:val="24"/>
        </w:rPr>
        <w:t>万亿</w:t>
      </w:r>
      <w:proofErr w:type="gramEnd"/>
      <w:r>
        <w:rPr>
          <w:rFonts w:ascii="宋体" w:hAnsi="宋体"/>
          <w:bCs/>
          <w:sz w:val="24"/>
        </w:rPr>
        <w:t>元，</w:t>
      </w:r>
      <w:proofErr w:type="gramStart"/>
      <w:r>
        <w:rPr>
          <w:rFonts w:ascii="宋体" w:hAnsi="宋体" w:hint="eastAsia"/>
          <w:bCs/>
          <w:sz w:val="24"/>
        </w:rPr>
        <w:t>国网对</w:t>
      </w:r>
      <w:proofErr w:type="gramEnd"/>
      <w:r>
        <w:rPr>
          <w:rFonts w:ascii="宋体" w:hAnsi="宋体"/>
          <w:bCs/>
          <w:sz w:val="24"/>
        </w:rPr>
        <w:t>配网投资</w:t>
      </w:r>
      <w:r>
        <w:rPr>
          <w:rFonts w:ascii="宋体" w:hAnsi="宋体" w:hint="eastAsia"/>
          <w:bCs/>
          <w:sz w:val="24"/>
        </w:rPr>
        <w:t>1.6</w:t>
      </w:r>
      <w:proofErr w:type="gramStart"/>
      <w:r>
        <w:rPr>
          <w:rFonts w:ascii="宋体" w:hAnsi="宋体" w:hint="eastAsia"/>
          <w:bCs/>
          <w:sz w:val="24"/>
        </w:rPr>
        <w:t>万亿</w:t>
      </w:r>
      <w:proofErr w:type="gramEnd"/>
      <w:r>
        <w:rPr>
          <w:rFonts w:ascii="宋体" w:hAnsi="宋体" w:hint="eastAsia"/>
          <w:bCs/>
          <w:sz w:val="24"/>
        </w:rPr>
        <w:t>—1.8</w:t>
      </w:r>
      <w:proofErr w:type="gramStart"/>
      <w:r>
        <w:rPr>
          <w:rFonts w:ascii="宋体" w:hAnsi="宋体" w:hint="eastAsia"/>
          <w:bCs/>
          <w:sz w:val="24"/>
        </w:rPr>
        <w:t>万亿</w:t>
      </w:r>
      <w:proofErr w:type="gramEnd"/>
      <w:r>
        <w:rPr>
          <w:rFonts w:ascii="宋体" w:hAnsi="宋体"/>
          <w:bCs/>
          <w:sz w:val="24"/>
        </w:rPr>
        <w:t>元，</w:t>
      </w:r>
      <w:proofErr w:type="gramStart"/>
      <w:r>
        <w:rPr>
          <w:rFonts w:ascii="宋体" w:hAnsi="宋体"/>
          <w:bCs/>
          <w:sz w:val="24"/>
        </w:rPr>
        <w:t>数智化投资</w:t>
      </w:r>
      <w:proofErr w:type="gramEnd"/>
      <w:r>
        <w:rPr>
          <w:rFonts w:ascii="宋体" w:hAnsi="宋体" w:hint="eastAsia"/>
          <w:bCs/>
          <w:sz w:val="24"/>
        </w:rPr>
        <w:t>0.6</w:t>
      </w:r>
      <w:proofErr w:type="gramStart"/>
      <w:r>
        <w:rPr>
          <w:rFonts w:ascii="宋体" w:hAnsi="宋体" w:hint="eastAsia"/>
          <w:bCs/>
          <w:sz w:val="24"/>
        </w:rPr>
        <w:t>万亿</w:t>
      </w:r>
      <w:proofErr w:type="gramEnd"/>
      <w:r>
        <w:rPr>
          <w:rFonts w:ascii="宋体" w:hAnsi="宋体" w:hint="eastAsia"/>
          <w:bCs/>
          <w:sz w:val="24"/>
        </w:rPr>
        <w:t>—0.8</w:t>
      </w:r>
      <w:proofErr w:type="gramStart"/>
      <w:r>
        <w:rPr>
          <w:rFonts w:ascii="宋体" w:hAnsi="宋体" w:hint="eastAsia"/>
          <w:bCs/>
          <w:sz w:val="24"/>
        </w:rPr>
        <w:t>万亿</w:t>
      </w:r>
      <w:proofErr w:type="gramEnd"/>
      <w:r>
        <w:rPr>
          <w:rFonts w:ascii="宋体" w:hAnsi="宋体"/>
          <w:bCs/>
          <w:sz w:val="24"/>
        </w:rPr>
        <w:t>元，</w:t>
      </w:r>
      <w:r>
        <w:rPr>
          <w:rFonts w:ascii="宋体" w:hAnsi="宋体"/>
          <w:sz w:val="24"/>
        </w:rPr>
        <w:t>配网数字化升级是本轮电网投资的核心增量方向</w:t>
      </w:r>
      <w:r>
        <w:rPr>
          <w:rFonts w:ascii="宋体" w:hAnsi="宋体" w:hint="eastAsia"/>
          <w:sz w:val="24"/>
        </w:rPr>
        <w:t>，</w:t>
      </w:r>
      <w:r>
        <w:rPr>
          <w:rFonts w:ascii="宋体" w:hAnsi="宋体"/>
          <w:bCs/>
          <w:sz w:val="24"/>
        </w:rPr>
        <w:t>短期招标节奏波动不改变长期成长逻辑。威</w:t>
      </w:r>
      <w:proofErr w:type="gramStart"/>
      <w:r>
        <w:rPr>
          <w:rFonts w:ascii="宋体" w:hAnsi="宋体"/>
          <w:bCs/>
          <w:sz w:val="24"/>
        </w:rPr>
        <w:t>胜信息</w:t>
      </w:r>
      <w:proofErr w:type="gramEnd"/>
      <w:r>
        <w:rPr>
          <w:rFonts w:ascii="宋体" w:hAnsi="宋体"/>
          <w:bCs/>
          <w:sz w:val="24"/>
        </w:rPr>
        <w:t>的主战场正从相对成熟的"电力 AMI"向更广阔、更复杂的"</w:t>
      </w:r>
      <w:proofErr w:type="gramStart"/>
      <w:r>
        <w:rPr>
          <w:rFonts w:ascii="宋体" w:hAnsi="宋体"/>
          <w:bCs/>
          <w:sz w:val="24"/>
        </w:rPr>
        <w:t>数智电网</w:t>
      </w:r>
      <w:proofErr w:type="gramEnd"/>
      <w:r>
        <w:rPr>
          <w:rFonts w:ascii="宋体" w:hAnsi="宋体"/>
          <w:bCs/>
          <w:sz w:val="24"/>
        </w:rPr>
        <w:t>"加速转移。在"</w:t>
      </w:r>
      <w:proofErr w:type="gramStart"/>
      <w:r>
        <w:rPr>
          <w:rFonts w:ascii="宋体" w:hAnsi="宋体"/>
          <w:bCs/>
          <w:sz w:val="24"/>
        </w:rPr>
        <w:t>数智电网</w:t>
      </w:r>
      <w:proofErr w:type="gramEnd"/>
      <w:r>
        <w:rPr>
          <w:rFonts w:ascii="宋体" w:hAnsi="宋体"/>
          <w:bCs/>
          <w:sz w:val="24"/>
        </w:rPr>
        <w:t>"中，主角变成海量的"非法制计量设备"，如智能开关、在线监测装置、光伏并网断路器/台区电能质量治理装置等，核心任务是状态监测和智能控制。传统"通信芯、感知芯、计算芯"三颗芯片分离方案面临体积、功耗和成本瓶颈，</w:t>
      </w:r>
      <w:proofErr w:type="spellStart"/>
      <w:r>
        <w:rPr>
          <w:rFonts w:ascii="宋体" w:hAnsi="宋体"/>
          <w:bCs/>
          <w:sz w:val="24"/>
        </w:rPr>
        <w:t>SoC</w:t>
      </w:r>
      <w:proofErr w:type="spellEnd"/>
      <w:r>
        <w:rPr>
          <w:rFonts w:ascii="宋体" w:hAnsi="宋体"/>
          <w:bCs/>
          <w:sz w:val="24"/>
        </w:rPr>
        <w:t>级别的"通感算三芯合一"不再是选择题，而是必答题。我们预估未来国内国际配电网将有数十亿个节点需要互联互通</w:t>
      </w:r>
      <w:r>
        <w:rPr>
          <w:rFonts w:ascii="宋体" w:hAnsi="宋体" w:hint="eastAsia"/>
          <w:bCs/>
          <w:sz w:val="24"/>
        </w:rPr>
        <w:t>。</w:t>
      </w:r>
    </w:p>
    <w:p w14:paraId="7DE895CA" w14:textId="77777777" w:rsidR="00B064C6" w:rsidRDefault="00B064C6" w:rsidP="00B064C6">
      <w:pPr>
        <w:spacing w:line="420" w:lineRule="exact"/>
        <w:ind w:left="-11" w:firstLineChars="200" w:firstLine="480"/>
        <w:rPr>
          <w:rFonts w:ascii="宋体" w:hAnsi="宋体"/>
          <w:bCs/>
          <w:sz w:val="24"/>
        </w:rPr>
      </w:pPr>
      <w:r>
        <w:rPr>
          <w:rFonts w:ascii="宋体" w:hAnsi="宋体" w:hint="eastAsia"/>
          <w:bCs/>
          <w:sz w:val="24"/>
        </w:rPr>
        <w:t>同时</w:t>
      </w:r>
      <w:proofErr w:type="gramStart"/>
      <w:r>
        <w:rPr>
          <w:rFonts w:ascii="宋体" w:hAnsi="宋体"/>
          <w:bCs/>
          <w:sz w:val="24"/>
        </w:rPr>
        <w:t>近期国网发布</w:t>
      </w:r>
      <w:proofErr w:type="gramEnd"/>
      <w:r>
        <w:rPr>
          <w:rFonts w:ascii="宋体" w:hAnsi="宋体"/>
          <w:bCs/>
          <w:sz w:val="24"/>
        </w:rPr>
        <w:t xml:space="preserve"> 2026 年营销项目第二次智能融合终端专项招标，该产品作为</w:t>
      </w:r>
      <w:proofErr w:type="gramStart"/>
      <w:r>
        <w:rPr>
          <w:rFonts w:ascii="宋体" w:hAnsi="宋体"/>
          <w:bCs/>
          <w:sz w:val="24"/>
        </w:rPr>
        <w:t>配网数智化</w:t>
      </w:r>
      <w:proofErr w:type="gramEnd"/>
      <w:r>
        <w:rPr>
          <w:rFonts w:ascii="宋体" w:hAnsi="宋体"/>
          <w:bCs/>
          <w:sz w:val="24"/>
        </w:rPr>
        <w:t xml:space="preserve">、台区自治的核心硬件，本次独立批次共 52 包，新增 2 </w:t>
      </w:r>
      <w:proofErr w:type="gramStart"/>
      <w:r>
        <w:rPr>
          <w:rFonts w:ascii="宋体" w:hAnsi="宋体"/>
          <w:bCs/>
          <w:sz w:val="24"/>
        </w:rPr>
        <w:t>个</w:t>
      </w:r>
      <w:proofErr w:type="gramEnd"/>
      <w:r>
        <w:rPr>
          <w:rFonts w:ascii="宋体" w:hAnsi="宋体"/>
          <w:bCs/>
          <w:sz w:val="24"/>
        </w:rPr>
        <w:t>中标名额，各</w:t>
      </w:r>
      <w:proofErr w:type="gramStart"/>
      <w:r>
        <w:rPr>
          <w:rFonts w:ascii="宋体" w:hAnsi="宋体"/>
          <w:bCs/>
          <w:sz w:val="24"/>
        </w:rPr>
        <w:t>标包需求</w:t>
      </w:r>
      <w:proofErr w:type="gramEnd"/>
      <w:r>
        <w:rPr>
          <w:rFonts w:ascii="宋体" w:hAnsi="宋体"/>
          <w:bCs/>
          <w:sz w:val="24"/>
        </w:rPr>
        <w:t>规模较 2026 年第一批普遍翻倍，进一步印证配网数字化投资正在加速落地。</w:t>
      </w:r>
    </w:p>
    <w:p w14:paraId="5EC75DE4" w14:textId="77777777" w:rsidR="00B064C6" w:rsidRDefault="00B064C6" w:rsidP="00B064C6">
      <w:pPr>
        <w:spacing w:line="420" w:lineRule="exact"/>
        <w:rPr>
          <w:rFonts w:ascii="宋体" w:hAnsi="宋体"/>
          <w:bCs/>
          <w:sz w:val="24"/>
        </w:rPr>
      </w:pPr>
    </w:p>
    <w:p w14:paraId="2169E93E" w14:textId="77777777" w:rsidR="00B064C6" w:rsidRDefault="00B064C6" w:rsidP="00B064C6">
      <w:pPr>
        <w:spacing w:line="420" w:lineRule="exact"/>
        <w:ind w:left="-11" w:firstLineChars="200" w:firstLine="482"/>
        <w:rPr>
          <w:rFonts w:ascii="宋体" w:hAnsi="宋体"/>
          <w:b/>
          <w:bCs/>
          <w:sz w:val="24"/>
        </w:rPr>
      </w:pPr>
      <w:r>
        <w:rPr>
          <w:rFonts w:ascii="宋体" w:hAnsi="宋体"/>
          <w:b/>
          <w:bCs/>
          <w:sz w:val="24"/>
        </w:rPr>
        <w:t>Q：公司自</w:t>
      </w:r>
      <w:proofErr w:type="gramStart"/>
      <w:r>
        <w:rPr>
          <w:rFonts w:ascii="宋体" w:hAnsi="宋体"/>
          <w:b/>
          <w:bCs/>
          <w:sz w:val="24"/>
        </w:rPr>
        <w:t>研</w:t>
      </w:r>
      <w:proofErr w:type="gramEnd"/>
      <w:r>
        <w:rPr>
          <w:rFonts w:ascii="宋体" w:hAnsi="宋体"/>
          <w:b/>
          <w:bCs/>
          <w:sz w:val="24"/>
        </w:rPr>
        <w:t>芯片进展如何？对未来盈利能力有何影响？</w:t>
      </w:r>
    </w:p>
    <w:p w14:paraId="7725BB33" w14:textId="77777777" w:rsidR="00B064C6" w:rsidRDefault="00B064C6" w:rsidP="00B064C6">
      <w:pPr>
        <w:spacing w:line="420" w:lineRule="exact"/>
        <w:ind w:left="-11" w:firstLineChars="200" w:firstLine="480"/>
        <w:rPr>
          <w:rFonts w:ascii="宋体" w:hAnsi="宋体"/>
          <w:bCs/>
          <w:sz w:val="24"/>
        </w:rPr>
      </w:pPr>
      <w:r>
        <w:rPr>
          <w:rFonts w:ascii="宋体" w:hAnsi="宋体" w:hint="eastAsia"/>
          <w:bCs/>
          <w:sz w:val="24"/>
        </w:rPr>
        <w:t>A:</w:t>
      </w:r>
      <w:r>
        <w:rPr>
          <w:rFonts w:ascii="宋体" w:hAnsi="宋体"/>
          <w:bCs/>
          <w:sz w:val="24"/>
        </w:rPr>
        <w:t>公司芯片迭代路线清晰，技术积累深厚：从HPLC、双模、Wi-SUN</w:t>
      </w:r>
      <w:proofErr w:type="gramStart"/>
      <w:r>
        <w:rPr>
          <w:rFonts w:ascii="宋体" w:hAnsi="宋体"/>
          <w:bCs/>
          <w:sz w:val="24"/>
        </w:rPr>
        <w:t>到三模通信</w:t>
      </w:r>
      <w:proofErr w:type="gramEnd"/>
      <w:r>
        <w:rPr>
          <w:rFonts w:ascii="宋体" w:hAnsi="宋体"/>
          <w:bCs/>
          <w:sz w:val="24"/>
        </w:rPr>
        <w:t>芯片，累计出货已超3000万片。2025年成功研制高精度感知芯片，通感融合芯片已流片成功并进入小批量试点推广。</w:t>
      </w:r>
    </w:p>
    <w:p w14:paraId="7D8B7EE5" w14:textId="77777777" w:rsidR="00B064C6" w:rsidRDefault="00B064C6" w:rsidP="00B064C6">
      <w:pPr>
        <w:spacing w:line="420" w:lineRule="exact"/>
        <w:ind w:left="-11" w:firstLineChars="200" w:firstLine="480"/>
        <w:rPr>
          <w:rFonts w:ascii="宋体" w:hAnsi="宋体"/>
          <w:bCs/>
          <w:sz w:val="24"/>
        </w:rPr>
      </w:pPr>
      <w:r>
        <w:rPr>
          <w:rFonts w:ascii="宋体" w:hAnsi="宋体"/>
          <w:bCs/>
          <w:sz w:val="24"/>
        </w:rPr>
        <w:t>公司</w:t>
      </w:r>
      <w:r>
        <w:rPr>
          <w:rFonts w:ascii="宋体" w:hAnsi="宋体" w:hint="eastAsia"/>
          <w:bCs/>
          <w:sz w:val="24"/>
        </w:rPr>
        <w:t>下一步</w:t>
      </w:r>
      <w:r>
        <w:rPr>
          <w:rFonts w:ascii="宋体" w:hAnsi="宋体"/>
          <w:bCs/>
          <w:sz w:val="24"/>
        </w:rPr>
        <w:t>目标</w:t>
      </w:r>
      <w:r>
        <w:rPr>
          <w:rFonts w:ascii="宋体" w:hAnsi="宋体" w:hint="eastAsia"/>
          <w:bCs/>
          <w:sz w:val="24"/>
        </w:rPr>
        <w:t>将</w:t>
      </w:r>
      <w:r>
        <w:rPr>
          <w:rFonts w:ascii="宋体" w:hAnsi="宋体"/>
          <w:bCs/>
          <w:sz w:val="24"/>
        </w:rPr>
        <w:t>推出</w:t>
      </w:r>
      <w:r>
        <w:rPr>
          <w:rFonts w:ascii="宋体" w:hAnsi="宋体"/>
          <w:sz w:val="24"/>
        </w:rPr>
        <w:t>通感算融合SOC芯片，</w:t>
      </w:r>
      <w:r>
        <w:rPr>
          <w:rFonts w:ascii="宋体" w:hAnsi="宋体"/>
          <w:bCs/>
          <w:sz w:val="24"/>
        </w:rPr>
        <w:t>集成新一代通信、多维感知和边缘AI计算单元，支持边缘AI决策，覆盖输变电智能监测、光伏并网、台区治理等高端场景，真正实现设备的</w:t>
      </w:r>
      <w:r>
        <w:rPr>
          <w:rFonts w:ascii="宋体" w:hAnsi="宋体" w:hint="eastAsia"/>
          <w:bCs/>
          <w:sz w:val="24"/>
        </w:rPr>
        <w:t>“端侧AI智能”</w:t>
      </w:r>
      <w:r>
        <w:rPr>
          <w:rFonts w:ascii="宋体" w:hAnsi="宋体"/>
          <w:bCs/>
          <w:sz w:val="24"/>
        </w:rPr>
        <w:t>。</w:t>
      </w:r>
    </w:p>
    <w:p w14:paraId="6B9022A1" w14:textId="77777777" w:rsidR="00B064C6" w:rsidRDefault="00B064C6" w:rsidP="00B064C6">
      <w:pPr>
        <w:spacing w:line="420" w:lineRule="exact"/>
        <w:ind w:left="-11" w:firstLineChars="200" w:firstLine="480"/>
        <w:rPr>
          <w:rFonts w:ascii="宋体" w:hAnsi="宋体"/>
          <w:bCs/>
          <w:sz w:val="24"/>
        </w:rPr>
      </w:pPr>
      <w:r>
        <w:rPr>
          <w:rFonts w:ascii="宋体" w:hAnsi="宋体"/>
          <w:bCs/>
          <w:sz w:val="24"/>
        </w:rPr>
        <w:t>新一代芯片在通信速度、采集频次、实时时延等方面均有显著提升，</w:t>
      </w:r>
      <w:proofErr w:type="gramStart"/>
      <w:r>
        <w:rPr>
          <w:rFonts w:ascii="宋体" w:hAnsi="宋体"/>
          <w:bCs/>
          <w:sz w:val="24"/>
        </w:rPr>
        <w:t>下半年南网招标</w:t>
      </w:r>
      <w:proofErr w:type="gramEnd"/>
      <w:r>
        <w:rPr>
          <w:rFonts w:ascii="宋体" w:hAnsi="宋体"/>
          <w:bCs/>
          <w:sz w:val="24"/>
        </w:rPr>
        <w:t>将有部分导入，2027年招标比重逐步提升，电能表、终端产品将逐步切换。</w:t>
      </w:r>
    </w:p>
    <w:p w14:paraId="138D7C0B" w14:textId="77777777" w:rsidR="00B064C6" w:rsidRDefault="00B064C6" w:rsidP="00B064C6">
      <w:pPr>
        <w:spacing w:line="420" w:lineRule="exact"/>
        <w:ind w:left="-11" w:firstLineChars="200" w:firstLine="482"/>
        <w:rPr>
          <w:rFonts w:ascii="宋体" w:hAnsi="宋体"/>
          <w:b/>
          <w:bCs/>
          <w:sz w:val="24"/>
        </w:rPr>
      </w:pPr>
    </w:p>
    <w:p w14:paraId="35DC67B8" w14:textId="77777777" w:rsidR="00B064C6" w:rsidRDefault="00B064C6" w:rsidP="00B064C6">
      <w:pPr>
        <w:spacing w:line="420" w:lineRule="exact"/>
        <w:ind w:left="-11" w:firstLineChars="200" w:firstLine="482"/>
        <w:rPr>
          <w:rFonts w:ascii="宋体" w:hAnsi="宋体"/>
          <w:bCs/>
          <w:sz w:val="24"/>
        </w:rPr>
      </w:pPr>
      <w:r>
        <w:rPr>
          <w:rFonts w:ascii="宋体" w:hAnsi="宋体" w:hint="eastAsia"/>
          <w:b/>
          <w:bCs/>
          <w:sz w:val="24"/>
        </w:rPr>
        <w:t>Q:</w:t>
      </w:r>
      <w:proofErr w:type="gramStart"/>
      <w:r>
        <w:rPr>
          <w:rFonts w:ascii="宋体" w:hAnsi="宋体"/>
          <w:b/>
          <w:bCs/>
          <w:sz w:val="24"/>
        </w:rPr>
        <w:t>南网/国网</w:t>
      </w:r>
      <w:proofErr w:type="gramEnd"/>
      <w:r>
        <w:rPr>
          <w:rFonts w:ascii="宋体" w:hAnsi="宋体"/>
          <w:b/>
          <w:bCs/>
          <w:sz w:val="24"/>
        </w:rPr>
        <w:t>新一代载波全面切换的进程如何？公司相关产品研发、送检、试点进度怎样？</w:t>
      </w:r>
    </w:p>
    <w:p w14:paraId="6383E0BF" w14:textId="77777777" w:rsidR="00B064C6" w:rsidRDefault="00B064C6" w:rsidP="00B064C6">
      <w:pPr>
        <w:spacing w:line="420" w:lineRule="exact"/>
        <w:ind w:left="-11" w:firstLineChars="200" w:firstLine="480"/>
        <w:rPr>
          <w:rFonts w:ascii="宋体" w:hAnsi="宋体"/>
          <w:bCs/>
          <w:sz w:val="24"/>
        </w:rPr>
      </w:pPr>
      <w:r>
        <w:rPr>
          <w:rFonts w:ascii="宋体" w:hAnsi="宋体"/>
          <w:bCs/>
          <w:sz w:val="24"/>
        </w:rPr>
        <w:t>A：</w:t>
      </w:r>
      <w:proofErr w:type="gramStart"/>
      <w:r>
        <w:rPr>
          <w:rFonts w:ascii="宋体" w:hAnsi="宋体"/>
          <w:bCs/>
          <w:sz w:val="24"/>
        </w:rPr>
        <w:t>南网新一代</w:t>
      </w:r>
      <w:proofErr w:type="gramEnd"/>
      <w:r>
        <w:rPr>
          <w:rFonts w:ascii="宋体" w:hAnsi="宋体"/>
          <w:bCs/>
          <w:sz w:val="24"/>
        </w:rPr>
        <w:t>载波标准已经基本定稿，目前已进入芯片送检和现场试点阶段，</w:t>
      </w:r>
      <w:r>
        <w:rPr>
          <w:rFonts w:ascii="宋体" w:hAnsi="宋体" w:hint="eastAsia"/>
          <w:bCs/>
          <w:sz w:val="24"/>
        </w:rPr>
        <w:t>目前公司</w:t>
      </w:r>
      <w:r>
        <w:rPr>
          <w:rFonts w:ascii="宋体" w:hAnsi="宋体"/>
          <w:bCs/>
          <w:sz w:val="24"/>
        </w:rPr>
        <w:t>新一代电力载波芯片已完成流片，各项性能指标达到设计预期，目前正在开展现场试点工作，精准匹配南方电网新一代双模通信模块招标节奏。切换新一代载波的核心原因是新能源接入、新型电力系统建设带来的新需求：一是更大的网络规模需求，台区网络从500节点扩展至750-1000节点，源于充电桩、开关、</w:t>
      </w:r>
      <w:proofErr w:type="gramStart"/>
      <w:r>
        <w:rPr>
          <w:rFonts w:ascii="宋体" w:hAnsi="宋体"/>
          <w:bCs/>
          <w:sz w:val="24"/>
        </w:rPr>
        <w:t>光伏等增量</w:t>
      </w:r>
      <w:proofErr w:type="gramEnd"/>
      <w:r>
        <w:rPr>
          <w:rFonts w:ascii="宋体" w:hAnsi="宋体"/>
          <w:bCs/>
          <w:sz w:val="24"/>
        </w:rPr>
        <w:t>设备入网；二是更快的通信速率，从双模时代的1</w:t>
      </w:r>
      <w:proofErr w:type="gramStart"/>
      <w:r>
        <w:rPr>
          <w:rFonts w:ascii="宋体" w:hAnsi="宋体"/>
          <w:bCs/>
          <w:sz w:val="24"/>
        </w:rPr>
        <w:t>兆</w:t>
      </w:r>
      <w:proofErr w:type="gramEnd"/>
      <w:r>
        <w:rPr>
          <w:rFonts w:ascii="宋体" w:hAnsi="宋体"/>
          <w:bCs/>
          <w:sz w:val="24"/>
        </w:rPr>
        <w:t>扩展到4</w:t>
      </w:r>
      <w:proofErr w:type="gramStart"/>
      <w:r>
        <w:rPr>
          <w:rFonts w:ascii="宋体" w:hAnsi="宋体"/>
          <w:bCs/>
          <w:sz w:val="24"/>
        </w:rPr>
        <w:lastRenderedPageBreak/>
        <w:t>兆</w:t>
      </w:r>
      <w:proofErr w:type="gramEnd"/>
      <w:r>
        <w:rPr>
          <w:rFonts w:ascii="宋体" w:hAnsi="宋体"/>
          <w:bCs/>
          <w:sz w:val="24"/>
        </w:rPr>
        <w:t>，抄读频次从15分钟级提升至1分钟级；三是更低的时延要求，指令下达从</w:t>
      </w:r>
      <w:proofErr w:type="gramStart"/>
      <w:r>
        <w:rPr>
          <w:rFonts w:ascii="宋体" w:hAnsi="宋体"/>
          <w:bCs/>
          <w:sz w:val="24"/>
        </w:rPr>
        <w:t>分钟级</w:t>
      </w:r>
      <w:proofErr w:type="gramEnd"/>
      <w:r>
        <w:rPr>
          <w:rFonts w:ascii="宋体" w:hAnsi="宋体"/>
          <w:bCs/>
          <w:sz w:val="24"/>
        </w:rPr>
        <w:t>缩短到秒级，满足光伏、充电、开关等设备实时调控需求。新一代载波引入了MIMO、Bit-Loading、OFDMA等新的物理层技术，在网络层也在信标、报文聚合等方面进行了优化。</w:t>
      </w:r>
      <w:proofErr w:type="gramStart"/>
      <w:r>
        <w:rPr>
          <w:rFonts w:ascii="宋体" w:hAnsi="宋体"/>
          <w:bCs/>
          <w:sz w:val="24"/>
        </w:rPr>
        <w:t>国网的</w:t>
      </w:r>
      <w:proofErr w:type="gramEnd"/>
      <w:r>
        <w:rPr>
          <w:rFonts w:ascii="宋体" w:hAnsi="宋体"/>
          <w:bCs/>
          <w:sz w:val="24"/>
        </w:rPr>
        <w:t>双模从2022年开始大规模招标，距今已近5年。</w:t>
      </w:r>
      <w:proofErr w:type="gramStart"/>
      <w:r>
        <w:rPr>
          <w:rFonts w:ascii="宋体" w:hAnsi="宋体"/>
          <w:bCs/>
          <w:sz w:val="24"/>
        </w:rPr>
        <w:t>国网新一代</w:t>
      </w:r>
      <w:proofErr w:type="gramEnd"/>
      <w:r>
        <w:rPr>
          <w:rFonts w:ascii="宋体" w:hAnsi="宋体"/>
          <w:bCs/>
          <w:sz w:val="24"/>
        </w:rPr>
        <w:t>载波标准正在讨论制定当中，预计可能从2027年开始应用。</w:t>
      </w:r>
    </w:p>
    <w:p w14:paraId="5551F699" w14:textId="77777777" w:rsidR="00B064C6" w:rsidRDefault="00B064C6" w:rsidP="00B064C6">
      <w:pPr>
        <w:spacing w:line="420" w:lineRule="exact"/>
        <w:rPr>
          <w:rFonts w:ascii="宋体" w:hAnsi="宋体"/>
          <w:bCs/>
          <w:sz w:val="24"/>
        </w:rPr>
      </w:pPr>
    </w:p>
    <w:p w14:paraId="446E250C" w14:textId="77777777" w:rsidR="00B064C6" w:rsidRDefault="00B064C6" w:rsidP="00B064C6">
      <w:pPr>
        <w:spacing w:line="420" w:lineRule="exact"/>
        <w:ind w:left="-11" w:firstLineChars="200" w:firstLine="482"/>
        <w:rPr>
          <w:rFonts w:ascii="宋体" w:hAnsi="宋体"/>
          <w:bCs/>
          <w:sz w:val="24"/>
        </w:rPr>
      </w:pPr>
      <w:r>
        <w:rPr>
          <w:rFonts w:ascii="宋体" w:hAnsi="宋体" w:hint="eastAsia"/>
          <w:b/>
          <w:bCs/>
          <w:sz w:val="24"/>
        </w:rPr>
        <w:t>Q:</w:t>
      </w:r>
      <w:r>
        <w:rPr>
          <w:rFonts w:ascii="宋体" w:hAnsi="宋体"/>
          <w:b/>
          <w:bCs/>
          <w:sz w:val="24"/>
        </w:rPr>
        <w:t>公司对AI布局的新业务目前体量如何？后续成长性怎样？</w:t>
      </w:r>
    </w:p>
    <w:p w14:paraId="5090128D" w14:textId="6E2B3F17" w:rsidR="00B064C6" w:rsidRDefault="00B064C6" w:rsidP="00B064C6">
      <w:pPr>
        <w:spacing w:line="420" w:lineRule="exact"/>
        <w:ind w:left="-11" w:firstLineChars="200" w:firstLine="480"/>
        <w:rPr>
          <w:rFonts w:ascii="宋体" w:hAnsi="宋体"/>
          <w:bCs/>
          <w:sz w:val="24"/>
        </w:rPr>
      </w:pPr>
      <w:r>
        <w:rPr>
          <w:rFonts w:ascii="宋体" w:hAnsi="宋体"/>
          <w:bCs/>
          <w:sz w:val="24"/>
        </w:rPr>
        <w:t>A：公司核心战略为物联网+芯片+AI，AI业务已实现规模化落地。2025年AI相关产品收入7.37亿元，占总营收24%；2026年上半年推出43款新品，AI赋能产品占新品收入绝大多数，自</w:t>
      </w:r>
      <w:proofErr w:type="gramStart"/>
      <w:r>
        <w:rPr>
          <w:rFonts w:ascii="宋体" w:hAnsi="宋体"/>
          <w:bCs/>
          <w:sz w:val="24"/>
        </w:rPr>
        <w:t>研</w:t>
      </w:r>
      <w:proofErr w:type="gramEnd"/>
      <w:r>
        <w:rPr>
          <w:rFonts w:ascii="宋体" w:hAnsi="宋体"/>
          <w:bCs/>
          <w:sz w:val="24"/>
        </w:rPr>
        <w:t>AI平台全面嵌入电网、水务全场景。核心落地场景：一是数字电网，AI视觉识别用于输电线路山火、覆冰、杆塔倾斜巡检；AI算法实现台区三相不平衡、</w:t>
      </w:r>
      <w:proofErr w:type="gramStart"/>
      <w:r>
        <w:rPr>
          <w:rFonts w:ascii="宋体" w:hAnsi="宋体"/>
          <w:bCs/>
          <w:sz w:val="24"/>
        </w:rPr>
        <w:t>光伏过压</w:t>
      </w:r>
      <w:proofErr w:type="gramEnd"/>
      <w:r>
        <w:rPr>
          <w:rFonts w:ascii="宋体" w:hAnsi="宋体"/>
          <w:bCs/>
          <w:sz w:val="24"/>
        </w:rPr>
        <w:t>、线损精准治理，上半年台区治理、在线监测中标超3亿元；二</w:t>
      </w:r>
      <w:proofErr w:type="gramStart"/>
      <w:r>
        <w:rPr>
          <w:rFonts w:ascii="宋体" w:hAnsi="宋体"/>
          <w:bCs/>
          <w:sz w:val="24"/>
        </w:rPr>
        <w:t>是算电协同</w:t>
      </w:r>
      <w:proofErr w:type="gramEnd"/>
      <w:r>
        <w:rPr>
          <w:rFonts w:ascii="宋体" w:hAnsi="宋体"/>
          <w:bCs/>
          <w:sz w:val="24"/>
        </w:rPr>
        <w:t>，面向AI</w:t>
      </w:r>
      <w:proofErr w:type="gramStart"/>
      <w:r>
        <w:rPr>
          <w:rFonts w:ascii="宋体" w:hAnsi="宋体"/>
          <w:bCs/>
          <w:sz w:val="24"/>
        </w:rPr>
        <w:t>算力数据</w:t>
      </w:r>
      <w:proofErr w:type="gramEnd"/>
      <w:r>
        <w:rPr>
          <w:rFonts w:ascii="宋体" w:hAnsi="宋体"/>
          <w:bCs/>
          <w:sz w:val="24"/>
        </w:rPr>
        <w:t>中心提供电能质量监测、智能巡检、</w:t>
      </w:r>
      <w:proofErr w:type="gramStart"/>
      <w:r>
        <w:rPr>
          <w:rFonts w:ascii="宋体" w:hAnsi="宋体"/>
          <w:bCs/>
          <w:sz w:val="24"/>
        </w:rPr>
        <w:t>智慧消防</w:t>
      </w:r>
      <w:proofErr w:type="gramEnd"/>
      <w:r>
        <w:rPr>
          <w:rFonts w:ascii="宋体" w:hAnsi="宋体"/>
          <w:bCs/>
          <w:sz w:val="24"/>
        </w:rPr>
        <w:t>配套产品。三是底层芯片支撑，自</w:t>
      </w:r>
      <w:proofErr w:type="gramStart"/>
      <w:r>
        <w:rPr>
          <w:rFonts w:ascii="宋体" w:hAnsi="宋体"/>
          <w:bCs/>
          <w:sz w:val="24"/>
        </w:rPr>
        <w:t>研</w:t>
      </w:r>
      <w:proofErr w:type="gramEnd"/>
      <w:r>
        <w:rPr>
          <w:rFonts w:ascii="宋体" w:hAnsi="宋体"/>
          <w:bCs/>
          <w:sz w:val="24"/>
        </w:rPr>
        <w:t>通感</w:t>
      </w:r>
      <w:r>
        <w:rPr>
          <w:rFonts w:ascii="宋体" w:hAnsi="宋体" w:hint="eastAsia"/>
          <w:bCs/>
          <w:sz w:val="24"/>
        </w:rPr>
        <w:t>算</w:t>
      </w:r>
      <w:r>
        <w:rPr>
          <w:rFonts w:ascii="宋体" w:hAnsi="宋体"/>
          <w:bCs/>
          <w:sz w:val="24"/>
        </w:rPr>
        <w:t>融合</w:t>
      </w:r>
      <w:proofErr w:type="spellStart"/>
      <w:r>
        <w:rPr>
          <w:rFonts w:ascii="宋体" w:hAnsi="宋体"/>
          <w:bCs/>
          <w:sz w:val="24"/>
        </w:rPr>
        <w:t>SoC</w:t>
      </w:r>
      <w:proofErr w:type="spellEnd"/>
      <w:r>
        <w:rPr>
          <w:rFonts w:ascii="宋体" w:hAnsi="宋体"/>
          <w:bCs/>
          <w:sz w:val="24"/>
        </w:rPr>
        <w:t>芯片实现通信、感知、边缘计算三合一，为配网AI本地边缘计算提供硬件底座。长期路线：持续深化AI+边缘计算、AI+微电网、AI+大数据</w:t>
      </w:r>
      <w:r>
        <w:rPr>
          <w:rFonts w:ascii="宋体" w:hAnsi="宋体" w:hint="eastAsia"/>
          <w:bCs/>
          <w:sz w:val="24"/>
        </w:rPr>
        <w:t>等</w:t>
      </w:r>
      <w:r>
        <w:rPr>
          <w:rFonts w:ascii="宋体" w:hAnsi="宋体"/>
          <w:bCs/>
          <w:sz w:val="24"/>
        </w:rPr>
        <w:t>方向，打造全</w:t>
      </w:r>
      <w:proofErr w:type="gramStart"/>
      <w:r>
        <w:rPr>
          <w:rFonts w:ascii="宋体" w:hAnsi="宋体"/>
          <w:bCs/>
          <w:sz w:val="24"/>
        </w:rPr>
        <w:t>栈</w:t>
      </w:r>
      <w:proofErr w:type="gramEnd"/>
      <w:r>
        <w:rPr>
          <w:rFonts w:ascii="宋体" w:hAnsi="宋体"/>
          <w:bCs/>
          <w:sz w:val="24"/>
        </w:rPr>
        <w:t>电力AI体系，依托</w:t>
      </w:r>
      <w:proofErr w:type="gramStart"/>
      <w:r>
        <w:rPr>
          <w:rFonts w:ascii="宋体" w:hAnsi="宋体"/>
          <w:bCs/>
          <w:sz w:val="24"/>
        </w:rPr>
        <w:t>十五五</w:t>
      </w:r>
      <w:proofErr w:type="gramEnd"/>
      <w:r>
        <w:rPr>
          <w:rFonts w:ascii="宋体" w:hAnsi="宋体"/>
          <w:bCs/>
          <w:sz w:val="24"/>
        </w:rPr>
        <w:t>配网、</w:t>
      </w:r>
      <w:proofErr w:type="gramStart"/>
      <w:r>
        <w:rPr>
          <w:rFonts w:ascii="宋体" w:hAnsi="宋体"/>
          <w:bCs/>
          <w:sz w:val="24"/>
        </w:rPr>
        <w:t>算力基建</w:t>
      </w:r>
      <w:proofErr w:type="gramEnd"/>
      <w:r>
        <w:rPr>
          <w:rFonts w:ascii="宋体" w:hAnsi="宋体" w:hint="eastAsia"/>
          <w:bCs/>
          <w:sz w:val="24"/>
        </w:rPr>
        <w:t>、“六张网”建设等</w:t>
      </w:r>
      <w:r>
        <w:rPr>
          <w:rFonts w:ascii="宋体" w:hAnsi="宋体"/>
          <w:bCs/>
          <w:sz w:val="24"/>
        </w:rPr>
        <w:t>政策红利，把AI从辅助分析升级为自主调控核心能力。</w:t>
      </w:r>
    </w:p>
    <w:p w14:paraId="42249938" w14:textId="77777777" w:rsidR="00B064C6" w:rsidRDefault="00B064C6" w:rsidP="00B064C6">
      <w:pPr>
        <w:spacing w:line="420" w:lineRule="exact"/>
        <w:ind w:left="-11" w:firstLineChars="200" w:firstLine="480"/>
        <w:rPr>
          <w:rFonts w:ascii="宋体" w:hAnsi="宋体"/>
          <w:bCs/>
          <w:sz w:val="24"/>
        </w:rPr>
      </w:pPr>
    </w:p>
    <w:p w14:paraId="1116C5B3" w14:textId="77777777" w:rsidR="00B064C6" w:rsidRDefault="00B064C6" w:rsidP="00B064C6">
      <w:pPr>
        <w:spacing w:line="420" w:lineRule="exact"/>
        <w:ind w:firstLineChars="200" w:firstLine="482"/>
        <w:rPr>
          <w:rFonts w:ascii="宋体" w:hAnsi="宋体"/>
          <w:b/>
          <w:sz w:val="24"/>
        </w:rPr>
      </w:pPr>
      <w:r>
        <w:rPr>
          <w:rFonts w:ascii="宋体" w:hAnsi="宋体" w:hint="eastAsia"/>
          <w:b/>
          <w:sz w:val="24"/>
        </w:rPr>
        <w:t>Q:海外业务在通信模块、水务等多个方向都取得了突破，未来两三年从收入兑现角度出发，海外业务</w:t>
      </w:r>
      <w:proofErr w:type="gramStart"/>
      <w:r>
        <w:rPr>
          <w:rFonts w:ascii="宋体" w:hAnsi="宋体" w:hint="eastAsia"/>
          <w:b/>
          <w:sz w:val="24"/>
        </w:rPr>
        <w:t>最</w:t>
      </w:r>
      <w:proofErr w:type="gramEnd"/>
      <w:r>
        <w:rPr>
          <w:rFonts w:ascii="宋体" w:hAnsi="宋体" w:hint="eastAsia"/>
          <w:b/>
          <w:sz w:val="24"/>
        </w:rPr>
        <w:t>核心的增长驱动力会来自什么方向？</w:t>
      </w:r>
    </w:p>
    <w:p w14:paraId="31AB1B07" w14:textId="77777777" w:rsidR="00B064C6" w:rsidRDefault="00B064C6" w:rsidP="00B064C6">
      <w:pPr>
        <w:spacing w:line="420" w:lineRule="exact"/>
        <w:ind w:firstLineChars="200" w:firstLine="480"/>
        <w:rPr>
          <w:rFonts w:ascii="宋体" w:hAnsi="宋体"/>
          <w:bCs/>
          <w:sz w:val="24"/>
        </w:rPr>
      </w:pPr>
      <w:r>
        <w:rPr>
          <w:rFonts w:ascii="宋体" w:hAnsi="宋体" w:hint="eastAsia"/>
          <w:bCs/>
          <w:sz w:val="24"/>
        </w:rPr>
        <w:t>A：从市场来看，不同国家和行业的机会正在发生明显变化。</w:t>
      </w:r>
    </w:p>
    <w:p w14:paraId="0C389B76" w14:textId="77777777" w:rsidR="00B064C6" w:rsidRDefault="00B064C6" w:rsidP="00B064C6">
      <w:pPr>
        <w:spacing w:line="420" w:lineRule="exact"/>
        <w:ind w:firstLineChars="200" w:firstLine="480"/>
        <w:rPr>
          <w:rFonts w:ascii="宋体" w:hAnsi="宋体"/>
          <w:bCs/>
          <w:sz w:val="24"/>
        </w:rPr>
      </w:pPr>
      <w:r>
        <w:rPr>
          <w:rFonts w:ascii="宋体" w:hAnsi="宋体" w:hint="eastAsia"/>
          <w:bCs/>
          <w:sz w:val="24"/>
        </w:rPr>
        <w:t>在电力领域，传统电力AMI市场仍然存在较大的更新需求，但是越来越多电力公司正在把重点转向线</w:t>
      </w:r>
      <w:proofErr w:type="gramStart"/>
      <w:r>
        <w:rPr>
          <w:rFonts w:ascii="宋体" w:hAnsi="宋体" w:hint="eastAsia"/>
          <w:bCs/>
          <w:sz w:val="24"/>
        </w:rPr>
        <w:t>损</w:t>
      </w:r>
      <w:proofErr w:type="gramEnd"/>
      <w:r>
        <w:rPr>
          <w:rFonts w:ascii="宋体" w:hAnsi="宋体" w:hint="eastAsia"/>
          <w:bCs/>
          <w:sz w:val="24"/>
        </w:rPr>
        <w:t>治理、反窃电、配网自动化以及新能源接入。因此，公司更要进一步进入配电网数字化项目。</w:t>
      </w:r>
    </w:p>
    <w:p w14:paraId="72B0AF04" w14:textId="77777777" w:rsidR="00B064C6" w:rsidRDefault="00B064C6" w:rsidP="00B064C6">
      <w:pPr>
        <w:spacing w:line="420" w:lineRule="exact"/>
        <w:ind w:firstLineChars="200" w:firstLine="480"/>
        <w:rPr>
          <w:rFonts w:ascii="宋体" w:hAnsi="宋体"/>
          <w:bCs/>
          <w:sz w:val="24"/>
        </w:rPr>
      </w:pPr>
      <w:r>
        <w:rPr>
          <w:rFonts w:ascii="宋体" w:hAnsi="宋体" w:hint="eastAsia"/>
          <w:bCs/>
          <w:sz w:val="24"/>
        </w:rPr>
        <w:t>在水</w:t>
      </w:r>
      <w:proofErr w:type="gramStart"/>
      <w:r>
        <w:rPr>
          <w:rFonts w:ascii="宋体" w:hAnsi="宋体" w:hint="eastAsia"/>
          <w:bCs/>
          <w:sz w:val="24"/>
        </w:rPr>
        <w:t>务</w:t>
      </w:r>
      <w:proofErr w:type="gramEnd"/>
      <w:r>
        <w:rPr>
          <w:rFonts w:ascii="宋体" w:hAnsi="宋体" w:hint="eastAsia"/>
          <w:bCs/>
          <w:sz w:val="24"/>
        </w:rPr>
        <w:t>领域，许多国家面临严重的水资源短缺、漏损率高以及水</w:t>
      </w:r>
      <w:proofErr w:type="gramStart"/>
      <w:r>
        <w:rPr>
          <w:rFonts w:ascii="宋体" w:hAnsi="宋体" w:hint="eastAsia"/>
          <w:bCs/>
          <w:sz w:val="24"/>
        </w:rPr>
        <w:t>务</w:t>
      </w:r>
      <w:proofErr w:type="gramEnd"/>
      <w:r>
        <w:rPr>
          <w:rFonts w:ascii="宋体" w:hAnsi="宋体" w:hint="eastAsia"/>
          <w:bCs/>
          <w:sz w:val="24"/>
        </w:rPr>
        <w:t>公司运营效率低的问题。巴西、中东、南非以及部分非洲国家都在推动供水系统数字化改造。因此，智慧水</w:t>
      </w:r>
      <w:proofErr w:type="gramStart"/>
      <w:r>
        <w:rPr>
          <w:rFonts w:ascii="宋体" w:hAnsi="宋体" w:hint="eastAsia"/>
          <w:bCs/>
          <w:sz w:val="24"/>
        </w:rPr>
        <w:t>务</w:t>
      </w:r>
      <w:proofErr w:type="gramEnd"/>
      <w:r>
        <w:rPr>
          <w:rFonts w:ascii="宋体" w:hAnsi="宋体" w:hint="eastAsia"/>
          <w:bCs/>
          <w:sz w:val="24"/>
        </w:rPr>
        <w:t>不仅是更换智能水表的问题，而是整个水</w:t>
      </w:r>
      <w:proofErr w:type="gramStart"/>
      <w:r>
        <w:rPr>
          <w:rFonts w:ascii="宋体" w:hAnsi="宋体" w:hint="eastAsia"/>
          <w:bCs/>
          <w:sz w:val="24"/>
        </w:rPr>
        <w:t>务</w:t>
      </w:r>
      <w:proofErr w:type="gramEnd"/>
      <w:r>
        <w:rPr>
          <w:rFonts w:ascii="宋体" w:hAnsi="宋体" w:hint="eastAsia"/>
          <w:bCs/>
          <w:sz w:val="24"/>
        </w:rPr>
        <w:t>运营体系数字化升级的问题，这给公司提供了从终端到系统解决方案的机会。</w:t>
      </w:r>
    </w:p>
    <w:p w14:paraId="7F3732A5" w14:textId="77777777" w:rsidR="00B064C6" w:rsidRDefault="00B064C6" w:rsidP="00B064C6">
      <w:pPr>
        <w:spacing w:line="420" w:lineRule="exact"/>
        <w:ind w:firstLineChars="200" w:firstLine="480"/>
        <w:rPr>
          <w:rFonts w:ascii="宋体" w:hAnsi="宋体"/>
          <w:bCs/>
          <w:sz w:val="24"/>
        </w:rPr>
      </w:pPr>
      <w:r>
        <w:rPr>
          <w:rFonts w:ascii="宋体" w:hAnsi="宋体" w:hint="eastAsia"/>
          <w:bCs/>
          <w:sz w:val="24"/>
        </w:rPr>
        <w:t>在南非等市场，电网线损、窃电和配电网运营效率问题较为突出，公司可以把AMI与ECU、LTU、能量平衡以及反窃电算法结合起来，从原来的智能表</w:t>
      </w:r>
      <w:proofErr w:type="gramStart"/>
      <w:r>
        <w:rPr>
          <w:rFonts w:ascii="宋体" w:hAnsi="宋体" w:hint="eastAsia"/>
          <w:bCs/>
          <w:sz w:val="24"/>
        </w:rPr>
        <w:t>计业务</w:t>
      </w:r>
      <w:proofErr w:type="gramEnd"/>
      <w:r>
        <w:rPr>
          <w:rFonts w:ascii="宋体" w:hAnsi="宋体" w:hint="eastAsia"/>
          <w:bCs/>
          <w:sz w:val="24"/>
        </w:rPr>
        <w:t>进一步进入线损治理市场。</w:t>
      </w:r>
    </w:p>
    <w:p w14:paraId="039EF070" w14:textId="77777777" w:rsidR="00B064C6" w:rsidRDefault="00B064C6" w:rsidP="00B064C6">
      <w:pPr>
        <w:spacing w:line="420" w:lineRule="exact"/>
        <w:ind w:firstLineChars="200" w:firstLine="480"/>
        <w:rPr>
          <w:rFonts w:ascii="宋体" w:hAnsi="宋体"/>
          <w:bCs/>
          <w:sz w:val="24"/>
        </w:rPr>
      </w:pPr>
      <w:r>
        <w:rPr>
          <w:rFonts w:ascii="宋体" w:hAnsi="宋体" w:hint="eastAsia"/>
          <w:bCs/>
          <w:sz w:val="24"/>
        </w:rPr>
        <w:t>在美国欧洲以及部分发达市场，机会则更多来自电网现代化、智慧水</w:t>
      </w:r>
      <w:proofErr w:type="gramStart"/>
      <w:r>
        <w:rPr>
          <w:rFonts w:ascii="宋体" w:hAnsi="宋体" w:hint="eastAsia"/>
          <w:bCs/>
          <w:sz w:val="24"/>
        </w:rPr>
        <w:t>务</w:t>
      </w:r>
      <w:proofErr w:type="gramEnd"/>
      <w:r>
        <w:rPr>
          <w:rFonts w:ascii="宋体" w:hAnsi="宋体" w:hint="eastAsia"/>
          <w:bCs/>
          <w:sz w:val="24"/>
        </w:rPr>
        <w:t>以及</w:t>
      </w:r>
      <w:r>
        <w:rPr>
          <w:rFonts w:ascii="宋体" w:hAnsi="宋体" w:hint="eastAsia"/>
          <w:bCs/>
          <w:sz w:val="24"/>
        </w:rPr>
        <w:lastRenderedPageBreak/>
        <w:t>基础设施数字化。进入这些市场的门槛更高，本地化、网络安全、认证以及服务能力更加重要，因此公司会采取更加长期和稳健的市场进入策略。</w:t>
      </w:r>
    </w:p>
    <w:p w14:paraId="037A9BFC" w14:textId="77777777" w:rsidR="00B064C6" w:rsidRDefault="00B064C6" w:rsidP="00B064C6">
      <w:pPr>
        <w:spacing w:line="420" w:lineRule="exact"/>
        <w:rPr>
          <w:rFonts w:ascii="宋体" w:hAnsi="宋体"/>
          <w:bCs/>
          <w:sz w:val="24"/>
        </w:rPr>
      </w:pPr>
      <w:r>
        <w:rPr>
          <w:rFonts w:ascii="宋体" w:hAnsi="宋体" w:hint="eastAsia"/>
          <w:bCs/>
          <w:sz w:val="24"/>
        </w:rPr>
        <w:t xml:space="preserve">    </w:t>
      </w:r>
      <w:r>
        <w:rPr>
          <w:rFonts w:ascii="宋体" w:hAnsi="宋体"/>
          <w:bCs/>
          <w:sz w:val="24"/>
        </w:rPr>
        <w:t>近期海外市场持续取得突破</w:t>
      </w:r>
      <w:r>
        <w:rPr>
          <w:rFonts w:ascii="宋体" w:hAnsi="宋体" w:hint="eastAsia"/>
          <w:bCs/>
          <w:sz w:val="24"/>
        </w:rPr>
        <w:t>:</w:t>
      </w:r>
      <w:r>
        <w:rPr>
          <w:rFonts w:ascii="宋体" w:hAnsi="宋体"/>
          <w:bCs/>
          <w:sz w:val="24"/>
        </w:rPr>
        <w:t>中标赞比亚国家电力公司ZESCO分布式能源资源管理系统（DERMS）项目，项目总金额495万美元，包含DERMS平台软件授权、数据中心软硬件供应、多系统对接集成、工程实施、验收测试以及人员培训与技术文档移交等工作，项目建成后将助力赞比亚提升分布式新能源并网调度与管控能力，是公司在非洲能源数字化市场的重要进展。加上此前连续中标的中东区域水</w:t>
      </w:r>
      <w:proofErr w:type="gramStart"/>
      <w:r>
        <w:rPr>
          <w:rFonts w:ascii="宋体" w:hAnsi="宋体"/>
          <w:bCs/>
          <w:sz w:val="24"/>
        </w:rPr>
        <w:t>务</w:t>
      </w:r>
      <w:proofErr w:type="gramEnd"/>
      <w:r>
        <w:rPr>
          <w:rFonts w:ascii="宋体" w:hAnsi="宋体"/>
          <w:bCs/>
          <w:sz w:val="24"/>
        </w:rPr>
        <w:t>公司智能水表项目与非洲科摩罗水</w:t>
      </w:r>
      <w:proofErr w:type="gramStart"/>
      <w:r>
        <w:rPr>
          <w:rFonts w:ascii="宋体" w:hAnsi="宋体"/>
          <w:bCs/>
          <w:sz w:val="24"/>
        </w:rPr>
        <w:t>务</w:t>
      </w:r>
      <w:proofErr w:type="gramEnd"/>
      <w:r>
        <w:rPr>
          <w:rFonts w:ascii="宋体" w:hAnsi="宋体"/>
          <w:bCs/>
          <w:sz w:val="24"/>
        </w:rPr>
        <w:t>治理升级项目，公司全场景解决方案的全球化适配能力与市场竞争力得到持续提升。</w:t>
      </w:r>
    </w:p>
    <w:p w14:paraId="11BEB4DE" w14:textId="77777777" w:rsidR="00B064C6" w:rsidRDefault="00B064C6" w:rsidP="00B064C6">
      <w:pPr>
        <w:spacing w:line="420" w:lineRule="exact"/>
        <w:rPr>
          <w:rFonts w:ascii="宋体" w:hAnsi="宋体"/>
          <w:bCs/>
          <w:sz w:val="24"/>
        </w:rPr>
      </w:pPr>
    </w:p>
    <w:p w14:paraId="5C2D6377" w14:textId="77777777" w:rsidR="00B064C6" w:rsidRDefault="00B064C6" w:rsidP="00B064C6">
      <w:pPr>
        <w:spacing w:line="420" w:lineRule="exact"/>
        <w:ind w:left="-11" w:firstLineChars="200" w:firstLine="482"/>
        <w:rPr>
          <w:rFonts w:ascii="宋体" w:hAnsi="宋体"/>
          <w:b/>
          <w:bCs/>
          <w:sz w:val="24"/>
        </w:rPr>
      </w:pPr>
      <w:r>
        <w:rPr>
          <w:rFonts w:ascii="宋体" w:hAnsi="宋体" w:hint="eastAsia"/>
          <w:b/>
          <w:bCs/>
          <w:sz w:val="24"/>
        </w:rPr>
        <w:t>Q：</w:t>
      </w:r>
      <w:proofErr w:type="gramStart"/>
      <w:r>
        <w:rPr>
          <w:rFonts w:ascii="宋体" w:hAnsi="宋体" w:hint="eastAsia"/>
          <w:b/>
          <w:bCs/>
          <w:sz w:val="24"/>
        </w:rPr>
        <w:t>请简单</w:t>
      </w:r>
      <w:proofErr w:type="gramEnd"/>
      <w:r>
        <w:rPr>
          <w:rFonts w:ascii="宋体" w:hAnsi="宋体" w:hint="eastAsia"/>
          <w:b/>
          <w:bCs/>
          <w:sz w:val="24"/>
        </w:rPr>
        <w:t>介绍下公司股东回报最新情况</w:t>
      </w:r>
    </w:p>
    <w:p w14:paraId="544DBC9F" w14:textId="77777777" w:rsidR="00B064C6" w:rsidRDefault="00B064C6" w:rsidP="00B064C6">
      <w:pPr>
        <w:spacing w:line="420" w:lineRule="exact"/>
        <w:ind w:firstLineChars="200" w:firstLine="480"/>
        <w:rPr>
          <w:rFonts w:ascii="宋体" w:hAnsi="宋体"/>
          <w:bCs/>
          <w:sz w:val="24"/>
        </w:rPr>
      </w:pPr>
      <w:r>
        <w:rPr>
          <w:rFonts w:ascii="宋体" w:hAnsi="宋体" w:hint="eastAsia"/>
          <w:bCs/>
          <w:sz w:val="24"/>
        </w:rPr>
        <w:t>A：公司高度重视股东回报，公司计划自 2025 年起未来五年内，每年现金分红比例不低于 40%，以稳定的分红机制与投资者共享公司发展成果。</w:t>
      </w:r>
    </w:p>
    <w:p w14:paraId="454A0B49" w14:textId="0883A794" w:rsidR="00B064C6" w:rsidRDefault="00B064C6" w:rsidP="00B064C6">
      <w:pPr>
        <w:spacing w:line="420" w:lineRule="exact"/>
        <w:ind w:firstLineChars="200" w:firstLine="480"/>
        <w:rPr>
          <w:rFonts w:ascii="宋体" w:hAnsi="宋体"/>
          <w:bCs/>
          <w:sz w:val="24"/>
        </w:rPr>
      </w:pPr>
      <w:r>
        <w:rPr>
          <w:rFonts w:ascii="宋体" w:hAnsi="宋体" w:hint="eastAsia"/>
          <w:bCs/>
          <w:sz w:val="24"/>
        </w:rPr>
        <w:t>同时公司也通过股份回购方式积极回报股东，</w:t>
      </w:r>
      <w:r>
        <w:rPr>
          <w:rFonts w:ascii="宋体" w:hAnsi="宋体"/>
          <w:bCs/>
          <w:sz w:val="24"/>
        </w:rPr>
        <w:t>2026 年年内已开展两轮股份回购：第一轮于2026 年 6</w:t>
      </w:r>
      <w:r>
        <w:rPr>
          <w:rFonts w:ascii="Cambria Math" w:hAnsi="Cambria Math" w:cs="Cambria Math"/>
          <w:bCs/>
          <w:sz w:val="24"/>
        </w:rPr>
        <w:t>‑</w:t>
      </w:r>
      <w:r>
        <w:rPr>
          <w:rFonts w:ascii="宋体" w:hAnsi="宋体"/>
          <w:bCs/>
          <w:sz w:val="24"/>
        </w:rPr>
        <w:t>7 月实施，回购金额约 5000 万元；第二轮为</w:t>
      </w:r>
      <w:bookmarkStart w:id="2" w:name="_GoBack"/>
      <w:bookmarkEnd w:id="2"/>
      <w:r>
        <w:rPr>
          <w:rFonts w:ascii="宋体" w:hAnsi="宋体"/>
          <w:bCs/>
          <w:sz w:val="24"/>
        </w:rPr>
        <w:t xml:space="preserve"> 8 月 17 日启动的新一轮股份回购方案，拟使用自有资金回购股份，回购金额不低于 1.5 亿元且不超过 2 亿元，用于股权激励或员工持股计划。截至 9 月 30 日，第二轮已回购611.94万股，回购金额1.57亿元；公司2026年已累计回购787.16万股，累计回购金额2.07亿元。</w:t>
      </w:r>
    </w:p>
    <w:p w14:paraId="449FBC19" w14:textId="77777777" w:rsidR="00B064C6" w:rsidRDefault="00B064C6" w:rsidP="00B064C6">
      <w:pPr>
        <w:spacing w:line="420" w:lineRule="exact"/>
        <w:ind w:firstLineChars="200" w:firstLine="480"/>
        <w:rPr>
          <w:rFonts w:ascii="宋体" w:hAnsi="宋体"/>
          <w:bCs/>
          <w:sz w:val="24"/>
        </w:rPr>
      </w:pPr>
      <w:r>
        <w:rPr>
          <w:rFonts w:ascii="宋体" w:hAnsi="宋体" w:hint="eastAsia"/>
          <w:bCs/>
          <w:sz w:val="24"/>
        </w:rPr>
        <w:t>公司自上市以来已累计现金分红 12.27 亿元，累计回购股份 2441.79 万股、回购金额达 6.56 亿元，分红与回购合计回报股东约 18.83 亿元。</w:t>
      </w:r>
    </w:p>
    <w:p w14:paraId="4E678279" w14:textId="3EFFD6FC" w:rsidR="001F7B44" w:rsidRPr="00CD2409" w:rsidRDefault="00B064C6" w:rsidP="00B064C6">
      <w:pPr>
        <w:spacing w:beforeLines="50" w:before="156" w:line="360" w:lineRule="auto"/>
        <w:rPr>
          <w:rFonts w:asciiTheme="minorEastAsia" w:eastAsiaTheme="minorEastAsia" w:hAnsiTheme="minorEastAsia"/>
          <w:sz w:val="24"/>
        </w:rPr>
      </w:pPr>
      <w:r>
        <w:rPr>
          <w:rFonts w:ascii="宋体" w:hAnsi="宋体" w:hint="eastAsia"/>
          <w:bCs/>
          <w:sz w:val="24"/>
        </w:rPr>
        <w:t>未来，公司将继续坚持以投资者利益为核心，持续完善 "现金分红 + 股份回购" 的多元化股东回报机制，与广大投资者共享公司高质量发展的成果。</w:t>
      </w:r>
    </w:p>
    <w:bookmarkEnd w:id="0"/>
    <w:bookmarkEnd w:id="1"/>
    <w:p w14:paraId="4F208496" w14:textId="74C217C8" w:rsidR="002B36E5" w:rsidRPr="00CD2409" w:rsidRDefault="002B36E5" w:rsidP="00150178">
      <w:pPr>
        <w:spacing w:line="420" w:lineRule="exact"/>
        <w:ind w:left="-11" w:firstLineChars="200" w:firstLine="480"/>
        <w:rPr>
          <w:rFonts w:asciiTheme="minorEastAsia" w:eastAsiaTheme="minorEastAsia" w:hAnsiTheme="minorEastAsia"/>
          <w:bCs/>
          <w:sz w:val="24"/>
        </w:rPr>
      </w:pPr>
    </w:p>
    <w:sectPr w:rsidR="002B36E5" w:rsidRPr="00CD2409">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9B7280" w14:textId="77777777" w:rsidR="008B70E0" w:rsidRDefault="008B70E0">
      <w:r>
        <w:separator/>
      </w:r>
    </w:p>
  </w:endnote>
  <w:endnote w:type="continuationSeparator" w:id="0">
    <w:p w14:paraId="74A168A4" w14:textId="77777777" w:rsidR="008B70E0" w:rsidRDefault="008B7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CE3D40" w14:textId="77777777" w:rsidR="002B36E5" w:rsidRDefault="00007C18">
    <w:pPr>
      <w:pStyle w:val="a7"/>
      <w:jc w:val="center"/>
    </w:pPr>
    <w:r>
      <w:fldChar w:fldCharType="begin"/>
    </w:r>
    <w:r>
      <w:instrText xml:space="preserve"> PAGE   \* MERGEFORMAT </w:instrText>
    </w:r>
    <w:r>
      <w:fldChar w:fldCharType="separate"/>
    </w:r>
    <w:r w:rsidR="000F12EE" w:rsidRPr="000F12EE">
      <w:rPr>
        <w:noProof/>
        <w:lang w:val="zh-CN"/>
      </w:rPr>
      <w:t>7</w:t>
    </w:r>
    <w:r>
      <w:rPr>
        <w:lang w:val="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A6DA48" w14:textId="77777777" w:rsidR="008B70E0" w:rsidRDefault="008B70E0">
      <w:r>
        <w:separator/>
      </w:r>
    </w:p>
  </w:footnote>
  <w:footnote w:type="continuationSeparator" w:id="0">
    <w:p w14:paraId="208D5BBF" w14:textId="77777777" w:rsidR="008B70E0" w:rsidRDefault="008B70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E"/>
    <w:multiLevelType w:val="multilevel"/>
    <w:tmpl w:val="0000000E"/>
    <w:lvl w:ilvl="0">
      <w:start w:val="1"/>
      <w:numFmt w:val="japaneseCounting"/>
      <w:lvlText w:val="%1、"/>
      <w:lvlJc w:val="left"/>
      <w:pPr>
        <w:ind w:left="1216" w:hanging="720"/>
      </w:pPr>
      <w:rPr>
        <w:rFonts w:hint="default"/>
        <w:lang w:val="en-US"/>
      </w:rPr>
    </w:lvl>
    <w:lvl w:ilvl="1">
      <w:start w:val="1"/>
      <w:numFmt w:val="lowerLetter"/>
      <w:lvlText w:val="%2)"/>
      <w:lvlJc w:val="left"/>
      <w:pPr>
        <w:ind w:left="1336" w:hanging="420"/>
      </w:pPr>
    </w:lvl>
    <w:lvl w:ilvl="2">
      <w:start w:val="1"/>
      <w:numFmt w:val="lowerRoman"/>
      <w:lvlText w:val="%3."/>
      <w:lvlJc w:val="right"/>
      <w:pPr>
        <w:ind w:left="1756" w:hanging="420"/>
      </w:pPr>
    </w:lvl>
    <w:lvl w:ilvl="3">
      <w:start w:val="1"/>
      <w:numFmt w:val="decimal"/>
      <w:lvlText w:val="%4."/>
      <w:lvlJc w:val="left"/>
      <w:pPr>
        <w:ind w:left="2176" w:hanging="420"/>
      </w:pPr>
    </w:lvl>
    <w:lvl w:ilvl="4">
      <w:start w:val="1"/>
      <w:numFmt w:val="lowerLetter"/>
      <w:lvlText w:val="%5)"/>
      <w:lvlJc w:val="left"/>
      <w:pPr>
        <w:ind w:left="2596" w:hanging="420"/>
      </w:pPr>
    </w:lvl>
    <w:lvl w:ilvl="5">
      <w:start w:val="1"/>
      <w:numFmt w:val="lowerRoman"/>
      <w:lvlText w:val="%6."/>
      <w:lvlJc w:val="right"/>
      <w:pPr>
        <w:ind w:left="3016" w:hanging="420"/>
      </w:pPr>
    </w:lvl>
    <w:lvl w:ilvl="6">
      <w:start w:val="1"/>
      <w:numFmt w:val="decimal"/>
      <w:lvlText w:val="%7."/>
      <w:lvlJc w:val="left"/>
      <w:pPr>
        <w:ind w:left="3436" w:hanging="420"/>
      </w:pPr>
    </w:lvl>
    <w:lvl w:ilvl="7">
      <w:start w:val="1"/>
      <w:numFmt w:val="lowerLetter"/>
      <w:lvlText w:val="%8)"/>
      <w:lvlJc w:val="left"/>
      <w:pPr>
        <w:ind w:left="3856" w:hanging="420"/>
      </w:pPr>
    </w:lvl>
    <w:lvl w:ilvl="8">
      <w:start w:val="1"/>
      <w:numFmt w:val="lowerRoman"/>
      <w:lvlText w:val="%9."/>
      <w:lvlJc w:val="right"/>
      <w:pPr>
        <w:ind w:left="4276" w:hanging="420"/>
      </w:pPr>
    </w:lvl>
  </w:abstractNum>
  <w:abstractNum w:abstractNumId="1">
    <w:nsid w:val="05653085"/>
    <w:multiLevelType w:val="multilevel"/>
    <w:tmpl w:val="0565308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09287325"/>
    <w:multiLevelType w:val="multilevel"/>
    <w:tmpl w:val="0928732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nsid w:val="1CDE3880"/>
    <w:multiLevelType w:val="multilevel"/>
    <w:tmpl w:val="1CDE388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3D8F47E1"/>
    <w:multiLevelType w:val="multilevel"/>
    <w:tmpl w:val="3D8F47E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045"/>
    <w:rsid w:val="00007C18"/>
    <w:rsid w:val="00012E19"/>
    <w:rsid w:val="00017F3C"/>
    <w:rsid w:val="00043BCC"/>
    <w:rsid w:val="00045D1A"/>
    <w:rsid w:val="0006405C"/>
    <w:rsid w:val="000827D8"/>
    <w:rsid w:val="000A23D8"/>
    <w:rsid w:val="000A5C2C"/>
    <w:rsid w:val="000C04C9"/>
    <w:rsid w:val="000C7C42"/>
    <w:rsid w:val="000D3577"/>
    <w:rsid w:val="000F12EE"/>
    <w:rsid w:val="00107540"/>
    <w:rsid w:val="00111FA4"/>
    <w:rsid w:val="0013293F"/>
    <w:rsid w:val="00150178"/>
    <w:rsid w:val="001723B0"/>
    <w:rsid w:val="00177B50"/>
    <w:rsid w:val="001A7E63"/>
    <w:rsid w:val="001B55CA"/>
    <w:rsid w:val="001C4010"/>
    <w:rsid w:val="001F5977"/>
    <w:rsid w:val="001F7B44"/>
    <w:rsid w:val="00203234"/>
    <w:rsid w:val="002443AE"/>
    <w:rsid w:val="002462D7"/>
    <w:rsid w:val="002574B5"/>
    <w:rsid w:val="00264B65"/>
    <w:rsid w:val="00265011"/>
    <w:rsid w:val="002665F5"/>
    <w:rsid w:val="00266655"/>
    <w:rsid w:val="00266E63"/>
    <w:rsid w:val="002758E4"/>
    <w:rsid w:val="00285F36"/>
    <w:rsid w:val="00290188"/>
    <w:rsid w:val="002B36E5"/>
    <w:rsid w:val="002C6571"/>
    <w:rsid w:val="0031102A"/>
    <w:rsid w:val="0032328E"/>
    <w:rsid w:val="00340377"/>
    <w:rsid w:val="003917F5"/>
    <w:rsid w:val="003A2E55"/>
    <w:rsid w:val="003B35EC"/>
    <w:rsid w:val="003F1C8F"/>
    <w:rsid w:val="00402AFB"/>
    <w:rsid w:val="0041785B"/>
    <w:rsid w:val="00426234"/>
    <w:rsid w:val="004308D0"/>
    <w:rsid w:val="00433837"/>
    <w:rsid w:val="00452C09"/>
    <w:rsid w:val="004577CC"/>
    <w:rsid w:val="004705F7"/>
    <w:rsid w:val="00476E6E"/>
    <w:rsid w:val="00485B21"/>
    <w:rsid w:val="004B6429"/>
    <w:rsid w:val="004F08F6"/>
    <w:rsid w:val="004F6DD4"/>
    <w:rsid w:val="00526C07"/>
    <w:rsid w:val="00554277"/>
    <w:rsid w:val="0056031B"/>
    <w:rsid w:val="00575F67"/>
    <w:rsid w:val="0059394B"/>
    <w:rsid w:val="005A085C"/>
    <w:rsid w:val="005B2646"/>
    <w:rsid w:val="005B48D5"/>
    <w:rsid w:val="005B7847"/>
    <w:rsid w:val="005C0300"/>
    <w:rsid w:val="005C0C10"/>
    <w:rsid w:val="005D4A03"/>
    <w:rsid w:val="005D5348"/>
    <w:rsid w:val="005F4B57"/>
    <w:rsid w:val="00630C7F"/>
    <w:rsid w:val="006E6FC1"/>
    <w:rsid w:val="006E7672"/>
    <w:rsid w:val="007028AB"/>
    <w:rsid w:val="00712BD1"/>
    <w:rsid w:val="007656D2"/>
    <w:rsid w:val="00774546"/>
    <w:rsid w:val="00790AF4"/>
    <w:rsid w:val="00795F09"/>
    <w:rsid w:val="007D2354"/>
    <w:rsid w:val="007E11D4"/>
    <w:rsid w:val="007E1822"/>
    <w:rsid w:val="007E1890"/>
    <w:rsid w:val="007E542E"/>
    <w:rsid w:val="00800CD6"/>
    <w:rsid w:val="00806129"/>
    <w:rsid w:val="008113EF"/>
    <w:rsid w:val="0081617A"/>
    <w:rsid w:val="008202CC"/>
    <w:rsid w:val="008238C0"/>
    <w:rsid w:val="00863B7B"/>
    <w:rsid w:val="008644C8"/>
    <w:rsid w:val="0088745B"/>
    <w:rsid w:val="008B70E0"/>
    <w:rsid w:val="008F4688"/>
    <w:rsid w:val="008F5E9F"/>
    <w:rsid w:val="00904899"/>
    <w:rsid w:val="009117D0"/>
    <w:rsid w:val="009363BE"/>
    <w:rsid w:val="009420E9"/>
    <w:rsid w:val="009443C1"/>
    <w:rsid w:val="00950BA3"/>
    <w:rsid w:val="00965320"/>
    <w:rsid w:val="009667DD"/>
    <w:rsid w:val="00974D29"/>
    <w:rsid w:val="00984819"/>
    <w:rsid w:val="009A61C2"/>
    <w:rsid w:val="009F3D54"/>
    <w:rsid w:val="00A17A1B"/>
    <w:rsid w:val="00A27BEA"/>
    <w:rsid w:val="00A70C9E"/>
    <w:rsid w:val="00A93292"/>
    <w:rsid w:val="00A944F9"/>
    <w:rsid w:val="00A96195"/>
    <w:rsid w:val="00AB79E5"/>
    <w:rsid w:val="00AC254A"/>
    <w:rsid w:val="00AC2CE4"/>
    <w:rsid w:val="00AD1055"/>
    <w:rsid w:val="00AE4B84"/>
    <w:rsid w:val="00AF3E4E"/>
    <w:rsid w:val="00B064C6"/>
    <w:rsid w:val="00B11370"/>
    <w:rsid w:val="00B21B69"/>
    <w:rsid w:val="00B42292"/>
    <w:rsid w:val="00B51F45"/>
    <w:rsid w:val="00B55110"/>
    <w:rsid w:val="00B66AB3"/>
    <w:rsid w:val="00B74BA9"/>
    <w:rsid w:val="00B965C4"/>
    <w:rsid w:val="00BA3528"/>
    <w:rsid w:val="00BB0FDF"/>
    <w:rsid w:val="00BC6528"/>
    <w:rsid w:val="00BF397D"/>
    <w:rsid w:val="00C44004"/>
    <w:rsid w:val="00C55F99"/>
    <w:rsid w:val="00C760EE"/>
    <w:rsid w:val="00CC7B63"/>
    <w:rsid w:val="00CD2409"/>
    <w:rsid w:val="00CE6284"/>
    <w:rsid w:val="00CE67CA"/>
    <w:rsid w:val="00D21045"/>
    <w:rsid w:val="00D219CA"/>
    <w:rsid w:val="00D317F8"/>
    <w:rsid w:val="00D33333"/>
    <w:rsid w:val="00D356E9"/>
    <w:rsid w:val="00D53019"/>
    <w:rsid w:val="00D63C9F"/>
    <w:rsid w:val="00D70003"/>
    <w:rsid w:val="00D82C06"/>
    <w:rsid w:val="00DC04E0"/>
    <w:rsid w:val="00DD5262"/>
    <w:rsid w:val="00E071A9"/>
    <w:rsid w:val="00E153F7"/>
    <w:rsid w:val="00E324BD"/>
    <w:rsid w:val="00E61C96"/>
    <w:rsid w:val="00E6655E"/>
    <w:rsid w:val="00E744D5"/>
    <w:rsid w:val="00E84C47"/>
    <w:rsid w:val="00E92123"/>
    <w:rsid w:val="00EC47BD"/>
    <w:rsid w:val="00ED2124"/>
    <w:rsid w:val="00EF07AA"/>
    <w:rsid w:val="00F10CB4"/>
    <w:rsid w:val="00F20844"/>
    <w:rsid w:val="00F533AE"/>
    <w:rsid w:val="00F568C6"/>
    <w:rsid w:val="00F56C88"/>
    <w:rsid w:val="00F76433"/>
    <w:rsid w:val="00F836E5"/>
    <w:rsid w:val="00F83791"/>
    <w:rsid w:val="00F859A3"/>
    <w:rsid w:val="00FC765E"/>
    <w:rsid w:val="00FD6306"/>
    <w:rsid w:val="00FF4603"/>
    <w:rsid w:val="2DDA7ED8"/>
    <w:rsid w:val="3E097E6F"/>
    <w:rsid w:val="677249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14BD6B"/>
  <w15:docId w15:val="{62B9321B-8BB2-43D7-B6D6-18A5699D4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等线" w:eastAsia="等线" w:hAnsi="等线" w:cs="宋体"/>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uiPriority="39"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uiPriority w:val="9"/>
    <w:qFormat/>
    <w:pPr>
      <w:keepNext/>
      <w:keepLines/>
      <w:spacing w:before="340" w:after="330" w:line="578" w:lineRule="auto"/>
      <w:outlineLvl w:val="0"/>
    </w:pPr>
    <w:rPr>
      <w:rFonts w:ascii="等线" w:eastAsia="等线" w:hAnsi="等线" w:cs="宋体"/>
      <w:b/>
      <w:bCs/>
      <w:kern w:val="44"/>
      <w:sz w:val="44"/>
      <w:szCs w:val="44"/>
    </w:rPr>
  </w:style>
  <w:style w:type="paragraph" w:styleId="2">
    <w:name w:val="heading 2"/>
    <w:basedOn w:val="a"/>
    <w:next w:val="a"/>
    <w:link w:val="2Char"/>
    <w:uiPriority w:val="9"/>
    <w:semiHidden/>
    <w:unhideWhenUsed/>
    <w:qFormat/>
    <w:pPr>
      <w:keepNext/>
      <w:keepLines/>
      <w:spacing w:before="260" w:after="260" w:line="416" w:lineRule="auto"/>
      <w:outlineLvl w:val="1"/>
    </w:pPr>
    <w:rPr>
      <w:rFonts w:ascii="等线 Light" w:eastAsia="等线 Light" w:hAnsi="等线 Light" w:cs="宋体"/>
      <w:b/>
      <w:bCs/>
      <w:sz w:val="32"/>
      <w:szCs w:val="32"/>
    </w:rPr>
  </w:style>
  <w:style w:type="paragraph" w:styleId="3">
    <w:name w:val="heading 3"/>
    <w:basedOn w:val="a"/>
    <w:next w:val="a"/>
    <w:link w:val="3Char"/>
    <w:uiPriority w:val="9"/>
    <w:semiHidden/>
    <w:unhideWhenUsed/>
    <w:qFormat/>
    <w:pPr>
      <w:keepNext/>
      <w:keepLines/>
      <w:spacing w:before="260" w:after="260" w:line="416" w:lineRule="auto"/>
      <w:outlineLvl w:val="2"/>
    </w:pPr>
    <w:rPr>
      <w:b/>
      <w:bCs/>
      <w:sz w:val="32"/>
      <w:szCs w:val="32"/>
    </w:rPr>
  </w:style>
  <w:style w:type="paragraph" w:styleId="4">
    <w:name w:val="heading 4"/>
    <w:basedOn w:val="a"/>
    <w:link w:val="4Char"/>
    <w:uiPriority w:val="9"/>
    <w:semiHidden/>
    <w:unhideWhenUsed/>
    <w:qFormat/>
    <w:pPr>
      <w:widowControl/>
      <w:spacing w:before="100" w:beforeAutospacing="1" w:after="100" w:afterAutospacing="1"/>
      <w:jc w:val="left"/>
      <w:outlineLvl w:val="3"/>
    </w:pPr>
    <w:rPr>
      <w:rFonts w:ascii="宋体" w:hAnsi="宋体" w:cs="宋体"/>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qFormat/>
    <w:pPr>
      <w:jc w:val="left"/>
    </w:pPr>
  </w:style>
  <w:style w:type="paragraph" w:styleId="a4">
    <w:name w:val="Body Text"/>
    <w:basedOn w:val="a"/>
    <w:link w:val="Char0"/>
    <w:uiPriority w:val="1"/>
    <w:qFormat/>
    <w:pPr>
      <w:spacing w:before="181"/>
      <w:ind w:left="141"/>
      <w:jc w:val="left"/>
    </w:pPr>
    <w:rPr>
      <w:rFonts w:ascii="宋体" w:hAnsi="宋体" w:cs="宋体"/>
      <w:kern w:val="0"/>
      <w:sz w:val="24"/>
      <w:lang w:eastAsia="en-US"/>
    </w:rPr>
  </w:style>
  <w:style w:type="paragraph" w:styleId="30">
    <w:name w:val="toc 3"/>
    <w:basedOn w:val="a"/>
    <w:next w:val="a"/>
    <w:uiPriority w:val="39"/>
    <w:qFormat/>
    <w:pPr>
      <w:ind w:left="420"/>
      <w:jc w:val="left"/>
    </w:pPr>
    <w:rPr>
      <w:rFonts w:ascii="等线" w:eastAsia="等线" w:hAnsi="等线" w:cs="宋体"/>
      <w:i/>
      <w:iCs/>
      <w:sz w:val="20"/>
      <w:szCs w:val="20"/>
    </w:rPr>
  </w:style>
  <w:style w:type="paragraph" w:styleId="a5">
    <w:name w:val="Plain Text"/>
    <w:basedOn w:val="a"/>
    <w:link w:val="Char1"/>
    <w:qFormat/>
    <w:rPr>
      <w:rFonts w:ascii="宋体" w:hAnsi="Courier New"/>
    </w:rPr>
  </w:style>
  <w:style w:type="paragraph" w:styleId="a6">
    <w:name w:val="Balloon Text"/>
    <w:basedOn w:val="a"/>
    <w:link w:val="Char2"/>
    <w:uiPriority w:val="99"/>
    <w:qFormat/>
    <w:rPr>
      <w:sz w:val="18"/>
      <w:szCs w:val="18"/>
    </w:rPr>
  </w:style>
  <w:style w:type="paragraph" w:styleId="a7">
    <w:name w:val="footer"/>
    <w:basedOn w:val="a"/>
    <w:link w:val="Char3"/>
    <w:uiPriority w:val="99"/>
    <w:qFormat/>
    <w:pPr>
      <w:tabs>
        <w:tab w:val="center" w:pos="4153"/>
        <w:tab w:val="right" w:pos="8306"/>
      </w:tabs>
      <w:snapToGrid w:val="0"/>
      <w:jc w:val="left"/>
    </w:pPr>
    <w:rPr>
      <w:sz w:val="18"/>
      <w:szCs w:val="18"/>
    </w:rPr>
  </w:style>
  <w:style w:type="paragraph" w:styleId="a8">
    <w:name w:val="header"/>
    <w:basedOn w:val="a"/>
    <w:link w:val="Char4"/>
    <w:uiPriority w:val="99"/>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Char"/>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9">
    <w:name w:val="Normal (Web)"/>
    <w:basedOn w:val="a"/>
    <w:uiPriority w:val="99"/>
    <w:qFormat/>
    <w:pPr>
      <w:widowControl/>
      <w:spacing w:before="100" w:beforeAutospacing="1" w:after="100" w:afterAutospacing="1"/>
      <w:jc w:val="left"/>
    </w:pPr>
    <w:rPr>
      <w:rFonts w:ascii="宋体" w:hAnsi="宋体" w:cs="宋体"/>
      <w:kern w:val="0"/>
      <w:sz w:val="24"/>
    </w:rPr>
  </w:style>
  <w:style w:type="paragraph" w:styleId="aa">
    <w:name w:val="annotation subject"/>
    <w:basedOn w:val="a3"/>
    <w:next w:val="a3"/>
    <w:link w:val="Char5"/>
    <w:uiPriority w:val="99"/>
    <w:qFormat/>
    <w:rPr>
      <w:b/>
      <w:bCs/>
    </w:rPr>
  </w:style>
  <w:style w:type="character" w:styleId="ab">
    <w:name w:val="Strong"/>
    <w:basedOn w:val="a0"/>
    <w:uiPriority w:val="22"/>
    <w:qFormat/>
    <w:rPr>
      <w:b/>
      <w:bCs/>
    </w:rPr>
  </w:style>
  <w:style w:type="character" w:styleId="ac">
    <w:name w:val="annotation reference"/>
    <w:basedOn w:val="a0"/>
    <w:uiPriority w:val="99"/>
    <w:qFormat/>
    <w:rPr>
      <w:sz w:val="21"/>
      <w:szCs w:val="21"/>
    </w:rPr>
  </w:style>
  <w:style w:type="character" w:customStyle="1" w:styleId="Char3">
    <w:name w:val="页脚 Char"/>
    <w:basedOn w:val="a0"/>
    <w:link w:val="a7"/>
    <w:uiPriority w:val="99"/>
    <w:qFormat/>
    <w:rPr>
      <w:rFonts w:ascii="Times New Roman" w:eastAsia="宋体" w:hAnsi="Times New Roman" w:cs="Times New Roman"/>
      <w:sz w:val="18"/>
      <w:szCs w:val="18"/>
    </w:rPr>
  </w:style>
  <w:style w:type="paragraph" w:styleId="ad">
    <w:name w:val="List Paragraph"/>
    <w:basedOn w:val="a"/>
    <w:link w:val="Char6"/>
    <w:uiPriority w:val="99"/>
    <w:qFormat/>
    <w:pPr>
      <w:ind w:firstLineChars="200" w:firstLine="420"/>
    </w:pPr>
  </w:style>
  <w:style w:type="character" w:customStyle="1" w:styleId="Char1">
    <w:name w:val="纯文本 Char"/>
    <w:basedOn w:val="a0"/>
    <w:link w:val="a5"/>
    <w:qFormat/>
    <w:rPr>
      <w:rFonts w:ascii="宋体" w:eastAsia="宋体" w:hAnsi="Courier New" w:cs="Times New Roman"/>
      <w:szCs w:val="24"/>
    </w:rPr>
  </w:style>
  <w:style w:type="character" w:customStyle="1" w:styleId="Char6">
    <w:name w:val="列出段落 Char"/>
    <w:basedOn w:val="a0"/>
    <w:link w:val="ad"/>
    <w:uiPriority w:val="34"/>
    <w:qFormat/>
    <w:rPr>
      <w:rFonts w:ascii="Times New Roman" w:eastAsia="宋体" w:hAnsi="Times New Roman" w:cs="Times New Roman"/>
      <w:szCs w:val="24"/>
    </w:rPr>
  </w:style>
  <w:style w:type="character" w:customStyle="1" w:styleId="Char4">
    <w:name w:val="页眉 Char"/>
    <w:basedOn w:val="a0"/>
    <w:link w:val="a8"/>
    <w:uiPriority w:val="99"/>
    <w:qFormat/>
    <w:rPr>
      <w:rFonts w:ascii="Times New Roman" w:eastAsia="宋体" w:hAnsi="Times New Roman" w:cs="Times New Roman"/>
      <w:sz w:val="18"/>
      <w:szCs w:val="18"/>
    </w:rPr>
  </w:style>
  <w:style w:type="character" w:customStyle="1" w:styleId="Char2">
    <w:name w:val="批注框文本 Char"/>
    <w:basedOn w:val="a0"/>
    <w:link w:val="a6"/>
    <w:uiPriority w:val="99"/>
    <w:qFormat/>
    <w:rPr>
      <w:rFonts w:ascii="Times New Roman" w:eastAsia="宋体" w:hAnsi="Times New Roman" w:cs="Times New Roman"/>
      <w:sz w:val="18"/>
      <w:szCs w:val="18"/>
    </w:rPr>
  </w:style>
  <w:style w:type="character" w:customStyle="1" w:styleId="Char">
    <w:name w:val="批注文字 Char"/>
    <w:basedOn w:val="a0"/>
    <w:link w:val="a3"/>
    <w:uiPriority w:val="99"/>
    <w:qFormat/>
    <w:rPr>
      <w:rFonts w:ascii="Times New Roman" w:eastAsia="宋体" w:hAnsi="Times New Roman" w:cs="Times New Roman"/>
      <w:szCs w:val="24"/>
    </w:rPr>
  </w:style>
  <w:style w:type="character" w:customStyle="1" w:styleId="Char5">
    <w:name w:val="批注主题 Char"/>
    <w:basedOn w:val="Char"/>
    <w:link w:val="aa"/>
    <w:uiPriority w:val="99"/>
    <w:qFormat/>
    <w:rPr>
      <w:rFonts w:ascii="Times New Roman" w:eastAsia="宋体" w:hAnsi="Times New Roman" w:cs="Times New Roman"/>
      <w:b/>
      <w:bCs/>
      <w:szCs w:val="24"/>
    </w:rPr>
  </w:style>
  <w:style w:type="table" w:customStyle="1" w:styleId="TableGrid">
    <w:name w:val="TableGrid"/>
    <w:qFormat/>
    <w:tblPr>
      <w:tblCellMar>
        <w:top w:w="0" w:type="dxa"/>
        <w:left w:w="0" w:type="dxa"/>
        <w:bottom w:w="0" w:type="dxa"/>
        <w:right w:w="0" w:type="dxa"/>
      </w:tblCellMar>
    </w:tblPr>
  </w:style>
  <w:style w:type="character" w:customStyle="1" w:styleId="2Char">
    <w:name w:val="标题 2 Char"/>
    <w:basedOn w:val="a0"/>
    <w:link w:val="2"/>
    <w:uiPriority w:val="9"/>
    <w:qFormat/>
    <w:rPr>
      <w:rFonts w:ascii="等线 Light" w:eastAsia="等线 Light" w:hAnsi="等线 Light" w:cs="宋体"/>
      <w:b/>
      <w:bCs/>
      <w:sz w:val="32"/>
      <w:szCs w:val="32"/>
    </w:rPr>
  </w:style>
  <w:style w:type="character" w:customStyle="1" w:styleId="Char0">
    <w:name w:val="正文文本 Char"/>
    <w:basedOn w:val="a0"/>
    <w:link w:val="a4"/>
    <w:uiPriority w:val="1"/>
    <w:qFormat/>
    <w:rPr>
      <w:rFonts w:ascii="宋体" w:eastAsia="宋体" w:hAnsi="宋体"/>
      <w:kern w:val="0"/>
      <w:sz w:val="24"/>
      <w:szCs w:val="24"/>
      <w:lang w:eastAsia="en-US"/>
    </w:rPr>
  </w:style>
  <w:style w:type="character" w:customStyle="1" w:styleId="1Char">
    <w:name w:val="标题 1 Char"/>
    <w:basedOn w:val="a0"/>
    <w:link w:val="1"/>
    <w:uiPriority w:val="9"/>
    <w:qFormat/>
    <w:rPr>
      <w:b/>
      <w:bCs/>
      <w:kern w:val="44"/>
      <w:sz w:val="44"/>
      <w:szCs w:val="44"/>
    </w:rPr>
  </w:style>
  <w:style w:type="character" w:customStyle="1" w:styleId="005Char">
    <w:name w:val="005正文 Char"/>
    <w:link w:val="005"/>
    <w:qFormat/>
  </w:style>
  <w:style w:type="paragraph" w:customStyle="1" w:styleId="005">
    <w:name w:val="005正文"/>
    <w:basedOn w:val="a"/>
    <w:link w:val="005Char"/>
    <w:qFormat/>
    <w:pPr>
      <w:spacing w:beforeLines="50" w:line="360" w:lineRule="auto"/>
      <w:ind w:firstLineChars="200" w:firstLine="200"/>
    </w:pPr>
    <w:rPr>
      <w:rFonts w:ascii="等线" w:eastAsia="等线" w:hAnsi="等线" w:cs="宋体"/>
      <w:szCs w:val="22"/>
    </w:rPr>
  </w:style>
  <w:style w:type="paragraph" w:customStyle="1" w:styleId="10">
    <w:name w:val="修订1"/>
    <w:uiPriority w:val="99"/>
    <w:qFormat/>
    <w:rPr>
      <w:rFonts w:ascii="Times New Roman" w:eastAsia="宋体" w:hAnsi="Times New Roman" w:cs="Times New Roman"/>
      <w:kern w:val="2"/>
      <w:sz w:val="21"/>
      <w:szCs w:val="24"/>
    </w:rPr>
  </w:style>
  <w:style w:type="character" w:customStyle="1" w:styleId="4Char">
    <w:name w:val="标题 4 Char"/>
    <w:basedOn w:val="a0"/>
    <w:link w:val="4"/>
    <w:uiPriority w:val="9"/>
    <w:qFormat/>
    <w:rPr>
      <w:rFonts w:ascii="宋体" w:eastAsia="宋体" w:hAnsi="宋体" w:cs="宋体"/>
      <w:b/>
      <w:bCs/>
      <w:kern w:val="0"/>
      <w:sz w:val="24"/>
      <w:szCs w:val="24"/>
    </w:rPr>
  </w:style>
  <w:style w:type="character" w:customStyle="1" w:styleId="HTMLChar">
    <w:name w:val="HTML 预设格式 Char"/>
    <w:basedOn w:val="a0"/>
    <w:link w:val="HTML"/>
    <w:uiPriority w:val="99"/>
    <w:qFormat/>
    <w:rPr>
      <w:rFonts w:ascii="宋体" w:eastAsia="宋体" w:hAnsi="宋体" w:cs="宋体"/>
      <w:kern w:val="0"/>
      <w:sz w:val="24"/>
      <w:szCs w:val="24"/>
    </w:rPr>
  </w:style>
  <w:style w:type="paragraph" w:customStyle="1" w:styleId="Style6">
    <w:name w:val="_Style 6"/>
    <w:basedOn w:val="a"/>
    <w:uiPriority w:val="34"/>
    <w:qFormat/>
    <w:pPr>
      <w:ind w:firstLineChars="200" w:firstLine="420"/>
    </w:pPr>
    <w:rPr>
      <w:rFonts w:ascii="Calibri" w:hAnsi="Calibri"/>
      <w:szCs w:val="22"/>
    </w:rPr>
  </w:style>
  <w:style w:type="character" w:customStyle="1" w:styleId="wxtextunderline">
    <w:name w:val="wx_text_underline"/>
    <w:basedOn w:val="a0"/>
    <w:qFormat/>
  </w:style>
  <w:style w:type="character" w:customStyle="1" w:styleId="wxsearchkeywordwrap">
    <w:name w:val="wx_search_keyword_wrap"/>
    <w:basedOn w:val="a0"/>
    <w:qFormat/>
  </w:style>
  <w:style w:type="character" w:customStyle="1" w:styleId="lb">
    <w:name w:val="lb"/>
    <w:basedOn w:val="a0"/>
    <w:qFormat/>
  </w:style>
  <w:style w:type="character" w:customStyle="1" w:styleId="3Char">
    <w:name w:val="标题 3 Char"/>
    <w:basedOn w:val="a0"/>
    <w:link w:val="3"/>
    <w:uiPriority w:val="9"/>
    <w:qFormat/>
    <w:rPr>
      <w:rFonts w:ascii="Times New Roman" w:eastAsia="宋体" w:hAnsi="Times New Roman" w:cs="Times New Roman"/>
      <w:b/>
      <w:bCs/>
      <w:kern w:val="2"/>
      <w:sz w:val="32"/>
      <w:szCs w:val="32"/>
    </w:rPr>
  </w:style>
  <w:style w:type="paragraph" w:styleId="ae">
    <w:name w:val="Revision"/>
    <w:hidden/>
    <w:uiPriority w:val="99"/>
    <w:unhideWhenUsed/>
    <w:rsid w:val="000A23D8"/>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143a4b24-bb9b-4437-b797-977a93535f7b</errorID>
      <errorWord>科技进步一等奖</errorWord>
      <group>L1_Political</group>
      <groupName>政治性问题</groupName>
      <ability>L2_Unpolitical</ability>
      <abilityName>政治敏感错误</abilityName>
      <candidateList>
        <item>科技进步奖一等奖</item>
      </candidateList>
      <explain/>
      <paraID> 61B8E11</paraID>
      <start>46</start>
      <end>53</end>
      <status>ignored</status>
      <modifiedWord/>
      <trackRevisions>false</trackRevisions>
    </reviewItem>
    <reviewItem>
      <errorID>f2ffea2c-f3d4-4510-8db2-68869b537838</errorID>
      <errorWord>科技进步一等奖</errorWord>
      <group>L1_Political</group>
      <groupName>政治性问题</groupName>
      <ability>L2_Unpolitical</ability>
      <abilityName>政治敏感错误</abilityName>
      <candidateList>
        <item>科技进步奖一等奖</item>
      </candidateList>
      <explain/>
      <paraID> 61B8E11</paraID>
      <start>57</start>
      <end>64</end>
      <status>ignored</status>
      <modifiedWord/>
      <trackRevisions>false</trackRevisions>
    </reviewItem>
    <reviewItem>
      <errorID>3099a49c-b524-42e0-a958-ff4ac850916b</errorID>
      <errorWord>:</errorWord>
      <group>L1_Punc</group>
      <groupName>标点问题</groupName>
      <ability>L2_Punc_CN</ability>
      <abilityName>标点符号问题</abilityName>
      <candidateList>
        <item>：</item>
      </candidateList>
      <explain/>
      <paraID>2506AF07</paraID>
      <start>1</start>
      <end>2</end>
      <status>ignored</status>
      <modifiedWord/>
      <trackRevisions>false</trackRevisions>
    </reviewItem>
    <reviewItem>
      <errorID>10b95d33-4871-45d7-8ad1-086176e23136</errorID>
      <errorWord>:</errorWord>
      <group>L1_Punc</group>
      <groupName>标点问题</groupName>
      <ability>L2_Punc_CN</ability>
      <abilityName>标点符号问题</abilityName>
      <candidateList>
        <item>：</item>
      </candidateList>
      <explain/>
      <paraID>6378B29C</paraID>
      <start>1</start>
      <end>2</end>
      <status>ignored</status>
      <modifiedWord/>
      <trackRevisions>false</trackRevisions>
    </reviewItem>
    <reviewItem>
      <errorID>122c0421-0de2-4521-9877-052028eb34bc</errorID>
      <errorWord>:</errorWord>
      <group>L1_Punc</group>
      <groupName>标点问题</groupName>
      <ability>L2_Punc_CN</ability>
      <abilityName>标点符号问题</abilityName>
      <candidateList>
        <item>：</item>
      </candidateList>
      <explain/>
      <paraID>71F436D2</paraID>
      <start>1</start>
      <end>2</end>
      <status>ignored</status>
      <modifiedWord/>
      <trackRevisions>false</trackRevisions>
    </reviewItem>
    <reviewItem>
      <errorID>cd5a9d27-5e58-46ef-94ed-b70ee3f6dfa4</errorID>
      <errorWord>:</errorWord>
      <group>L1_Format</group>
      <groupName>格式问题</groupName>
      <ability>L2_HalfPunc_CN</ability>
      <abilityName>全半角问题</abilityName>
      <candidateList>
        <item>：</item>
      </candidateList>
      <explain>文本全半角错误。</explain>
      <paraID>4FD206D9</paraID>
      <start>1</start>
      <end>2</end>
      <status>ignored</status>
      <modifiedWord/>
      <trackRevisions>false</trackRevisions>
    </reviewItem>
    <reviewItem>
      <errorID>caedd6d4-0a80-4151-ad4b-e400e1a542ce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4A0894E0</paraID>
      <start>66</start>
      <end>67</end>
      <status>ignored</status>
      <modifiedWord/>
      <trackRevisions>false</trackRevisions>
    </reviewItem>
    <reviewItem>
      <errorID>781fff3b-7a6a-4c18-b824-6a11f388fa55</errorID>
      <errorWord>:</errorWord>
      <group>L1_Format</group>
      <groupName>格式问题</groupName>
      <ability>L2_HalfPunc_CN</ability>
      <abilityName>全半角问题</abilityName>
      <candidateList>
        <item>：</item>
      </candidateList>
      <explain>文本全半角错误。</explain>
      <paraID>41B73870</paraID>
      <start>1</start>
      <end>2</end>
      <status>ignored</status>
      <modifiedWord/>
      <trackRevisions>false</trackRevisions>
    </reviewItem>
    <reviewItem>
      <errorID>71446c1b-4247-4f58-bfb1-99af9c47cc48</errorID>
      <errorWord>:</errorWord>
      <group>L1_Format</group>
      <groupName>格式问题</groupName>
      <ability>L2_HalfPunc_CN</ability>
      <abilityName>全半角问题</abilityName>
      <candidateList>
        <item>：</item>
      </candidateList>
      <explain>文本全半角错误。</explain>
      <paraID>45D8608F</paraID>
      <start>1</start>
      <end>2</end>
      <status>ignored</status>
      <modifiedWord/>
      <trackRevisions>false</trackRevisions>
    </reviewItem>
    <reviewItem>
      <errorID>e5c1e672-d9a3-4688-bec8-7655ac5fd0ba</errorID>
      <errorWord>:</errorWord>
      <group>L1_Format</group>
      <groupName>格式问题</groupName>
      <ability>L2_HalfPunc_CN</ability>
      <abilityName>全半角问题</abilityName>
      <candidateList>
        <item>：</item>
      </candidateList>
      <explain>文本全半角错误。</explain>
      <paraID>6AB8DAB1</paraID>
      <start>1</start>
      <end>2</end>
      <status>ignored</status>
      <modifiedWord/>
      <trackRevisions>false</trackRevisions>
    </reviewItem>
    <reviewItem>
      <errorID>8dd5cb11-8cbf-4158-bd22-960354acb8a6</errorID>
      <errorWord>:</errorWord>
      <group>L1_Punc</group>
      <groupName>标点问题</groupName>
      <ability>L2_Punc_CN</ability>
      <abilityName>标点符号问题</abilityName>
      <candidateList>
        <item>：</item>
      </candidateList>
      <explain/>
      <paraID>40E431E8</paraID>
      <start>1</start>
      <end>2</end>
      <status>ignored</status>
      <modifiedWord/>
      <trackRevisions>false</trackRevisions>
    </reviewItem>
    <reviewItem>
      <errorID>394cee6d-3354-4a83-9f76-d39347c8d586</errorID>
      <errorWord>:</errorWord>
      <group>L1_Format</group>
      <groupName>格式问题</groupName>
      <ability>L2_HalfPunc_CN</ability>
      <abilityName>全半角问题</abilityName>
      <candidateList>
        <item>：</item>
      </candidateList>
      <explain>文本全半角错误。</explain>
      <paraID>193F017E</paraID>
      <start>1</start>
      <end>2</end>
      <status>ignored</status>
      <modifiedWord/>
      <trackRevisions>false</trackRevisions>
    </reviewItem>
    <reviewItem>
      <errorID>c57310a6-94c6-446d-8485-6a96af7ca70e</errorID>
      <errorWord>:</errorWord>
      <group>L1_Punc</group>
      <groupName>标点问题</groupName>
      <ability>L2_Punc_CN</ability>
      <abilityName>标点符号问题</abilityName>
      <candidateList>
        <item>：</item>
      </candidateList>
      <explain/>
      <paraID>7B9D480D</paraID>
      <start>1</start>
      <end>2</end>
      <status>ignored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288E4B-CBC3-4924-A41E-D45F3B449D55}">
  <ds:schemaRefs>
    <ds:schemaRef ds:uri="http://schemas.wps.cn/vas-ai-hub/contract-review"/>
  </ds:schemaRefs>
</ds:datastoreItem>
</file>

<file path=customXml/itemProps2.xml><?xml version="1.0" encoding="utf-8"?>
<ds:datastoreItem xmlns:ds="http://schemas.openxmlformats.org/officeDocument/2006/customXml" ds:itemID="{B2F62DCC-24A3-4C0F-B61C-BBAF28B81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TotalTime>
  <Pages>7</Pages>
  <Words>899</Words>
  <Characters>5129</Characters>
  <Application>Microsoft Office Word</Application>
  <DocSecurity>0</DocSecurity>
  <Lines>42</Lines>
  <Paragraphs>12</Paragraphs>
  <ScaleCrop>false</ScaleCrop>
  <Company/>
  <LinksUpToDate>false</LinksUpToDate>
  <CharactersWithSpaces>6016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 ch</dc:creator>
  <cp:lastModifiedBy>余萱</cp:lastModifiedBy>
  <cp:revision>169</cp:revision>
  <cp:lastPrinted>2026-08-18T05:59:00Z</cp:lastPrinted>
  <dcterms:created xsi:type="dcterms:W3CDTF">2025-11-25T06:30:00Z</dcterms:created>
  <dcterms:modified xsi:type="dcterms:W3CDTF">2026-10-12T08:21:00Z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eyJoZGlkIjoiNmIxYmU0MjljNTFhMzYxYWQ2NjA4Njc0NmZkNzcwMDAiLCJ1c2VySWQiOiIzNjE5MDk5MTQifQ==</vt:lpwstr>
  </property>
  <property fmtid="{D5CDD505-2E9C-101B-9397-08002B2CF9AE}" pid="3" name="KSOProductBuildVer">
    <vt:lpwstr>2052-12.1.0.26895</vt:lpwstr>
  </property>
  <property fmtid="{D5CDD505-2E9C-101B-9397-08002B2CF9AE}" pid="4" name="ICV">
    <vt:lpwstr>E067C2D67CF0433F8A93C6E9B874C4FA_12</vt:lpwstr>
  </property>
</Properties>
</file>