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659F1C">
      <w:pPr>
        <w:pStyle w:val="4"/>
        <w:ind w:firstLine="482"/>
        <w:rPr>
          <w:rFonts w:ascii="宋体" w:hAnsi="宋体" w:eastAsia="宋体"/>
          <w:b/>
          <w:bCs/>
          <w:kern w:val="2"/>
          <w:sz w:val="24"/>
          <w:szCs w:val="24"/>
        </w:rPr>
      </w:pPr>
      <w:r>
        <w:rPr>
          <w:rFonts w:hint="eastAsia" w:ascii="宋体" w:hAnsi="宋体" w:eastAsia="宋体"/>
          <w:b/>
          <w:bCs/>
          <w:kern w:val="2"/>
          <w:sz w:val="24"/>
          <w:szCs w:val="24"/>
        </w:rPr>
        <w:t xml:space="preserve">证券代码：688722 </w:t>
      </w:r>
      <w:r>
        <w:rPr>
          <w:rFonts w:ascii="宋体" w:hAnsi="宋体" w:eastAsia="宋体"/>
          <w:b/>
          <w:bCs/>
          <w:kern w:val="2"/>
          <w:sz w:val="24"/>
          <w:szCs w:val="24"/>
        </w:rPr>
        <w:tab/>
      </w:r>
      <w:r>
        <w:rPr>
          <w:rFonts w:ascii="宋体" w:hAnsi="宋体" w:eastAsia="宋体"/>
          <w:b/>
          <w:bCs/>
          <w:kern w:val="2"/>
          <w:sz w:val="24"/>
          <w:szCs w:val="24"/>
        </w:rPr>
        <w:tab/>
      </w:r>
      <w:r>
        <w:rPr>
          <w:rFonts w:ascii="宋体" w:hAnsi="宋体" w:eastAsia="宋体"/>
          <w:b/>
          <w:bCs/>
          <w:kern w:val="2"/>
          <w:sz w:val="24"/>
          <w:szCs w:val="24"/>
        </w:rPr>
        <w:tab/>
      </w:r>
      <w:r>
        <w:rPr>
          <w:rFonts w:ascii="宋体" w:hAnsi="宋体" w:eastAsia="宋体"/>
          <w:b/>
          <w:bCs/>
          <w:kern w:val="2"/>
          <w:sz w:val="24"/>
          <w:szCs w:val="24"/>
        </w:rPr>
        <w:tab/>
      </w:r>
      <w:r>
        <w:rPr>
          <w:rFonts w:ascii="宋体" w:hAnsi="宋体" w:eastAsia="宋体"/>
          <w:b/>
          <w:bCs/>
          <w:kern w:val="2"/>
          <w:sz w:val="24"/>
          <w:szCs w:val="24"/>
        </w:rPr>
        <w:tab/>
      </w:r>
      <w:r>
        <w:rPr>
          <w:rFonts w:ascii="宋体" w:hAnsi="宋体" w:eastAsia="宋体"/>
          <w:b/>
          <w:bCs/>
          <w:kern w:val="2"/>
          <w:sz w:val="24"/>
          <w:szCs w:val="24"/>
        </w:rPr>
        <w:tab/>
      </w:r>
      <w:r>
        <w:rPr>
          <w:rFonts w:ascii="宋体" w:hAnsi="宋体" w:eastAsia="宋体"/>
          <w:b/>
          <w:bCs/>
          <w:kern w:val="2"/>
          <w:sz w:val="24"/>
          <w:szCs w:val="24"/>
        </w:rPr>
        <w:tab/>
      </w:r>
      <w:r>
        <w:rPr>
          <w:rFonts w:ascii="宋体" w:hAnsi="宋体" w:eastAsia="宋体"/>
          <w:b/>
          <w:bCs/>
          <w:kern w:val="2"/>
          <w:sz w:val="24"/>
          <w:szCs w:val="24"/>
        </w:rPr>
        <w:tab/>
      </w:r>
      <w:r>
        <w:rPr>
          <w:rFonts w:hint="eastAsia" w:ascii="宋体" w:hAnsi="宋体" w:eastAsia="宋体"/>
          <w:b/>
          <w:bCs/>
          <w:kern w:val="2"/>
          <w:sz w:val="24"/>
          <w:szCs w:val="24"/>
        </w:rPr>
        <w:t>股票简称：同益中</w:t>
      </w:r>
    </w:p>
    <w:p w14:paraId="0CB85064">
      <w:pPr>
        <w:keepNext/>
        <w:keepLines/>
        <w:widowControl w:val="0"/>
        <w:tabs>
          <w:tab w:val="left" w:pos="1043"/>
        </w:tabs>
        <w:spacing w:before="156" w:beforeLines="50" w:after="156" w:afterLines="50" w:line="360" w:lineRule="auto"/>
        <w:ind w:firstLine="0" w:firstLineChars="0"/>
        <w:jc w:val="center"/>
        <w:outlineLvl w:val="1"/>
        <w:rPr>
          <w:rFonts w:ascii="宋体" w:hAnsi="宋体" w:eastAsia="宋体"/>
          <w:b/>
          <w:bCs/>
          <w:kern w:val="2"/>
        </w:rPr>
      </w:pPr>
      <w:r>
        <w:rPr>
          <w:rFonts w:hint="eastAsia" w:ascii="宋体" w:hAnsi="宋体" w:eastAsia="宋体"/>
          <w:b/>
          <w:bCs/>
          <w:kern w:val="2"/>
        </w:rPr>
        <w:t>投资者关系活动记录表</w:t>
      </w:r>
    </w:p>
    <w:p w14:paraId="14C4499D">
      <w:pPr>
        <w:keepNext/>
        <w:keepLines/>
        <w:widowControl w:val="0"/>
        <w:spacing w:before="260" w:after="260" w:line="360" w:lineRule="auto"/>
        <w:ind w:firstLine="482" w:firstLineChars="0"/>
        <w:jc w:val="right"/>
        <w:outlineLvl w:val="1"/>
        <w:rPr>
          <w:rFonts w:hint="default" w:ascii="宋体" w:hAnsi="宋体" w:eastAsia="宋体"/>
          <w:b/>
          <w:bCs/>
          <w:kern w:val="2"/>
          <w:sz w:val="24"/>
          <w:szCs w:val="24"/>
          <w:lang w:val="en-US" w:eastAsia="zh-CN"/>
        </w:rPr>
      </w:pPr>
      <w:r>
        <w:rPr>
          <w:rFonts w:hint="eastAsia" w:ascii="宋体" w:hAnsi="宋体" w:eastAsia="宋体"/>
          <w:b/>
          <w:bCs/>
          <w:kern w:val="2"/>
          <w:sz w:val="24"/>
          <w:szCs w:val="24"/>
        </w:rPr>
        <w:t>编号：202</w:t>
      </w:r>
      <w:r>
        <w:rPr>
          <w:rFonts w:hint="eastAsia" w:ascii="宋体" w:hAnsi="宋体" w:eastAsia="宋体"/>
          <w:b/>
          <w:bCs/>
          <w:kern w:val="2"/>
          <w:sz w:val="24"/>
          <w:szCs w:val="24"/>
          <w:lang w:val="en-US" w:eastAsia="zh-CN"/>
        </w:rPr>
        <w:t>6</w:t>
      </w:r>
      <w:r>
        <w:rPr>
          <w:rFonts w:hint="eastAsia" w:ascii="宋体" w:hAnsi="宋体" w:eastAsia="宋体"/>
          <w:b/>
          <w:bCs/>
          <w:kern w:val="2"/>
          <w:sz w:val="24"/>
          <w:szCs w:val="24"/>
        </w:rPr>
        <w:t>-0</w:t>
      </w:r>
      <w:r>
        <w:rPr>
          <w:rFonts w:hint="eastAsia" w:ascii="宋体" w:hAnsi="宋体" w:eastAsia="宋体"/>
          <w:b/>
          <w:bCs/>
          <w:kern w:val="2"/>
          <w:sz w:val="24"/>
          <w:szCs w:val="24"/>
          <w:lang w:val="en-US" w:eastAsia="zh-CN"/>
        </w:rPr>
        <w:t>0</w:t>
      </w:r>
      <w:r>
        <w:rPr>
          <w:rFonts w:hint="default" w:ascii="宋体" w:hAnsi="宋体" w:eastAsia="宋体"/>
          <w:b/>
          <w:bCs/>
          <w:kern w:val="2"/>
          <w:sz w:val="24"/>
          <w:szCs w:val="24"/>
          <w:lang w:val="en-US" w:eastAsia="zh-CN"/>
        </w:rPr>
        <w:t>5</w:t>
      </w:r>
    </w:p>
    <w:tbl>
      <w:tblPr>
        <w:tblStyle w:val="11"/>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0"/>
        <w:gridCol w:w="6764"/>
      </w:tblGrid>
      <w:tr w14:paraId="3CB5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vAlign w:val="center"/>
          </w:tcPr>
          <w:p w14:paraId="1EE064CF">
            <w:pPr>
              <w:widowControl w:val="0"/>
              <w:spacing w:line="360" w:lineRule="auto"/>
              <w:ind w:firstLine="0" w:firstLineChars="0"/>
              <w:jc w:val="center"/>
              <w:rPr>
                <w:rFonts w:ascii="宋体" w:hAnsi="宋体" w:eastAsia="宋体"/>
                <w:b/>
                <w:bCs/>
                <w:iCs/>
                <w:kern w:val="2"/>
                <w:sz w:val="24"/>
                <w:szCs w:val="24"/>
              </w:rPr>
            </w:pPr>
            <w:r>
              <w:rPr>
                <w:rFonts w:hint="eastAsia" w:ascii="宋体" w:hAnsi="宋体" w:eastAsia="宋体"/>
                <w:b/>
                <w:bCs/>
                <w:iCs/>
                <w:kern w:val="2"/>
                <w:sz w:val="24"/>
                <w:szCs w:val="24"/>
              </w:rPr>
              <w:t>投资者关系活动类别</w:t>
            </w:r>
          </w:p>
          <w:p w14:paraId="370F904E">
            <w:pPr>
              <w:widowControl w:val="0"/>
              <w:spacing w:line="360" w:lineRule="auto"/>
              <w:ind w:firstLine="482" w:firstLineChars="0"/>
              <w:jc w:val="center"/>
              <w:rPr>
                <w:rFonts w:ascii="宋体" w:hAnsi="宋体" w:eastAsia="宋体"/>
                <w:b/>
                <w:bCs/>
                <w:iCs/>
                <w:kern w:val="2"/>
                <w:sz w:val="24"/>
                <w:szCs w:val="24"/>
              </w:rPr>
            </w:pPr>
          </w:p>
        </w:tc>
        <w:tc>
          <w:tcPr>
            <w:tcW w:w="6764" w:type="dxa"/>
          </w:tcPr>
          <w:p w14:paraId="741881D5">
            <w:pPr>
              <w:widowControl w:val="0"/>
              <w:spacing w:line="360" w:lineRule="auto"/>
              <w:ind w:firstLine="480" w:firstLineChars="0"/>
              <w:jc w:val="both"/>
              <w:rPr>
                <w:rFonts w:ascii="宋体" w:hAnsi="宋体" w:eastAsia="宋体"/>
                <w:bCs/>
                <w:iCs/>
                <w:kern w:val="2"/>
                <w:sz w:val="24"/>
                <w:szCs w:val="24"/>
              </w:rPr>
            </w:pPr>
            <w:r>
              <w:rPr>
                <w:rFonts w:hint="eastAsia" w:ascii="宋体" w:hAnsi="宋体" w:eastAsia="宋体"/>
                <w:bCs/>
                <w:iCs/>
                <w:kern w:val="2"/>
                <w:sz w:val="24"/>
                <w:szCs w:val="24"/>
              </w:rPr>
              <w:t>□</w:t>
            </w:r>
            <w:r>
              <w:rPr>
                <w:rFonts w:hint="eastAsia" w:ascii="宋体" w:hAnsi="宋体" w:eastAsia="宋体"/>
                <w:kern w:val="2"/>
                <w:sz w:val="24"/>
                <w:szCs w:val="24"/>
              </w:rPr>
              <w:t xml:space="preserve">特定对象调研        </w:t>
            </w:r>
            <w:r>
              <w:rPr>
                <w:rFonts w:hint="eastAsia" w:ascii="宋体" w:hAnsi="宋体" w:eastAsia="宋体"/>
                <w:bCs/>
                <w:iCs/>
                <w:kern w:val="2"/>
                <w:sz w:val="24"/>
                <w:szCs w:val="24"/>
              </w:rPr>
              <w:t>□</w:t>
            </w:r>
            <w:r>
              <w:rPr>
                <w:rFonts w:hint="eastAsia" w:ascii="宋体" w:hAnsi="宋体" w:eastAsia="宋体"/>
                <w:kern w:val="2"/>
                <w:sz w:val="24"/>
                <w:szCs w:val="24"/>
              </w:rPr>
              <w:t>分析师会议</w:t>
            </w:r>
          </w:p>
          <w:p w14:paraId="01FE7370">
            <w:pPr>
              <w:widowControl w:val="0"/>
              <w:spacing w:line="360" w:lineRule="auto"/>
              <w:ind w:firstLine="480" w:firstLineChars="0"/>
              <w:jc w:val="both"/>
              <w:rPr>
                <w:rFonts w:ascii="宋体" w:hAnsi="宋体" w:eastAsia="宋体"/>
                <w:bCs/>
                <w:iCs/>
                <w:kern w:val="2"/>
                <w:sz w:val="24"/>
                <w:szCs w:val="24"/>
              </w:rPr>
            </w:pPr>
            <w:r>
              <w:rPr>
                <w:rFonts w:hint="eastAsia" w:ascii="宋体" w:hAnsi="宋体" w:eastAsia="宋体"/>
                <w:bCs/>
                <w:iCs/>
                <w:kern w:val="2"/>
                <w:sz w:val="24"/>
                <w:szCs w:val="24"/>
              </w:rPr>
              <w:t>□</w:t>
            </w:r>
            <w:r>
              <w:rPr>
                <w:rFonts w:hint="eastAsia" w:ascii="宋体" w:hAnsi="宋体" w:eastAsia="宋体"/>
                <w:kern w:val="2"/>
                <w:sz w:val="24"/>
                <w:szCs w:val="24"/>
              </w:rPr>
              <w:t xml:space="preserve">媒体采访            </w:t>
            </w:r>
            <w:r>
              <w:rPr>
                <w:rFonts w:hint="eastAsia" w:ascii="宋体" w:hAnsi="宋体" w:eastAsia="宋体"/>
                <w:bCs/>
                <w:iCs/>
                <w:kern w:val="2"/>
                <w:sz w:val="24"/>
                <w:szCs w:val="24"/>
                <w:lang w:eastAsia="zh-CN"/>
              </w:rPr>
              <w:t>☑</w:t>
            </w:r>
            <w:r>
              <w:rPr>
                <w:rFonts w:hint="eastAsia" w:ascii="宋体" w:hAnsi="宋体" w:eastAsia="宋体"/>
                <w:kern w:val="2"/>
                <w:sz w:val="24"/>
                <w:szCs w:val="24"/>
              </w:rPr>
              <w:t>业绩说明会</w:t>
            </w:r>
          </w:p>
          <w:p w14:paraId="47017A2F">
            <w:pPr>
              <w:widowControl w:val="0"/>
              <w:spacing w:line="360" w:lineRule="auto"/>
              <w:ind w:firstLine="480" w:firstLineChars="0"/>
              <w:jc w:val="both"/>
              <w:rPr>
                <w:rFonts w:ascii="宋体" w:hAnsi="宋体" w:eastAsia="宋体"/>
                <w:bCs/>
                <w:iCs/>
                <w:kern w:val="2"/>
                <w:sz w:val="24"/>
                <w:szCs w:val="24"/>
              </w:rPr>
            </w:pPr>
            <w:r>
              <w:rPr>
                <w:rFonts w:hint="eastAsia" w:ascii="宋体" w:hAnsi="宋体" w:eastAsia="宋体"/>
                <w:bCs/>
                <w:iCs/>
                <w:kern w:val="2"/>
                <w:sz w:val="24"/>
                <w:szCs w:val="24"/>
              </w:rPr>
              <w:t>□</w:t>
            </w:r>
            <w:r>
              <w:rPr>
                <w:rFonts w:hint="eastAsia" w:ascii="宋体" w:hAnsi="宋体" w:eastAsia="宋体"/>
                <w:kern w:val="2"/>
                <w:sz w:val="24"/>
                <w:szCs w:val="24"/>
              </w:rPr>
              <w:t xml:space="preserve">新闻发布会          </w:t>
            </w:r>
            <w:r>
              <w:rPr>
                <w:rFonts w:hint="eastAsia" w:ascii="宋体" w:hAnsi="宋体" w:eastAsia="宋体"/>
                <w:bCs/>
                <w:iCs/>
                <w:kern w:val="2"/>
                <w:sz w:val="24"/>
                <w:szCs w:val="24"/>
              </w:rPr>
              <w:t>□</w:t>
            </w:r>
            <w:r>
              <w:rPr>
                <w:rFonts w:hint="eastAsia" w:ascii="宋体" w:hAnsi="宋体" w:eastAsia="宋体"/>
                <w:kern w:val="2"/>
                <w:sz w:val="24"/>
                <w:szCs w:val="24"/>
              </w:rPr>
              <w:t>路演活动</w:t>
            </w:r>
          </w:p>
          <w:p w14:paraId="3E3E7183">
            <w:pPr>
              <w:widowControl w:val="0"/>
              <w:tabs>
                <w:tab w:val="left" w:pos="2690"/>
                <w:tab w:val="center" w:pos="3199"/>
              </w:tabs>
              <w:spacing w:line="360" w:lineRule="auto"/>
              <w:ind w:firstLine="480" w:firstLineChars="0"/>
              <w:jc w:val="both"/>
              <w:rPr>
                <w:rFonts w:ascii="宋体" w:hAnsi="宋体" w:eastAsia="宋体"/>
                <w:bCs/>
                <w:iCs/>
                <w:kern w:val="2"/>
                <w:sz w:val="24"/>
                <w:szCs w:val="24"/>
              </w:rPr>
            </w:pPr>
            <w:r>
              <w:rPr>
                <w:rFonts w:hint="eastAsia" w:ascii="宋体" w:hAnsi="宋体" w:eastAsia="宋体"/>
                <w:bCs/>
                <w:iCs/>
                <w:kern w:val="2"/>
                <w:sz w:val="24"/>
                <w:szCs w:val="24"/>
              </w:rPr>
              <w:t>□</w:t>
            </w:r>
            <w:r>
              <w:rPr>
                <w:rFonts w:hint="eastAsia" w:ascii="宋体" w:hAnsi="宋体" w:eastAsia="宋体"/>
                <w:kern w:val="2"/>
                <w:sz w:val="24"/>
                <w:szCs w:val="24"/>
              </w:rPr>
              <w:t xml:space="preserve">现场参观            </w:t>
            </w:r>
            <w:r>
              <w:rPr>
                <w:rFonts w:hint="eastAsia" w:ascii="宋体" w:hAnsi="宋体" w:eastAsia="宋体"/>
                <w:bCs/>
                <w:iCs/>
                <w:kern w:val="2"/>
                <w:sz w:val="24"/>
                <w:szCs w:val="24"/>
              </w:rPr>
              <w:t>□</w:t>
            </w:r>
            <w:r>
              <w:rPr>
                <w:rFonts w:hint="eastAsia" w:ascii="宋体" w:hAnsi="宋体" w:eastAsia="宋体"/>
                <w:kern w:val="2"/>
                <w:sz w:val="24"/>
                <w:szCs w:val="24"/>
              </w:rPr>
              <w:t>电话会议</w:t>
            </w:r>
          </w:p>
          <w:p w14:paraId="39179881">
            <w:pPr>
              <w:widowControl w:val="0"/>
              <w:tabs>
                <w:tab w:val="center" w:pos="3199"/>
              </w:tabs>
              <w:spacing w:line="360" w:lineRule="auto"/>
              <w:ind w:firstLine="480" w:firstLineChars="0"/>
              <w:jc w:val="both"/>
              <w:rPr>
                <w:rFonts w:ascii="宋体" w:hAnsi="宋体" w:eastAsia="宋体"/>
                <w:kern w:val="2"/>
                <w:sz w:val="24"/>
                <w:szCs w:val="24"/>
                <w:u w:val="single"/>
              </w:rPr>
            </w:pPr>
            <w:r>
              <w:rPr>
                <w:rFonts w:hint="eastAsia" w:ascii="宋体" w:hAnsi="宋体" w:eastAsia="宋体"/>
                <w:bCs/>
                <w:iCs/>
                <w:kern w:val="2"/>
                <w:sz w:val="24"/>
                <w:szCs w:val="24"/>
              </w:rPr>
              <w:t>□</w:t>
            </w:r>
            <w:r>
              <w:rPr>
                <w:rFonts w:hint="eastAsia" w:ascii="宋体" w:hAnsi="宋体" w:eastAsia="宋体"/>
                <w:kern w:val="2"/>
                <w:sz w:val="24"/>
                <w:szCs w:val="24"/>
              </w:rPr>
              <w:t>其他 （</w:t>
            </w:r>
            <w:r>
              <w:rPr>
                <w:rFonts w:hint="eastAsia" w:ascii="宋体" w:hAnsi="宋体" w:eastAsia="宋体"/>
                <w:kern w:val="2"/>
                <w:sz w:val="24"/>
                <w:szCs w:val="24"/>
                <w:u w:val="single"/>
              </w:rPr>
              <w:t>请文字说明其他活动内容）</w:t>
            </w:r>
          </w:p>
        </w:tc>
      </w:tr>
      <w:tr w14:paraId="24F3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vAlign w:val="center"/>
          </w:tcPr>
          <w:p w14:paraId="3D83C55A">
            <w:pPr>
              <w:widowControl w:val="0"/>
              <w:spacing w:line="360" w:lineRule="auto"/>
              <w:ind w:firstLine="0" w:firstLineChars="0"/>
              <w:jc w:val="center"/>
              <w:rPr>
                <w:rFonts w:ascii="宋体" w:hAnsi="宋体" w:eastAsia="宋体"/>
                <w:b/>
                <w:bCs/>
                <w:iCs/>
                <w:kern w:val="2"/>
                <w:sz w:val="24"/>
                <w:szCs w:val="24"/>
              </w:rPr>
            </w:pPr>
            <w:r>
              <w:rPr>
                <w:rFonts w:hint="eastAsia" w:ascii="宋体" w:hAnsi="宋体" w:eastAsia="宋体"/>
                <w:b/>
                <w:bCs/>
                <w:iCs/>
                <w:kern w:val="2"/>
                <w:sz w:val="24"/>
                <w:szCs w:val="24"/>
              </w:rPr>
              <w:t>参与单位名称</w:t>
            </w:r>
          </w:p>
        </w:tc>
        <w:tc>
          <w:tcPr>
            <w:tcW w:w="6764" w:type="dxa"/>
            <w:vAlign w:val="center"/>
          </w:tcPr>
          <w:p w14:paraId="2F17CAA4">
            <w:pPr>
              <w:widowControl w:val="0"/>
              <w:tabs>
                <w:tab w:val="center" w:pos="2798"/>
              </w:tabs>
              <w:spacing w:line="360" w:lineRule="auto"/>
              <w:ind w:firstLine="0" w:firstLineChars="0"/>
              <w:jc w:val="both"/>
              <w:rPr>
                <w:rFonts w:hint="default" w:ascii="宋体" w:hAnsi="宋体" w:eastAsia="宋体"/>
                <w:bCs/>
                <w:iCs/>
                <w:kern w:val="2"/>
                <w:sz w:val="24"/>
                <w:szCs w:val="24"/>
                <w:lang w:val="en-US" w:eastAsia="zh-CN"/>
              </w:rPr>
            </w:pPr>
            <w:r>
              <w:rPr>
                <w:rFonts w:hint="eastAsia" w:ascii="宋体" w:hAnsi="宋体" w:eastAsia="宋体"/>
                <w:bCs/>
                <w:iCs/>
                <w:kern w:val="2"/>
                <w:sz w:val="24"/>
                <w:szCs w:val="24"/>
                <w:lang w:val="en-US" w:eastAsia="zh-CN"/>
              </w:rPr>
              <w:t>全体投资者</w:t>
            </w:r>
          </w:p>
        </w:tc>
      </w:tr>
      <w:tr w14:paraId="06AC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vAlign w:val="center"/>
          </w:tcPr>
          <w:p w14:paraId="25E0FB27">
            <w:pPr>
              <w:widowControl w:val="0"/>
              <w:spacing w:line="360" w:lineRule="auto"/>
              <w:ind w:firstLine="0" w:firstLineChars="0"/>
              <w:jc w:val="center"/>
              <w:rPr>
                <w:rFonts w:ascii="宋体" w:hAnsi="宋体" w:eastAsia="宋体"/>
                <w:b/>
                <w:bCs/>
                <w:iCs/>
                <w:kern w:val="2"/>
                <w:sz w:val="24"/>
                <w:szCs w:val="24"/>
              </w:rPr>
            </w:pPr>
            <w:r>
              <w:rPr>
                <w:rFonts w:hint="eastAsia" w:ascii="宋体" w:hAnsi="宋体" w:eastAsia="宋体"/>
                <w:b/>
                <w:bCs/>
                <w:iCs/>
                <w:kern w:val="2"/>
                <w:sz w:val="24"/>
                <w:szCs w:val="24"/>
              </w:rPr>
              <w:t>会议时间</w:t>
            </w:r>
          </w:p>
        </w:tc>
        <w:tc>
          <w:tcPr>
            <w:tcW w:w="6764" w:type="dxa"/>
          </w:tcPr>
          <w:p w14:paraId="09D3673C">
            <w:pPr>
              <w:widowControl w:val="0"/>
              <w:spacing w:line="360" w:lineRule="auto"/>
              <w:ind w:firstLine="0" w:firstLineChars="0"/>
              <w:jc w:val="both"/>
              <w:rPr>
                <w:rFonts w:ascii="宋体" w:hAnsi="宋体" w:eastAsia="宋体"/>
                <w:bCs/>
                <w:iCs/>
                <w:kern w:val="2"/>
                <w:sz w:val="24"/>
                <w:szCs w:val="24"/>
              </w:rPr>
            </w:pPr>
            <w:r>
              <w:rPr>
                <w:rFonts w:hint="eastAsia" w:ascii="宋体" w:hAnsi="宋体" w:eastAsia="宋体"/>
                <w:bCs/>
                <w:iCs/>
                <w:kern w:val="2"/>
                <w:sz w:val="24"/>
                <w:szCs w:val="24"/>
              </w:rPr>
              <w:t>202</w:t>
            </w:r>
            <w:r>
              <w:rPr>
                <w:rFonts w:hint="eastAsia" w:ascii="宋体" w:hAnsi="宋体" w:eastAsia="宋体"/>
                <w:bCs/>
                <w:iCs/>
                <w:kern w:val="2"/>
                <w:sz w:val="24"/>
                <w:szCs w:val="24"/>
                <w:lang w:val="en-US" w:eastAsia="zh-CN"/>
              </w:rPr>
              <w:t>6</w:t>
            </w:r>
            <w:r>
              <w:rPr>
                <w:rFonts w:hint="eastAsia" w:ascii="宋体" w:hAnsi="宋体" w:eastAsia="宋体"/>
                <w:bCs/>
                <w:iCs/>
                <w:kern w:val="2"/>
                <w:sz w:val="24"/>
                <w:szCs w:val="24"/>
              </w:rPr>
              <w:t>年</w:t>
            </w:r>
            <w:r>
              <w:rPr>
                <w:rFonts w:hint="default" w:ascii="宋体" w:hAnsi="宋体" w:eastAsia="宋体"/>
                <w:bCs/>
                <w:iCs/>
                <w:kern w:val="2"/>
                <w:sz w:val="24"/>
                <w:szCs w:val="24"/>
                <w:lang w:val="en-US"/>
              </w:rPr>
              <w:t>10</w:t>
            </w:r>
            <w:r>
              <w:rPr>
                <w:rFonts w:hint="eastAsia" w:ascii="宋体" w:hAnsi="宋体" w:eastAsia="宋体"/>
                <w:bCs/>
                <w:iCs/>
                <w:kern w:val="2"/>
                <w:sz w:val="24"/>
                <w:szCs w:val="24"/>
              </w:rPr>
              <w:t>月</w:t>
            </w:r>
            <w:r>
              <w:rPr>
                <w:rFonts w:hint="default" w:ascii="宋体" w:hAnsi="宋体" w:eastAsia="宋体"/>
                <w:bCs/>
                <w:iCs/>
                <w:kern w:val="2"/>
                <w:sz w:val="24"/>
                <w:szCs w:val="24"/>
                <w:lang w:val="en-US"/>
              </w:rPr>
              <w:t>12</w:t>
            </w:r>
            <w:r>
              <w:rPr>
                <w:rFonts w:hint="eastAsia" w:ascii="宋体" w:hAnsi="宋体" w:eastAsia="宋体"/>
                <w:bCs/>
                <w:iCs/>
                <w:kern w:val="2"/>
                <w:sz w:val="24"/>
                <w:szCs w:val="24"/>
              </w:rPr>
              <w:t>日</w:t>
            </w:r>
            <w:r>
              <w:rPr>
                <w:rFonts w:hint="eastAsia" w:ascii="宋体" w:hAnsi="宋体" w:eastAsia="宋体"/>
                <w:bCs/>
                <w:iCs/>
                <w:kern w:val="2"/>
                <w:sz w:val="24"/>
                <w:szCs w:val="24"/>
                <w:lang w:val="en-US" w:eastAsia="zh-CN"/>
              </w:rPr>
              <w:t>15</w:t>
            </w:r>
            <w:r>
              <w:rPr>
                <w:rFonts w:hint="eastAsia" w:ascii="宋体" w:hAnsi="宋体" w:eastAsia="宋体"/>
                <w:bCs/>
                <w:iCs/>
                <w:kern w:val="2"/>
                <w:sz w:val="24"/>
                <w:szCs w:val="24"/>
              </w:rPr>
              <w:t>:</w:t>
            </w:r>
            <w:r>
              <w:rPr>
                <w:rFonts w:hint="eastAsia" w:ascii="宋体" w:hAnsi="宋体" w:eastAsia="宋体"/>
                <w:bCs/>
                <w:iCs/>
                <w:kern w:val="2"/>
                <w:sz w:val="24"/>
                <w:szCs w:val="24"/>
                <w:lang w:val="en-US" w:eastAsia="zh-CN"/>
              </w:rPr>
              <w:t>0</w:t>
            </w:r>
            <w:r>
              <w:rPr>
                <w:rFonts w:hint="eastAsia" w:ascii="宋体" w:hAnsi="宋体" w:eastAsia="宋体"/>
                <w:bCs/>
                <w:iCs/>
                <w:kern w:val="2"/>
                <w:sz w:val="24"/>
                <w:szCs w:val="24"/>
              </w:rPr>
              <w:t>0</w:t>
            </w:r>
            <w:r>
              <w:rPr>
                <w:rFonts w:ascii="宋体" w:hAnsi="宋体" w:eastAsia="宋体"/>
                <w:bCs/>
                <w:iCs/>
                <w:kern w:val="2"/>
                <w:sz w:val="24"/>
                <w:szCs w:val="24"/>
              </w:rPr>
              <w:t>-1</w:t>
            </w:r>
            <w:r>
              <w:rPr>
                <w:rFonts w:hint="eastAsia" w:ascii="宋体" w:hAnsi="宋体" w:eastAsia="宋体"/>
                <w:bCs/>
                <w:iCs/>
                <w:kern w:val="2"/>
                <w:sz w:val="24"/>
                <w:szCs w:val="24"/>
                <w:lang w:val="en-US" w:eastAsia="zh-CN"/>
              </w:rPr>
              <w:t>6</w:t>
            </w:r>
            <w:r>
              <w:rPr>
                <w:rFonts w:hint="eastAsia" w:ascii="宋体" w:hAnsi="宋体" w:eastAsia="宋体"/>
                <w:bCs/>
                <w:iCs/>
                <w:kern w:val="2"/>
                <w:sz w:val="24"/>
                <w:szCs w:val="24"/>
              </w:rPr>
              <w:t>:</w:t>
            </w:r>
            <w:r>
              <w:rPr>
                <w:rFonts w:hint="eastAsia" w:ascii="宋体" w:hAnsi="宋体" w:eastAsia="宋体"/>
                <w:bCs/>
                <w:iCs/>
                <w:kern w:val="2"/>
                <w:sz w:val="24"/>
                <w:szCs w:val="24"/>
                <w:lang w:val="en-US" w:eastAsia="zh-CN"/>
              </w:rPr>
              <w:t>0</w:t>
            </w:r>
            <w:r>
              <w:rPr>
                <w:rFonts w:hint="eastAsia" w:ascii="宋体" w:hAnsi="宋体" w:eastAsia="宋体"/>
                <w:bCs/>
                <w:iCs/>
                <w:kern w:val="2"/>
                <w:sz w:val="24"/>
                <w:szCs w:val="24"/>
              </w:rPr>
              <w:t>0</w:t>
            </w:r>
          </w:p>
        </w:tc>
      </w:tr>
      <w:tr w14:paraId="2FB2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850" w:type="dxa"/>
            <w:vAlign w:val="center"/>
          </w:tcPr>
          <w:p w14:paraId="0C8A2C05">
            <w:pPr>
              <w:widowControl w:val="0"/>
              <w:spacing w:line="360" w:lineRule="auto"/>
              <w:ind w:firstLine="0" w:firstLineChars="0"/>
              <w:jc w:val="center"/>
              <w:rPr>
                <w:rFonts w:ascii="宋体" w:hAnsi="宋体" w:eastAsia="宋体"/>
                <w:b/>
                <w:bCs/>
                <w:iCs/>
                <w:kern w:val="2"/>
                <w:sz w:val="24"/>
                <w:szCs w:val="24"/>
              </w:rPr>
            </w:pPr>
            <w:r>
              <w:rPr>
                <w:rFonts w:hint="eastAsia" w:ascii="宋体" w:hAnsi="宋体" w:eastAsia="宋体"/>
                <w:b/>
                <w:bCs/>
                <w:iCs/>
                <w:kern w:val="2"/>
                <w:sz w:val="24"/>
                <w:szCs w:val="24"/>
              </w:rPr>
              <w:t>会议地点</w:t>
            </w:r>
          </w:p>
        </w:tc>
        <w:tc>
          <w:tcPr>
            <w:tcW w:w="6764" w:type="dxa"/>
            <w:vAlign w:val="center"/>
          </w:tcPr>
          <w:p w14:paraId="406E9DA6">
            <w:pPr>
              <w:ind w:left="0" w:leftChars="0" w:firstLine="0" w:firstLineChars="0"/>
              <w:rPr>
                <w:rFonts w:hint="eastAsia" w:ascii="宋体" w:hAnsi="宋体" w:eastAsia="宋体"/>
                <w:bCs/>
                <w:iCs/>
                <w:kern w:val="2"/>
                <w:sz w:val="24"/>
                <w:szCs w:val="24"/>
              </w:rPr>
            </w:pPr>
            <w:r>
              <w:rPr>
                <w:rFonts w:hint="eastAsia" w:ascii="宋体" w:hAnsi="宋体" w:eastAsia="宋体"/>
                <w:bCs/>
                <w:iCs/>
                <w:kern w:val="2"/>
                <w:sz w:val="24"/>
                <w:szCs w:val="24"/>
              </w:rPr>
              <w:t xml:space="preserve">上证路演中心 </w:t>
            </w:r>
            <w:r>
              <w:rPr>
                <w:rFonts w:hint="eastAsia" w:ascii="宋体" w:hAnsi="宋体" w:eastAsia="宋体"/>
                <w:bCs/>
                <w:iCs/>
                <w:kern w:val="2"/>
                <w:sz w:val="24"/>
                <w:szCs w:val="24"/>
              </w:rPr>
              <w:fldChar w:fldCharType="begin"/>
            </w:r>
            <w:r>
              <w:rPr>
                <w:rFonts w:hint="eastAsia" w:ascii="宋体" w:hAnsi="宋体" w:eastAsia="宋体"/>
                <w:bCs/>
                <w:iCs/>
                <w:kern w:val="2"/>
                <w:sz w:val="24"/>
                <w:szCs w:val="24"/>
              </w:rPr>
              <w:instrText xml:space="preserve"> HYPERLINK "https://roadshow.sseinfo.com" </w:instrText>
            </w:r>
            <w:r>
              <w:rPr>
                <w:rFonts w:hint="eastAsia" w:ascii="宋体" w:hAnsi="宋体" w:eastAsia="宋体"/>
                <w:bCs/>
                <w:iCs/>
                <w:kern w:val="2"/>
                <w:sz w:val="24"/>
                <w:szCs w:val="24"/>
              </w:rPr>
              <w:fldChar w:fldCharType="separate"/>
            </w:r>
            <w:r>
              <w:rPr>
                <w:rFonts w:hint="eastAsia" w:ascii="宋体" w:hAnsi="宋体" w:eastAsia="宋体"/>
                <w:bCs/>
                <w:iCs/>
                <w:kern w:val="2"/>
                <w:sz w:val="24"/>
                <w:szCs w:val="24"/>
              </w:rPr>
              <w:t>https://roadshow.sseinfo.com</w:t>
            </w:r>
            <w:r>
              <w:rPr>
                <w:rFonts w:hint="eastAsia" w:ascii="宋体" w:hAnsi="宋体" w:eastAsia="宋体"/>
                <w:bCs/>
                <w:iCs/>
                <w:kern w:val="2"/>
                <w:sz w:val="24"/>
                <w:szCs w:val="24"/>
              </w:rPr>
              <w:fldChar w:fldCharType="end"/>
            </w:r>
          </w:p>
        </w:tc>
      </w:tr>
      <w:tr w14:paraId="3191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vAlign w:val="center"/>
          </w:tcPr>
          <w:p w14:paraId="59DAB542">
            <w:pPr>
              <w:widowControl w:val="0"/>
              <w:spacing w:line="360" w:lineRule="auto"/>
              <w:ind w:firstLine="0" w:firstLineChars="0"/>
              <w:jc w:val="center"/>
              <w:rPr>
                <w:rFonts w:ascii="宋体" w:hAnsi="宋体" w:eastAsia="宋体"/>
                <w:b/>
                <w:bCs/>
                <w:iCs/>
                <w:kern w:val="2"/>
                <w:sz w:val="24"/>
                <w:szCs w:val="24"/>
              </w:rPr>
            </w:pPr>
            <w:r>
              <w:rPr>
                <w:rFonts w:hint="eastAsia" w:ascii="宋体" w:hAnsi="宋体" w:eastAsia="宋体"/>
                <w:b/>
                <w:bCs/>
                <w:iCs/>
                <w:kern w:val="2"/>
                <w:sz w:val="24"/>
                <w:szCs w:val="24"/>
              </w:rPr>
              <w:t>上市公司接待人员姓名</w:t>
            </w:r>
          </w:p>
        </w:tc>
        <w:tc>
          <w:tcPr>
            <w:tcW w:w="6764" w:type="dxa"/>
            <w:vAlign w:val="center"/>
          </w:tcPr>
          <w:p w14:paraId="5389C764">
            <w:pPr>
              <w:widowControl w:val="0"/>
              <w:tabs>
                <w:tab w:val="center" w:pos="2798"/>
              </w:tabs>
              <w:spacing w:line="360" w:lineRule="auto"/>
              <w:ind w:firstLine="0" w:firstLineChars="0"/>
              <w:jc w:val="both"/>
              <w:rPr>
                <w:rFonts w:hint="eastAsia" w:ascii="宋体" w:hAnsi="宋体" w:eastAsia="宋体" w:cs="宋体"/>
                <w:sz w:val="24"/>
                <w:szCs w:val="24"/>
              </w:rPr>
            </w:pPr>
            <w:r>
              <w:rPr>
                <w:rFonts w:hint="eastAsia" w:ascii="宋体" w:hAnsi="宋体" w:eastAsia="宋体" w:cs="宋体"/>
                <w:sz w:val="24"/>
                <w:szCs w:val="24"/>
              </w:rPr>
              <w:t>董事长：黄兴良</w:t>
            </w:r>
          </w:p>
          <w:p w14:paraId="3703CFE5">
            <w:pPr>
              <w:widowControl w:val="0"/>
              <w:tabs>
                <w:tab w:val="center" w:pos="2798"/>
              </w:tabs>
              <w:spacing w:line="360" w:lineRule="auto"/>
              <w:ind w:firstLine="0" w:firstLineChars="0"/>
              <w:jc w:val="both"/>
              <w:rPr>
                <w:rFonts w:hint="eastAsia" w:ascii="宋体" w:hAnsi="宋体" w:eastAsia="宋体" w:cs="宋体"/>
                <w:sz w:val="24"/>
                <w:szCs w:val="24"/>
              </w:rPr>
            </w:pPr>
            <w:r>
              <w:rPr>
                <w:rFonts w:hint="eastAsia" w:ascii="宋体" w:hAnsi="宋体" w:eastAsia="宋体" w:cs="宋体"/>
                <w:sz w:val="24"/>
                <w:szCs w:val="24"/>
              </w:rPr>
              <w:t>董事、总经理：陈艳华</w:t>
            </w:r>
          </w:p>
          <w:p w14:paraId="73FD41C2">
            <w:pPr>
              <w:widowControl w:val="0"/>
              <w:tabs>
                <w:tab w:val="center" w:pos="2798"/>
              </w:tabs>
              <w:spacing w:line="360" w:lineRule="auto"/>
              <w:ind w:firstLine="0" w:firstLineChars="0"/>
              <w:jc w:val="both"/>
              <w:rPr>
                <w:rFonts w:hint="eastAsia" w:ascii="宋体" w:hAnsi="宋体" w:eastAsia="宋体" w:cs="宋体"/>
                <w:sz w:val="24"/>
                <w:szCs w:val="24"/>
              </w:rPr>
            </w:pPr>
            <w:r>
              <w:rPr>
                <w:rFonts w:hint="eastAsia" w:ascii="宋体" w:hAnsi="宋体" w:eastAsia="宋体" w:cs="宋体"/>
                <w:sz w:val="24"/>
                <w:szCs w:val="24"/>
              </w:rPr>
              <w:t>财务总监、董事会秘书：苏敏</w:t>
            </w:r>
          </w:p>
          <w:p w14:paraId="03FB9D07">
            <w:pPr>
              <w:widowControl w:val="0"/>
              <w:spacing w:line="360" w:lineRule="auto"/>
              <w:ind w:firstLine="0" w:firstLineChars="0"/>
              <w:jc w:val="both"/>
              <w:rPr>
                <w:rFonts w:ascii="宋体" w:hAnsi="宋体" w:eastAsia="宋体"/>
                <w:bCs/>
                <w:iCs/>
                <w:kern w:val="2"/>
                <w:sz w:val="24"/>
                <w:szCs w:val="24"/>
              </w:rPr>
            </w:pPr>
            <w:r>
              <w:rPr>
                <w:rFonts w:hint="eastAsia" w:ascii="宋体" w:hAnsi="宋体" w:eastAsia="宋体" w:cs="宋体"/>
                <w:sz w:val="24"/>
                <w:szCs w:val="24"/>
              </w:rPr>
              <w:t>独立董事：赵雪媛、李化毅、梁爽</w:t>
            </w:r>
          </w:p>
        </w:tc>
      </w:tr>
      <w:tr w14:paraId="05D3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1850" w:type="dxa"/>
            <w:vAlign w:val="center"/>
          </w:tcPr>
          <w:p w14:paraId="0C81F78D">
            <w:pPr>
              <w:widowControl w:val="0"/>
              <w:spacing w:line="360" w:lineRule="auto"/>
              <w:ind w:firstLine="0" w:firstLineChars="0"/>
              <w:jc w:val="center"/>
              <w:rPr>
                <w:rFonts w:ascii="宋体" w:hAnsi="宋体" w:eastAsia="宋体"/>
                <w:b/>
                <w:bCs/>
                <w:iCs/>
                <w:kern w:val="2"/>
                <w:sz w:val="24"/>
                <w:szCs w:val="24"/>
              </w:rPr>
            </w:pPr>
            <w:r>
              <w:rPr>
                <w:rFonts w:hint="eastAsia" w:ascii="宋体" w:hAnsi="宋体" w:eastAsia="宋体"/>
                <w:b/>
                <w:bCs/>
                <w:iCs/>
                <w:kern w:val="2"/>
                <w:sz w:val="24"/>
                <w:szCs w:val="24"/>
              </w:rPr>
              <w:t>投资者关系活动主要内容介绍</w:t>
            </w:r>
          </w:p>
        </w:tc>
        <w:tc>
          <w:tcPr>
            <w:tcW w:w="6764" w:type="dxa"/>
          </w:tcPr>
          <w:p w14:paraId="4A637009">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Q1.芳纶技改与利润修复：公司收购超美斯后持续推进设备更新迭代和技术改造。请问收购前已存在的芳纶技改项目目前是否已全面完成？技改后产线的良品率、毛利率是否已恢复到预期水平，对上半年利润修复贡献如何？另外，半年报中披露的新一轮技改项目目前完工比例是多少？预计何时完全投产，对全年毛利率改善预期如何？</w:t>
            </w:r>
          </w:p>
          <w:p w14:paraId="7140683C">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答：尊敬的投资者，您好。收购完成后，公司高度重视超美斯的整合提升工作，围绕技术改造、成本管控和产品质量提升开展了一系列工作。目前，芳纶产线技术改造项目正在稳步推进。经过前期的工艺优化和细节管控，超美斯生产成本下降、经营效率提升，整合成效逐步显现。公司将持续以提升产品质量和市场占有率为核心，推动芳纶业务经营质量持续向好。感谢您对公司的关注。</w:t>
            </w:r>
          </w:p>
          <w:p w14:paraId="1435DD9F">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Q2.新泰2400吨UHMWPE项目：根据公开招标公告，公司8月仍在进行该项目牵伸附属设备的二次采购招标。请问目前设备安装调试及产线试车进度如何？预计正式投产的具体时间节点在何时？管理层对未来消化2400吨新增产能是否有明确的意向订单或增量市场规划，以防范产能投产后的折旧压力？</w:t>
            </w:r>
          </w:p>
          <w:p w14:paraId="1E389D47">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答：尊敬的投资者，您好。新泰2400吨UHMWPE项目各项工作有序推进，公司正统筹推进设备采购及安装等各项工作，投产时间将根据设备到货及安装调试进度确定，公司预计2027年上半年正式投产。在产能消化方面，公司凭借二十余年的行业深耕和良好的客户基础，产品广泛应用于军工装备、海洋工程、安全防护等多个领域，客户资源稳定。公司将通过现有市场的持续拓展以及具身智能、医用纤维、3C消费电子等新兴应用领域的开拓，为新增产能消化提供有力支撑。感谢您对公司的关注。</w:t>
            </w:r>
          </w:p>
          <w:p w14:paraId="1B19FEA6">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Q3.优和博1350吨超高强聚乙烯纤维扩建项目：半年报披露公司正稳步推进年产1350吨超高强聚乙烯纤维扩建项目，该项目由盐城优和博新材料有限公司实施。请问目前该项目的设备安装、调试和试车进度如何？预计何时能够投产并形成有效产能？该项目主要面向哪些高端应用场景，新增产能消化是否有明确订单或客户储备？</w:t>
            </w:r>
          </w:p>
          <w:p w14:paraId="1EB08A54">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答：尊敬的投资者，您好。优和博1350吨超高强聚乙烯纤维扩建项目目前正稳步推进中，相关设备采购安装工作有序开展，项目建成后将进一步提升公司在超高分子量聚乙烯纤维领域的产能规模和供应能力。优和博作为公司重要的生产基地，拥有稳定的客户群体和良好的市场口碑。项目投产后，公司将结合市场需求和客户结构，持续优化产品布局，推动新增产能有效释放。感谢您对公司的关注。</w:t>
            </w:r>
          </w:p>
          <w:p w14:paraId="210C6189">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Q4.UHMWPE高端化与研发费用匹配度：行业目前中低端产能相对充足，高端纤维、抗蠕变纤维、腱绳用纤维、防弹及海工应用仍是利润高地。公司上半年研发投入为2268.71万元，同比减少4.24%。请问管理层如何判断当前研发费用是否足以支撑UHMWPE高端产品迭代？公司在高强、低蠕变、机器人腱绳等高端产品上的认证进度和订单转化情况如何？未来高端产品占比提升能否对冲中低端价格竞争带来的毛利率压力？</w:t>
            </w:r>
          </w:p>
          <w:p w14:paraId="46ECB5C0">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答：尊敬的投资者，您好。公司始终高度重视研发创新，坚持以技术创新驱动产品升级。公司根据市场需求和行业发展趋势，动态优化研发项目结构，确保研发资源向高附加值、高成长潜力的方向聚焦。在高端产品领域，公司取得了多项积极进展：在超高分子量聚乙烯纤维领域，成功开发新型高强PE防刺材料，性能对标国际领先水平；机器人灵巧手腱绳系列材料研发取得阶段性进展，在高分子腱绳“大拉力—低形变—长寿命”关键技术上取得重大进展，已累计试制100余款腱绳产品，满足客户精确控制及使用寿命要求，并以理事单位身份加入江苏省具身机器人产业联盟，为未来切入人形机器人供应链奠定基础。医用纤维方向，依托ISO13485医疗器械质量管理体系认证，稳步推进医用纤维深度研发及产品资质认证进程，累计完成化学表征、毒理分析、生物学测试、骨植入试验等评级。公司将持续深化以“FIBER+复材”为核心的“3+X”产业体系建设，不断优化产品结构，提升高端产品占比，增强公司核心竞争力和抗风险能力。感谢您对公司的关注。</w:t>
            </w:r>
          </w:p>
          <w:p w14:paraId="4DACD94F">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Q5.火箭海上网系回收用UHMWPE/芳纶复合材料：公开信息显示，长征十号乙海上回收所用缓冲拦阻网采用超高分子量聚乙烯纤维与芳纶纤维复合结构。公司此前披露抗蠕变UHMWPE纤维可应用于火箭网系回收装备，子公司超美斯相关产品暂无在火箭等航天器上的应用。请问公司目前是否具备面向火箭海上网系回收、缓冲绳缆、柔性拦截网等场景的UHMWPE/芳纶复合材料产品或技术储备？相关产品的性能指标、客户验证和订单转化进展如何？未来是否有计划切入商业航天回收装备供应链？</w:t>
            </w:r>
          </w:p>
          <w:p w14:paraId="7C3ECD15">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答：尊敬的投资者，您好。公司在UHMWPE纤维领域拥有深厚的技术积累，具备抗蠕变超高分子量聚乙烯纤维的制备技术，产品蠕变伸长率、蠕变速率等蠕变性能优异，产品可应用于深海锚固及钻井定位绳、火箭网系回收装备、机器人及汽车柔性传动装置、低空飞行器结构件等重点领域。公司持续进行前瞻性技术布局，相关技术储备正在持续积累和验证过程中。公司将依托在超高分子量聚乙烯纤维和间位芳纶纤维领域的全产业链布局，以及UHMWPE/芳纶复合材料的技术能力，持续探索在商业航天、低空经济等新兴领域的应用机会，积极推进相关市场开拓和客户合作。感谢您对公司的关注。</w:t>
            </w:r>
          </w:p>
          <w:p w14:paraId="09C49B79">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Q6.黄董您好，想请管理层介绍一下公司对超美斯整合及技改进展方面的情况，目前芳纶业务的毛利率水平和盈利改善节奏是否符合预期？"UHMWPE+芳纶"双主业协同效应何时能够充分释放，是否有更明确的时间表或阶段性目标可以分享？谢谢。</w:t>
            </w:r>
          </w:p>
          <w:p w14:paraId="242E8B8B">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答：尊敬的投资者，您好。自收购超美斯以来，公司围绕技术改造、成本管控、产品研发和市场拓展等方向开展全方位经营整合，目前超美斯产线运行稳定性和生产效率持续提升，通过工艺优化和降本增效，超美斯生产成本得到有效下降，产品质量稳步提升，整体改善节奏符合公司对整合期的阶段性判断。目前芳纶业务仍处于并购后的整合优化阶段，毛利率水平受产品结构调整、市场竞争环境及原材料价格等多重因素影响存在一定波动，公司将持续加大高附加值芳纶纸产品的技术攻关和市场开拓力度，推动产品结构向高端化升级，逐步提升芳纶板块盈利能力。在双主业协同方面，公司结合“3+X”未来纤维产业体系战略，构建“超高分子量聚乙烯纤维+间位芳纶+复合材料”的高性能纤维多维度产品平台，在技术研发、客户资源、市场渠道等方面的协同效应正在逐步显现。随着整合成效进一步深化、高附加值产品占比持续提升以及海外市场的稳步拓展，双主业协同效应将循序渐进、逐步充分释放，为公司长期高质量发展提供有力支撑。感谢您对公司的关注。</w:t>
            </w:r>
          </w:p>
          <w:p w14:paraId="1C37A39D">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Q</w:t>
            </w:r>
            <w:r>
              <w:rPr>
                <w:rFonts w:hint="eastAsia" w:ascii="宋体" w:hAnsi="宋体" w:eastAsia="宋体"/>
                <w:bCs/>
                <w:iCs/>
                <w:kern w:val="2"/>
                <w:sz w:val="24"/>
                <w:szCs w:val="24"/>
                <w:highlight w:val="none"/>
                <w:lang w:val="en-US" w:eastAsia="zh-CN"/>
              </w:rPr>
              <w:t>7</w:t>
            </w:r>
            <w:r>
              <w:rPr>
                <w:rFonts w:hint="default" w:ascii="宋体" w:hAnsi="宋体" w:eastAsia="宋体"/>
                <w:bCs/>
                <w:iCs/>
                <w:kern w:val="2"/>
                <w:sz w:val="24"/>
                <w:szCs w:val="24"/>
                <w:highlight w:val="none"/>
                <w:lang w:val="en-US" w:eastAsia="zh-CN"/>
              </w:rPr>
              <w:t>.董事长好，腱绳业务的收入兑现节奏和超美斯的芳纶整合进展是市场关注重点。想请教腱绳从批量生产到规模收入的预期时间表，以及芳纶业务的扭亏节奏？会后希望向您请教"3+X"战略的资本规划。</w:t>
            </w:r>
          </w:p>
          <w:p w14:paraId="6B5952CD">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答：尊敬的投资者，您好。机器人灵巧手腱绳系列材料研发取得阶段性进展，在高分子腱绳“大拉力—低形变—长寿命”关键技术上取得重大进展，已累计试制100余款腱绳产品，满足客户精确控制及使用寿命要求，实现批量生产，后续规模将随着下游市场需求增长而扩大。目前，芳纶产线技术改造项目正在稳步推进，经过前期的工艺优化和细节管控，超美斯生产成本下降、经营效率提升，经营成效逐步显现。感谢您对公司的关注。</w:t>
            </w:r>
          </w:p>
          <w:p w14:paraId="2AE9DE93">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Q</w:t>
            </w:r>
            <w:r>
              <w:rPr>
                <w:rFonts w:hint="eastAsia" w:ascii="宋体" w:hAnsi="宋体" w:eastAsia="宋体"/>
                <w:bCs/>
                <w:iCs/>
                <w:kern w:val="2"/>
                <w:sz w:val="24"/>
                <w:szCs w:val="24"/>
                <w:highlight w:val="none"/>
                <w:lang w:val="en-US" w:eastAsia="zh-CN"/>
              </w:rPr>
              <w:t>8</w:t>
            </w:r>
            <w:r>
              <w:rPr>
                <w:rFonts w:hint="default" w:ascii="宋体" w:hAnsi="宋体" w:eastAsia="宋体"/>
                <w:bCs/>
                <w:iCs/>
                <w:kern w:val="2"/>
                <w:sz w:val="24"/>
                <w:szCs w:val="24"/>
                <w:highlight w:val="none"/>
                <w:lang w:val="en-US" w:eastAsia="zh-CN"/>
              </w:rPr>
              <w:t>.公司收购超美斯后持续推进设备更新迭代和技术改造。请问收购前已存在的芳纶技改项目目前是否已全面完成？技改后产线的良品率、毛利率是否已恢复到预期水平，对上半年利润修复贡献如何？另外，半年报中披露的新一轮技改项目目前完工比例是多少？预计何时完全投产，对全年毛利率改善预期如何？</w:t>
            </w:r>
          </w:p>
          <w:p w14:paraId="1942F53B">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答：尊敬的投资者，您好。收购完成后，公司高度重视超美斯的整合提升工作，围绕技术改造、成本管控和产品质量提升开展了一系列工作。目前，芳纶产线技术改造项目正在稳步推进。经过前期的工艺优化和细节管控，超美斯生产成本下降、经营效率提升，整合成效逐步显现。公司将持续以提升产品质量和市场占有率为核心，推动芳纶业务经营质量持续向好。感谢您对公司的关注。</w:t>
            </w:r>
          </w:p>
          <w:p w14:paraId="52620F10">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Q</w:t>
            </w:r>
            <w:r>
              <w:rPr>
                <w:rFonts w:hint="eastAsia" w:ascii="宋体" w:hAnsi="宋体" w:eastAsia="宋体"/>
                <w:bCs/>
                <w:iCs/>
                <w:kern w:val="2"/>
                <w:sz w:val="24"/>
                <w:szCs w:val="24"/>
                <w:highlight w:val="none"/>
                <w:lang w:val="en-US" w:eastAsia="zh-CN"/>
              </w:rPr>
              <w:t>9</w:t>
            </w:r>
            <w:r>
              <w:rPr>
                <w:rFonts w:hint="default" w:ascii="宋体" w:hAnsi="宋体" w:eastAsia="宋体"/>
                <w:bCs/>
                <w:iCs/>
                <w:kern w:val="2"/>
                <w:sz w:val="24"/>
                <w:szCs w:val="24"/>
                <w:highlight w:val="none"/>
                <w:lang w:val="en-US" w:eastAsia="zh-CN"/>
              </w:rPr>
              <w:t>.请简要介绍近期业绩</w:t>
            </w:r>
            <w:r>
              <w:rPr>
                <w:rFonts w:hint="eastAsia" w:ascii="宋体" w:hAnsi="宋体" w:eastAsia="宋体"/>
                <w:bCs/>
                <w:iCs/>
                <w:kern w:val="2"/>
                <w:sz w:val="24"/>
                <w:szCs w:val="24"/>
                <w:highlight w:val="none"/>
                <w:lang w:val="en-US" w:eastAsia="zh-CN"/>
              </w:rPr>
              <w:t>。</w:t>
            </w:r>
          </w:p>
          <w:p w14:paraId="06F5CFF8">
            <w:pPr>
              <w:widowControl w:val="0"/>
              <w:tabs>
                <w:tab w:val="center" w:pos="3274"/>
              </w:tabs>
              <w:spacing w:line="360" w:lineRule="auto"/>
              <w:ind w:firstLine="0" w:firstLineChars="0"/>
              <w:jc w:val="both"/>
              <w:rPr>
                <w:rFonts w:hint="default" w:ascii="宋体" w:hAnsi="宋体" w:eastAsia="宋体"/>
                <w:bCs/>
                <w:iCs/>
                <w:kern w:val="2"/>
                <w:sz w:val="24"/>
                <w:szCs w:val="24"/>
                <w:highlight w:val="none"/>
                <w:lang w:val="en-US" w:eastAsia="zh-CN"/>
              </w:rPr>
            </w:pPr>
            <w:r>
              <w:rPr>
                <w:rFonts w:hint="default" w:ascii="宋体" w:hAnsi="宋体" w:eastAsia="宋体"/>
                <w:bCs/>
                <w:iCs/>
                <w:kern w:val="2"/>
                <w:sz w:val="24"/>
                <w:szCs w:val="24"/>
                <w:highlight w:val="none"/>
                <w:lang w:val="en-US" w:eastAsia="zh-CN"/>
              </w:rPr>
              <w:t>答：尊敬的投资者，您好。2026年上半年，公司整体经营态势保持稳健，在应对行业竞争加剧、推进新技术研发和新产品推广中展现出较强韧性，上半年公司实现营业收入51,615.89万元，同比增加6.93%，实现归属于母公司所有者的净利润6,971.98万元，同比增加4.88%，为全年高质量发展奠定了坚实基础。公司第三季度业绩符合预期，公司将在法定信息披露媒体披露《同益中2026年第三季度报告》，敬请关注。感谢您对公司的关注。</w:t>
            </w:r>
            <w:bookmarkStart w:id="0" w:name="_GoBack"/>
            <w:bookmarkEnd w:id="0"/>
          </w:p>
        </w:tc>
      </w:tr>
      <w:tr w14:paraId="5D83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vAlign w:val="center"/>
          </w:tcPr>
          <w:p w14:paraId="1B372958">
            <w:pPr>
              <w:widowControl w:val="0"/>
              <w:spacing w:line="360" w:lineRule="auto"/>
              <w:ind w:firstLine="0" w:firstLineChars="0"/>
              <w:jc w:val="center"/>
              <w:rPr>
                <w:rFonts w:ascii="宋体" w:hAnsi="宋体" w:eastAsia="宋体"/>
                <w:b/>
                <w:bCs/>
                <w:iCs/>
                <w:kern w:val="2"/>
                <w:sz w:val="24"/>
                <w:szCs w:val="24"/>
              </w:rPr>
            </w:pPr>
            <w:r>
              <w:rPr>
                <w:rFonts w:hint="eastAsia" w:ascii="宋体" w:hAnsi="宋体" w:eastAsia="宋体"/>
                <w:b/>
                <w:bCs/>
                <w:iCs/>
                <w:kern w:val="2"/>
                <w:sz w:val="24"/>
                <w:szCs w:val="24"/>
              </w:rPr>
              <w:t>附件清单（如有）</w:t>
            </w:r>
          </w:p>
        </w:tc>
        <w:tc>
          <w:tcPr>
            <w:tcW w:w="6764" w:type="dxa"/>
            <w:vAlign w:val="center"/>
          </w:tcPr>
          <w:p w14:paraId="7F27B66A">
            <w:pPr>
              <w:widowControl w:val="0"/>
              <w:spacing w:line="360" w:lineRule="auto"/>
              <w:ind w:firstLine="0" w:firstLineChars="0"/>
              <w:jc w:val="both"/>
              <w:rPr>
                <w:rFonts w:ascii="宋体" w:hAnsi="宋体" w:eastAsia="宋体"/>
                <w:bCs/>
                <w:iCs/>
                <w:kern w:val="2"/>
                <w:sz w:val="24"/>
                <w:szCs w:val="24"/>
              </w:rPr>
            </w:pPr>
            <w:r>
              <w:rPr>
                <w:rFonts w:hint="eastAsia" w:ascii="宋体" w:hAnsi="宋体" w:eastAsia="宋体"/>
                <w:bCs/>
                <w:iCs/>
                <w:kern w:val="2"/>
                <w:sz w:val="24"/>
                <w:szCs w:val="24"/>
              </w:rPr>
              <w:t>无</w:t>
            </w:r>
          </w:p>
        </w:tc>
      </w:tr>
      <w:tr w14:paraId="7D1E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vAlign w:val="center"/>
          </w:tcPr>
          <w:p w14:paraId="4B3BDF2A">
            <w:pPr>
              <w:widowControl w:val="0"/>
              <w:spacing w:line="360" w:lineRule="auto"/>
              <w:ind w:firstLine="0" w:firstLineChars="0"/>
              <w:jc w:val="center"/>
              <w:rPr>
                <w:rFonts w:ascii="宋体" w:hAnsi="宋体" w:eastAsia="宋体"/>
                <w:b/>
                <w:bCs/>
                <w:iCs/>
                <w:kern w:val="2"/>
                <w:sz w:val="24"/>
                <w:szCs w:val="24"/>
              </w:rPr>
            </w:pPr>
            <w:r>
              <w:rPr>
                <w:rFonts w:hint="eastAsia" w:ascii="宋体" w:hAnsi="宋体" w:eastAsia="宋体"/>
                <w:b/>
                <w:bCs/>
                <w:iCs/>
                <w:kern w:val="2"/>
                <w:sz w:val="24"/>
                <w:szCs w:val="24"/>
              </w:rPr>
              <w:t>日期</w:t>
            </w:r>
          </w:p>
        </w:tc>
        <w:tc>
          <w:tcPr>
            <w:tcW w:w="6764" w:type="dxa"/>
            <w:vAlign w:val="center"/>
          </w:tcPr>
          <w:p w14:paraId="3A43216C">
            <w:pPr>
              <w:widowControl w:val="0"/>
              <w:spacing w:line="360" w:lineRule="auto"/>
              <w:ind w:firstLine="0" w:firstLineChars="0"/>
              <w:jc w:val="both"/>
              <w:rPr>
                <w:rFonts w:ascii="宋体" w:hAnsi="宋体" w:eastAsia="宋体"/>
                <w:iCs/>
                <w:kern w:val="2"/>
                <w:sz w:val="24"/>
                <w:szCs w:val="24"/>
              </w:rPr>
            </w:pPr>
            <w:r>
              <w:rPr>
                <w:rFonts w:hint="eastAsia" w:ascii="宋体" w:hAnsi="宋体" w:eastAsia="宋体"/>
                <w:iCs/>
                <w:kern w:val="2"/>
                <w:sz w:val="24"/>
                <w:szCs w:val="24"/>
              </w:rPr>
              <w:t>202</w:t>
            </w:r>
            <w:r>
              <w:rPr>
                <w:rFonts w:hint="eastAsia" w:ascii="宋体" w:hAnsi="宋体" w:eastAsia="宋体"/>
                <w:iCs/>
                <w:kern w:val="2"/>
                <w:sz w:val="24"/>
                <w:szCs w:val="24"/>
                <w:lang w:val="en-US" w:eastAsia="zh-CN"/>
              </w:rPr>
              <w:t>6</w:t>
            </w:r>
            <w:r>
              <w:rPr>
                <w:rFonts w:hint="eastAsia" w:ascii="宋体" w:hAnsi="宋体" w:eastAsia="宋体"/>
                <w:iCs/>
                <w:kern w:val="2"/>
                <w:sz w:val="24"/>
                <w:szCs w:val="24"/>
              </w:rPr>
              <w:t>年</w:t>
            </w:r>
            <w:r>
              <w:rPr>
                <w:rFonts w:hint="default" w:ascii="宋体" w:hAnsi="宋体" w:eastAsia="宋体"/>
                <w:iCs/>
                <w:kern w:val="2"/>
                <w:sz w:val="24"/>
                <w:szCs w:val="24"/>
                <w:lang w:val="en-US"/>
              </w:rPr>
              <w:t>10</w:t>
            </w:r>
            <w:r>
              <w:rPr>
                <w:rFonts w:hint="eastAsia" w:ascii="宋体" w:hAnsi="宋体" w:eastAsia="宋体"/>
                <w:iCs/>
                <w:kern w:val="2"/>
                <w:sz w:val="24"/>
                <w:szCs w:val="24"/>
              </w:rPr>
              <w:t>月</w:t>
            </w:r>
            <w:r>
              <w:rPr>
                <w:rFonts w:hint="default" w:ascii="宋体" w:hAnsi="宋体" w:eastAsia="宋体"/>
                <w:iCs/>
                <w:kern w:val="2"/>
                <w:sz w:val="24"/>
                <w:szCs w:val="24"/>
                <w:lang w:val="en-US"/>
              </w:rPr>
              <w:t>12</w:t>
            </w:r>
            <w:r>
              <w:rPr>
                <w:rFonts w:hint="eastAsia" w:ascii="宋体" w:hAnsi="宋体" w:eastAsia="宋体"/>
                <w:iCs/>
                <w:kern w:val="2"/>
                <w:sz w:val="24"/>
                <w:szCs w:val="24"/>
              </w:rPr>
              <w:t>日</w:t>
            </w:r>
          </w:p>
        </w:tc>
      </w:tr>
    </w:tbl>
    <w:p w14:paraId="042FE305">
      <w:pPr>
        <w:ind w:firstLine="0" w:firstLineChars="0"/>
      </w:pPr>
    </w:p>
    <w:p w14:paraId="65E7BB2F">
      <w:pPr>
        <w:ind w:firstLine="0" w:firstLineChars="0"/>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0D62A">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9F03E">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4B315">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47FE">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1C66E">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AACFC">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5EA"/>
    <w:rsid w:val="00001910"/>
    <w:rsid w:val="000030C3"/>
    <w:rsid w:val="00003451"/>
    <w:rsid w:val="0000349A"/>
    <w:rsid w:val="00005CB1"/>
    <w:rsid w:val="000070AC"/>
    <w:rsid w:val="00007834"/>
    <w:rsid w:val="00011145"/>
    <w:rsid w:val="00012AAF"/>
    <w:rsid w:val="00013C50"/>
    <w:rsid w:val="00016077"/>
    <w:rsid w:val="0002000D"/>
    <w:rsid w:val="000219C0"/>
    <w:rsid w:val="00022437"/>
    <w:rsid w:val="00022845"/>
    <w:rsid w:val="00023B4E"/>
    <w:rsid w:val="0003081F"/>
    <w:rsid w:val="00030A9C"/>
    <w:rsid w:val="00033B53"/>
    <w:rsid w:val="000348C5"/>
    <w:rsid w:val="000356DD"/>
    <w:rsid w:val="000358F7"/>
    <w:rsid w:val="000359C1"/>
    <w:rsid w:val="000421E4"/>
    <w:rsid w:val="000439B2"/>
    <w:rsid w:val="00043C30"/>
    <w:rsid w:val="00043D8A"/>
    <w:rsid w:val="00052A0E"/>
    <w:rsid w:val="00053DE0"/>
    <w:rsid w:val="00053DFC"/>
    <w:rsid w:val="00055860"/>
    <w:rsid w:val="00056305"/>
    <w:rsid w:val="000609A3"/>
    <w:rsid w:val="00060DFD"/>
    <w:rsid w:val="00061D45"/>
    <w:rsid w:val="00063926"/>
    <w:rsid w:val="0006445A"/>
    <w:rsid w:val="00065126"/>
    <w:rsid w:val="0006577E"/>
    <w:rsid w:val="0007046D"/>
    <w:rsid w:val="0007652E"/>
    <w:rsid w:val="0007678B"/>
    <w:rsid w:val="00076D2E"/>
    <w:rsid w:val="00082B81"/>
    <w:rsid w:val="00083146"/>
    <w:rsid w:val="00083BE4"/>
    <w:rsid w:val="000859E9"/>
    <w:rsid w:val="0008639E"/>
    <w:rsid w:val="0009033F"/>
    <w:rsid w:val="0009382D"/>
    <w:rsid w:val="00095A1B"/>
    <w:rsid w:val="00097EE8"/>
    <w:rsid w:val="000A0F55"/>
    <w:rsid w:val="000A2118"/>
    <w:rsid w:val="000A591D"/>
    <w:rsid w:val="000A5AD1"/>
    <w:rsid w:val="000A69C3"/>
    <w:rsid w:val="000A6F2E"/>
    <w:rsid w:val="000B1741"/>
    <w:rsid w:val="000B1C8B"/>
    <w:rsid w:val="000B5265"/>
    <w:rsid w:val="000B6D0C"/>
    <w:rsid w:val="000B7770"/>
    <w:rsid w:val="000C3686"/>
    <w:rsid w:val="000C3993"/>
    <w:rsid w:val="000C3C90"/>
    <w:rsid w:val="000C52AC"/>
    <w:rsid w:val="000C6C5D"/>
    <w:rsid w:val="000C70E2"/>
    <w:rsid w:val="000C7D9A"/>
    <w:rsid w:val="000D2422"/>
    <w:rsid w:val="000D6620"/>
    <w:rsid w:val="000D692C"/>
    <w:rsid w:val="000D6AC6"/>
    <w:rsid w:val="000D7338"/>
    <w:rsid w:val="000E10DD"/>
    <w:rsid w:val="000E11FE"/>
    <w:rsid w:val="000E480C"/>
    <w:rsid w:val="000E51FD"/>
    <w:rsid w:val="000E5DD3"/>
    <w:rsid w:val="000F06CC"/>
    <w:rsid w:val="000F30C6"/>
    <w:rsid w:val="000F6077"/>
    <w:rsid w:val="000F7A06"/>
    <w:rsid w:val="000F7E75"/>
    <w:rsid w:val="00100F6B"/>
    <w:rsid w:val="0010761C"/>
    <w:rsid w:val="0011000C"/>
    <w:rsid w:val="001110D7"/>
    <w:rsid w:val="001119A0"/>
    <w:rsid w:val="00113533"/>
    <w:rsid w:val="00114E38"/>
    <w:rsid w:val="00114FFD"/>
    <w:rsid w:val="001152DD"/>
    <w:rsid w:val="00115E6E"/>
    <w:rsid w:val="00120C03"/>
    <w:rsid w:val="00121761"/>
    <w:rsid w:val="00121D49"/>
    <w:rsid w:val="001235CD"/>
    <w:rsid w:val="00123D47"/>
    <w:rsid w:val="001248F6"/>
    <w:rsid w:val="00126B44"/>
    <w:rsid w:val="00127322"/>
    <w:rsid w:val="00127FC3"/>
    <w:rsid w:val="00130986"/>
    <w:rsid w:val="00131552"/>
    <w:rsid w:val="0013327B"/>
    <w:rsid w:val="00135DF2"/>
    <w:rsid w:val="00135F57"/>
    <w:rsid w:val="001405BD"/>
    <w:rsid w:val="00141FA7"/>
    <w:rsid w:val="00142B40"/>
    <w:rsid w:val="00143532"/>
    <w:rsid w:val="0014581E"/>
    <w:rsid w:val="00146BA5"/>
    <w:rsid w:val="00150F1B"/>
    <w:rsid w:val="00150F79"/>
    <w:rsid w:val="001515BE"/>
    <w:rsid w:val="00153C41"/>
    <w:rsid w:val="00154925"/>
    <w:rsid w:val="00154F86"/>
    <w:rsid w:val="001550E6"/>
    <w:rsid w:val="001556D2"/>
    <w:rsid w:val="00157CED"/>
    <w:rsid w:val="00161735"/>
    <w:rsid w:val="0016377E"/>
    <w:rsid w:val="001649A6"/>
    <w:rsid w:val="00166E98"/>
    <w:rsid w:val="0017151E"/>
    <w:rsid w:val="0017257A"/>
    <w:rsid w:val="0017279C"/>
    <w:rsid w:val="0017280D"/>
    <w:rsid w:val="001732DD"/>
    <w:rsid w:val="00173336"/>
    <w:rsid w:val="00173633"/>
    <w:rsid w:val="001807AB"/>
    <w:rsid w:val="001809D9"/>
    <w:rsid w:val="00180BCF"/>
    <w:rsid w:val="00181117"/>
    <w:rsid w:val="00182DA9"/>
    <w:rsid w:val="00184A89"/>
    <w:rsid w:val="001853AF"/>
    <w:rsid w:val="00186242"/>
    <w:rsid w:val="00190341"/>
    <w:rsid w:val="00190386"/>
    <w:rsid w:val="001903A5"/>
    <w:rsid w:val="00190880"/>
    <w:rsid w:val="00191204"/>
    <w:rsid w:val="00191AAA"/>
    <w:rsid w:val="001923BD"/>
    <w:rsid w:val="0019262B"/>
    <w:rsid w:val="00193851"/>
    <w:rsid w:val="00193B8B"/>
    <w:rsid w:val="00194EF2"/>
    <w:rsid w:val="00195238"/>
    <w:rsid w:val="001A2ED3"/>
    <w:rsid w:val="001A3B90"/>
    <w:rsid w:val="001A495D"/>
    <w:rsid w:val="001A593A"/>
    <w:rsid w:val="001B0D47"/>
    <w:rsid w:val="001B0E38"/>
    <w:rsid w:val="001B6AE4"/>
    <w:rsid w:val="001B71A3"/>
    <w:rsid w:val="001B7B2B"/>
    <w:rsid w:val="001C1C02"/>
    <w:rsid w:val="001C5E15"/>
    <w:rsid w:val="001C6C48"/>
    <w:rsid w:val="001C6E9F"/>
    <w:rsid w:val="001D2D5A"/>
    <w:rsid w:val="001D54AD"/>
    <w:rsid w:val="001D6386"/>
    <w:rsid w:val="001D6AFF"/>
    <w:rsid w:val="001E10BA"/>
    <w:rsid w:val="001E185F"/>
    <w:rsid w:val="001E1908"/>
    <w:rsid w:val="001E1BE5"/>
    <w:rsid w:val="001E2D34"/>
    <w:rsid w:val="001E37E2"/>
    <w:rsid w:val="001E4EF8"/>
    <w:rsid w:val="001E5423"/>
    <w:rsid w:val="001E57D6"/>
    <w:rsid w:val="001E63AD"/>
    <w:rsid w:val="001E6542"/>
    <w:rsid w:val="001E7427"/>
    <w:rsid w:val="001F0721"/>
    <w:rsid w:val="001F0723"/>
    <w:rsid w:val="001F6303"/>
    <w:rsid w:val="001F70E2"/>
    <w:rsid w:val="00200B7F"/>
    <w:rsid w:val="00201AA9"/>
    <w:rsid w:val="00201FCD"/>
    <w:rsid w:val="00202121"/>
    <w:rsid w:val="00202387"/>
    <w:rsid w:val="00204E4E"/>
    <w:rsid w:val="0021416B"/>
    <w:rsid w:val="002153A7"/>
    <w:rsid w:val="00215717"/>
    <w:rsid w:val="002165EB"/>
    <w:rsid w:val="002177CA"/>
    <w:rsid w:val="00217FD3"/>
    <w:rsid w:val="00220873"/>
    <w:rsid w:val="002218E2"/>
    <w:rsid w:val="002229EC"/>
    <w:rsid w:val="0022392D"/>
    <w:rsid w:val="00223EB6"/>
    <w:rsid w:val="00224B45"/>
    <w:rsid w:val="00227167"/>
    <w:rsid w:val="0022726E"/>
    <w:rsid w:val="00230282"/>
    <w:rsid w:val="002317C4"/>
    <w:rsid w:val="00231CBA"/>
    <w:rsid w:val="00232E50"/>
    <w:rsid w:val="00233B7A"/>
    <w:rsid w:val="00234329"/>
    <w:rsid w:val="00236F16"/>
    <w:rsid w:val="0023720A"/>
    <w:rsid w:val="00237B7D"/>
    <w:rsid w:val="00240493"/>
    <w:rsid w:val="00241651"/>
    <w:rsid w:val="0024382C"/>
    <w:rsid w:val="00246550"/>
    <w:rsid w:val="00247AF7"/>
    <w:rsid w:val="00251065"/>
    <w:rsid w:val="0025413C"/>
    <w:rsid w:val="0025489C"/>
    <w:rsid w:val="002602DB"/>
    <w:rsid w:val="002608BF"/>
    <w:rsid w:val="00260E5A"/>
    <w:rsid w:val="00261ACD"/>
    <w:rsid w:val="00263AF7"/>
    <w:rsid w:val="002704A1"/>
    <w:rsid w:val="002716D6"/>
    <w:rsid w:val="002742EE"/>
    <w:rsid w:val="00281151"/>
    <w:rsid w:val="00282F25"/>
    <w:rsid w:val="00283BB5"/>
    <w:rsid w:val="00285302"/>
    <w:rsid w:val="002854E8"/>
    <w:rsid w:val="00287114"/>
    <w:rsid w:val="00290276"/>
    <w:rsid w:val="00292AB1"/>
    <w:rsid w:val="00293C93"/>
    <w:rsid w:val="002944F6"/>
    <w:rsid w:val="00297FBF"/>
    <w:rsid w:val="002A2E57"/>
    <w:rsid w:val="002A3726"/>
    <w:rsid w:val="002A4A6F"/>
    <w:rsid w:val="002A5363"/>
    <w:rsid w:val="002A5829"/>
    <w:rsid w:val="002A7801"/>
    <w:rsid w:val="002B01BC"/>
    <w:rsid w:val="002B23D8"/>
    <w:rsid w:val="002B4881"/>
    <w:rsid w:val="002B501E"/>
    <w:rsid w:val="002B6736"/>
    <w:rsid w:val="002C150E"/>
    <w:rsid w:val="002C54BF"/>
    <w:rsid w:val="002C72D7"/>
    <w:rsid w:val="002D5529"/>
    <w:rsid w:val="002D5D49"/>
    <w:rsid w:val="002D6A8B"/>
    <w:rsid w:val="002E31E3"/>
    <w:rsid w:val="002E5D40"/>
    <w:rsid w:val="002E7853"/>
    <w:rsid w:val="002F05FF"/>
    <w:rsid w:val="002F1363"/>
    <w:rsid w:val="002F218D"/>
    <w:rsid w:val="002F5268"/>
    <w:rsid w:val="002F5E31"/>
    <w:rsid w:val="002F69FC"/>
    <w:rsid w:val="002F6A76"/>
    <w:rsid w:val="00300ACF"/>
    <w:rsid w:val="00303501"/>
    <w:rsid w:val="00305076"/>
    <w:rsid w:val="00305769"/>
    <w:rsid w:val="003065EF"/>
    <w:rsid w:val="00307DF3"/>
    <w:rsid w:val="00312178"/>
    <w:rsid w:val="00312234"/>
    <w:rsid w:val="00313AE1"/>
    <w:rsid w:val="0031614E"/>
    <w:rsid w:val="003232EE"/>
    <w:rsid w:val="00323919"/>
    <w:rsid w:val="00326FAF"/>
    <w:rsid w:val="00330EA8"/>
    <w:rsid w:val="00331933"/>
    <w:rsid w:val="003326DB"/>
    <w:rsid w:val="00332CC1"/>
    <w:rsid w:val="00332EB2"/>
    <w:rsid w:val="003357FD"/>
    <w:rsid w:val="0033619D"/>
    <w:rsid w:val="003363E4"/>
    <w:rsid w:val="00336F20"/>
    <w:rsid w:val="00337157"/>
    <w:rsid w:val="00341341"/>
    <w:rsid w:val="003420D4"/>
    <w:rsid w:val="003429F1"/>
    <w:rsid w:val="00342AEA"/>
    <w:rsid w:val="00343C96"/>
    <w:rsid w:val="00343D61"/>
    <w:rsid w:val="00343E5A"/>
    <w:rsid w:val="00344422"/>
    <w:rsid w:val="00347C79"/>
    <w:rsid w:val="00352423"/>
    <w:rsid w:val="0035411A"/>
    <w:rsid w:val="0035471F"/>
    <w:rsid w:val="00356A66"/>
    <w:rsid w:val="00357378"/>
    <w:rsid w:val="00361DD6"/>
    <w:rsid w:val="00362059"/>
    <w:rsid w:val="003644F0"/>
    <w:rsid w:val="003649B1"/>
    <w:rsid w:val="00365A26"/>
    <w:rsid w:val="0036645C"/>
    <w:rsid w:val="003707B4"/>
    <w:rsid w:val="00370897"/>
    <w:rsid w:val="00371F4F"/>
    <w:rsid w:val="00372AAE"/>
    <w:rsid w:val="0037349D"/>
    <w:rsid w:val="00373E13"/>
    <w:rsid w:val="003745FB"/>
    <w:rsid w:val="00375B92"/>
    <w:rsid w:val="00377855"/>
    <w:rsid w:val="00380BBD"/>
    <w:rsid w:val="003814B6"/>
    <w:rsid w:val="003818BD"/>
    <w:rsid w:val="00381C8E"/>
    <w:rsid w:val="00381F59"/>
    <w:rsid w:val="0038322C"/>
    <w:rsid w:val="003840BE"/>
    <w:rsid w:val="003845E7"/>
    <w:rsid w:val="00385684"/>
    <w:rsid w:val="0038615E"/>
    <w:rsid w:val="00387C01"/>
    <w:rsid w:val="00391A49"/>
    <w:rsid w:val="003921B7"/>
    <w:rsid w:val="00392EC9"/>
    <w:rsid w:val="0039340B"/>
    <w:rsid w:val="00393533"/>
    <w:rsid w:val="00393895"/>
    <w:rsid w:val="00396284"/>
    <w:rsid w:val="003963E0"/>
    <w:rsid w:val="00396B55"/>
    <w:rsid w:val="003A002D"/>
    <w:rsid w:val="003A0D4F"/>
    <w:rsid w:val="003A19AE"/>
    <w:rsid w:val="003A2D58"/>
    <w:rsid w:val="003A3ED1"/>
    <w:rsid w:val="003A4F98"/>
    <w:rsid w:val="003A6223"/>
    <w:rsid w:val="003A68AA"/>
    <w:rsid w:val="003A7E3B"/>
    <w:rsid w:val="003B4394"/>
    <w:rsid w:val="003B46CF"/>
    <w:rsid w:val="003B5D6E"/>
    <w:rsid w:val="003C0B98"/>
    <w:rsid w:val="003C1D28"/>
    <w:rsid w:val="003C2A5A"/>
    <w:rsid w:val="003C6187"/>
    <w:rsid w:val="003D1F1D"/>
    <w:rsid w:val="003D2182"/>
    <w:rsid w:val="003D48A6"/>
    <w:rsid w:val="003D5076"/>
    <w:rsid w:val="003D559E"/>
    <w:rsid w:val="003D60A2"/>
    <w:rsid w:val="003D6F4E"/>
    <w:rsid w:val="003E085F"/>
    <w:rsid w:val="003E2899"/>
    <w:rsid w:val="003E3D23"/>
    <w:rsid w:val="003E4E5D"/>
    <w:rsid w:val="003E4EDE"/>
    <w:rsid w:val="003E5F7D"/>
    <w:rsid w:val="003E783E"/>
    <w:rsid w:val="003E7880"/>
    <w:rsid w:val="003F06C4"/>
    <w:rsid w:val="003F25B0"/>
    <w:rsid w:val="003F27D8"/>
    <w:rsid w:val="003F2FE1"/>
    <w:rsid w:val="003F3015"/>
    <w:rsid w:val="003F3074"/>
    <w:rsid w:val="003F559C"/>
    <w:rsid w:val="003F78BD"/>
    <w:rsid w:val="003F7A51"/>
    <w:rsid w:val="004013DC"/>
    <w:rsid w:val="00402ED7"/>
    <w:rsid w:val="00403EA5"/>
    <w:rsid w:val="00403F83"/>
    <w:rsid w:val="00405B3F"/>
    <w:rsid w:val="00407706"/>
    <w:rsid w:val="004102A4"/>
    <w:rsid w:val="00410B15"/>
    <w:rsid w:val="00411F52"/>
    <w:rsid w:val="004206ED"/>
    <w:rsid w:val="004227AA"/>
    <w:rsid w:val="00422C96"/>
    <w:rsid w:val="0042360A"/>
    <w:rsid w:val="004249A5"/>
    <w:rsid w:val="00424A31"/>
    <w:rsid w:val="00425275"/>
    <w:rsid w:val="0042662B"/>
    <w:rsid w:val="00427568"/>
    <w:rsid w:val="00434241"/>
    <w:rsid w:val="004361FC"/>
    <w:rsid w:val="004432A8"/>
    <w:rsid w:val="00447B15"/>
    <w:rsid w:val="00447F61"/>
    <w:rsid w:val="00454405"/>
    <w:rsid w:val="00454408"/>
    <w:rsid w:val="00455785"/>
    <w:rsid w:val="00456871"/>
    <w:rsid w:val="00456C60"/>
    <w:rsid w:val="004579B4"/>
    <w:rsid w:val="00457E29"/>
    <w:rsid w:val="00463CE6"/>
    <w:rsid w:val="00464CBE"/>
    <w:rsid w:val="0046532D"/>
    <w:rsid w:val="00466A5F"/>
    <w:rsid w:val="00466ABC"/>
    <w:rsid w:val="00471DC5"/>
    <w:rsid w:val="00473084"/>
    <w:rsid w:val="0047463E"/>
    <w:rsid w:val="00474909"/>
    <w:rsid w:val="00476ADA"/>
    <w:rsid w:val="00483110"/>
    <w:rsid w:val="00486934"/>
    <w:rsid w:val="004873B0"/>
    <w:rsid w:val="00487CC1"/>
    <w:rsid w:val="0049068C"/>
    <w:rsid w:val="00494BCC"/>
    <w:rsid w:val="00494F74"/>
    <w:rsid w:val="004960A7"/>
    <w:rsid w:val="00496105"/>
    <w:rsid w:val="004A0071"/>
    <w:rsid w:val="004A4198"/>
    <w:rsid w:val="004A6819"/>
    <w:rsid w:val="004B3EF9"/>
    <w:rsid w:val="004C05DF"/>
    <w:rsid w:val="004C2671"/>
    <w:rsid w:val="004C32E3"/>
    <w:rsid w:val="004C35E2"/>
    <w:rsid w:val="004C3E64"/>
    <w:rsid w:val="004C55F9"/>
    <w:rsid w:val="004C5C15"/>
    <w:rsid w:val="004D0499"/>
    <w:rsid w:val="004D1F2C"/>
    <w:rsid w:val="004D2311"/>
    <w:rsid w:val="004D4445"/>
    <w:rsid w:val="004D4B52"/>
    <w:rsid w:val="004D4C1F"/>
    <w:rsid w:val="004D57D0"/>
    <w:rsid w:val="004D642E"/>
    <w:rsid w:val="004D6CA0"/>
    <w:rsid w:val="004D74C0"/>
    <w:rsid w:val="004D7577"/>
    <w:rsid w:val="004E0365"/>
    <w:rsid w:val="004E2C69"/>
    <w:rsid w:val="004E2E47"/>
    <w:rsid w:val="004E2FEA"/>
    <w:rsid w:val="004E4D86"/>
    <w:rsid w:val="004E7B6B"/>
    <w:rsid w:val="004F0041"/>
    <w:rsid w:val="004F00F8"/>
    <w:rsid w:val="004F2783"/>
    <w:rsid w:val="004F28A8"/>
    <w:rsid w:val="004F2F84"/>
    <w:rsid w:val="004F305F"/>
    <w:rsid w:val="004F340D"/>
    <w:rsid w:val="004F3983"/>
    <w:rsid w:val="004F3B24"/>
    <w:rsid w:val="004F4795"/>
    <w:rsid w:val="004F61C8"/>
    <w:rsid w:val="004F662B"/>
    <w:rsid w:val="00500016"/>
    <w:rsid w:val="00503194"/>
    <w:rsid w:val="005031DD"/>
    <w:rsid w:val="0050385F"/>
    <w:rsid w:val="00504054"/>
    <w:rsid w:val="005059AA"/>
    <w:rsid w:val="00505C7B"/>
    <w:rsid w:val="0050623A"/>
    <w:rsid w:val="005064A4"/>
    <w:rsid w:val="0050657C"/>
    <w:rsid w:val="00510E78"/>
    <w:rsid w:val="005132A6"/>
    <w:rsid w:val="00513B70"/>
    <w:rsid w:val="00513E2D"/>
    <w:rsid w:val="00514776"/>
    <w:rsid w:val="00516E7B"/>
    <w:rsid w:val="00520A48"/>
    <w:rsid w:val="005214B8"/>
    <w:rsid w:val="00522547"/>
    <w:rsid w:val="00522CE1"/>
    <w:rsid w:val="0052608D"/>
    <w:rsid w:val="005271C6"/>
    <w:rsid w:val="00527B9E"/>
    <w:rsid w:val="0053145A"/>
    <w:rsid w:val="00532810"/>
    <w:rsid w:val="0053463F"/>
    <w:rsid w:val="00534C92"/>
    <w:rsid w:val="00534DFD"/>
    <w:rsid w:val="00537329"/>
    <w:rsid w:val="00537FCB"/>
    <w:rsid w:val="005461E8"/>
    <w:rsid w:val="005465EB"/>
    <w:rsid w:val="00551E57"/>
    <w:rsid w:val="0055305C"/>
    <w:rsid w:val="00555167"/>
    <w:rsid w:val="005576D3"/>
    <w:rsid w:val="00560069"/>
    <w:rsid w:val="0056051B"/>
    <w:rsid w:val="005608C3"/>
    <w:rsid w:val="0056130A"/>
    <w:rsid w:val="00561802"/>
    <w:rsid w:val="00562B9E"/>
    <w:rsid w:val="0056315A"/>
    <w:rsid w:val="005631C7"/>
    <w:rsid w:val="00565087"/>
    <w:rsid w:val="00565D53"/>
    <w:rsid w:val="00567066"/>
    <w:rsid w:val="00570953"/>
    <w:rsid w:val="00570BF5"/>
    <w:rsid w:val="005717AB"/>
    <w:rsid w:val="00571F10"/>
    <w:rsid w:val="0057262C"/>
    <w:rsid w:val="00574373"/>
    <w:rsid w:val="005749E9"/>
    <w:rsid w:val="00575D96"/>
    <w:rsid w:val="00577F3C"/>
    <w:rsid w:val="0058230D"/>
    <w:rsid w:val="0058249D"/>
    <w:rsid w:val="00582C94"/>
    <w:rsid w:val="00582DF6"/>
    <w:rsid w:val="0059187A"/>
    <w:rsid w:val="00591D72"/>
    <w:rsid w:val="00591F41"/>
    <w:rsid w:val="00593693"/>
    <w:rsid w:val="00596EA8"/>
    <w:rsid w:val="00597C23"/>
    <w:rsid w:val="005A0EB8"/>
    <w:rsid w:val="005A18A2"/>
    <w:rsid w:val="005A39E1"/>
    <w:rsid w:val="005A48B3"/>
    <w:rsid w:val="005A5EFC"/>
    <w:rsid w:val="005A789D"/>
    <w:rsid w:val="005B0420"/>
    <w:rsid w:val="005B0BFA"/>
    <w:rsid w:val="005B37AC"/>
    <w:rsid w:val="005B549D"/>
    <w:rsid w:val="005B6A2A"/>
    <w:rsid w:val="005C0141"/>
    <w:rsid w:val="005C14A6"/>
    <w:rsid w:val="005C1FF0"/>
    <w:rsid w:val="005C4C20"/>
    <w:rsid w:val="005C64CF"/>
    <w:rsid w:val="005C68B4"/>
    <w:rsid w:val="005D1415"/>
    <w:rsid w:val="005D4614"/>
    <w:rsid w:val="005D541C"/>
    <w:rsid w:val="005D5EBB"/>
    <w:rsid w:val="005D7B8E"/>
    <w:rsid w:val="005E0598"/>
    <w:rsid w:val="005E05D4"/>
    <w:rsid w:val="005E0A87"/>
    <w:rsid w:val="005E1713"/>
    <w:rsid w:val="005E1843"/>
    <w:rsid w:val="005E5BF2"/>
    <w:rsid w:val="005E65AB"/>
    <w:rsid w:val="005E75EB"/>
    <w:rsid w:val="005F495E"/>
    <w:rsid w:val="00600917"/>
    <w:rsid w:val="006010E7"/>
    <w:rsid w:val="00602907"/>
    <w:rsid w:val="006031F8"/>
    <w:rsid w:val="0060552C"/>
    <w:rsid w:val="006059AA"/>
    <w:rsid w:val="00605B7A"/>
    <w:rsid w:val="00612CE1"/>
    <w:rsid w:val="006162DC"/>
    <w:rsid w:val="00617093"/>
    <w:rsid w:val="00620F70"/>
    <w:rsid w:val="0062213C"/>
    <w:rsid w:val="00623882"/>
    <w:rsid w:val="00625942"/>
    <w:rsid w:val="00625E6A"/>
    <w:rsid w:val="006262E5"/>
    <w:rsid w:val="006275B0"/>
    <w:rsid w:val="006278E5"/>
    <w:rsid w:val="0063068C"/>
    <w:rsid w:val="0063236A"/>
    <w:rsid w:val="006331A1"/>
    <w:rsid w:val="006333DD"/>
    <w:rsid w:val="00633B62"/>
    <w:rsid w:val="00636972"/>
    <w:rsid w:val="0064050E"/>
    <w:rsid w:val="00640D1C"/>
    <w:rsid w:val="00642057"/>
    <w:rsid w:val="00642C88"/>
    <w:rsid w:val="006447A3"/>
    <w:rsid w:val="0064517D"/>
    <w:rsid w:val="00647BF2"/>
    <w:rsid w:val="006514BA"/>
    <w:rsid w:val="00653FE5"/>
    <w:rsid w:val="00654D2A"/>
    <w:rsid w:val="0065522C"/>
    <w:rsid w:val="00655B21"/>
    <w:rsid w:val="006574F9"/>
    <w:rsid w:val="006600C3"/>
    <w:rsid w:val="0066060F"/>
    <w:rsid w:val="0066086B"/>
    <w:rsid w:val="00662159"/>
    <w:rsid w:val="0066243F"/>
    <w:rsid w:val="006631FD"/>
    <w:rsid w:val="0066320D"/>
    <w:rsid w:val="006670BF"/>
    <w:rsid w:val="00670317"/>
    <w:rsid w:val="00670CA3"/>
    <w:rsid w:val="00671E5A"/>
    <w:rsid w:val="006721FD"/>
    <w:rsid w:val="006726D8"/>
    <w:rsid w:val="00672D7D"/>
    <w:rsid w:val="006731DE"/>
    <w:rsid w:val="0067489C"/>
    <w:rsid w:val="00674D00"/>
    <w:rsid w:val="00677FCD"/>
    <w:rsid w:val="0068163F"/>
    <w:rsid w:val="00682CC5"/>
    <w:rsid w:val="00682E4B"/>
    <w:rsid w:val="006847D4"/>
    <w:rsid w:val="0068608F"/>
    <w:rsid w:val="0068764B"/>
    <w:rsid w:val="00695014"/>
    <w:rsid w:val="006A1803"/>
    <w:rsid w:val="006A3445"/>
    <w:rsid w:val="006A45FC"/>
    <w:rsid w:val="006A5BC2"/>
    <w:rsid w:val="006A688F"/>
    <w:rsid w:val="006A6CCD"/>
    <w:rsid w:val="006B0371"/>
    <w:rsid w:val="006B2171"/>
    <w:rsid w:val="006B3D91"/>
    <w:rsid w:val="006B41D2"/>
    <w:rsid w:val="006B581C"/>
    <w:rsid w:val="006B656D"/>
    <w:rsid w:val="006B7437"/>
    <w:rsid w:val="006B7B42"/>
    <w:rsid w:val="006C2528"/>
    <w:rsid w:val="006C41E5"/>
    <w:rsid w:val="006C42B1"/>
    <w:rsid w:val="006C44E4"/>
    <w:rsid w:val="006C499D"/>
    <w:rsid w:val="006C7996"/>
    <w:rsid w:val="006C7997"/>
    <w:rsid w:val="006D0AA0"/>
    <w:rsid w:val="006D189C"/>
    <w:rsid w:val="006D4B13"/>
    <w:rsid w:val="006D5ABB"/>
    <w:rsid w:val="006D6B1D"/>
    <w:rsid w:val="006E23A0"/>
    <w:rsid w:val="006E6B2F"/>
    <w:rsid w:val="006F068F"/>
    <w:rsid w:val="006F1CF5"/>
    <w:rsid w:val="006F38ED"/>
    <w:rsid w:val="006F4196"/>
    <w:rsid w:val="006F4AAD"/>
    <w:rsid w:val="006F6E9B"/>
    <w:rsid w:val="006F7318"/>
    <w:rsid w:val="0070228D"/>
    <w:rsid w:val="00703D27"/>
    <w:rsid w:val="007045AD"/>
    <w:rsid w:val="00704DBF"/>
    <w:rsid w:val="00705456"/>
    <w:rsid w:val="00705D39"/>
    <w:rsid w:val="007077C1"/>
    <w:rsid w:val="00710CBA"/>
    <w:rsid w:val="0071164C"/>
    <w:rsid w:val="00711898"/>
    <w:rsid w:val="00711F8C"/>
    <w:rsid w:val="00712F86"/>
    <w:rsid w:val="00714424"/>
    <w:rsid w:val="0071526C"/>
    <w:rsid w:val="0071765F"/>
    <w:rsid w:val="007178E9"/>
    <w:rsid w:val="00720424"/>
    <w:rsid w:val="007214CA"/>
    <w:rsid w:val="00725A0E"/>
    <w:rsid w:val="00726252"/>
    <w:rsid w:val="007304A6"/>
    <w:rsid w:val="007339E4"/>
    <w:rsid w:val="00734288"/>
    <w:rsid w:val="00735759"/>
    <w:rsid w:val="007358E4"/>
    <w:rsid w:val="00735E6B"/>
    <w:rsid w:val="00736A77"/>
    <w:rsid w:val="00741211"/>
    <w:rsid w:val="00741DC4"/>
    <w:rsid w:val="00743A1E"/>
    <w:rsid w:val="00746931"/>
    <w:rsid w:val="00750877"/>
    <w:rsid w:val="00752255"/>
    <w:rsid w:val="00753827"/>
    <w:rsid w:val="00754332"/>
    <w:rsid w:val="007553F1"/>
    <w:rsid w:val="00755FAB"/>
    <w:rsid w:val="00756790"/>
    <w:rsid w:val="00756AD4"/>
    <w:rsid w:val="00757C9C"/>
    <w:rsid w:val="00757FAF"/>
    <w:rsid w:val="00764048"/>
    <w:rsid w:val="00765E0F"/>
    <w:rsid w:val="00766657"/>
    <w:rsid w:val="00766855"/>
    <w:rsid w:val="0076705F"/>
    <w:rsid w:val="0077076E"/>
    <w:rsid w:val="00771D68"/>
    <w:rsid w:val="007723F7"/>
    <w:rsid w:val="0077284A"/>
    <w:rsid w:val="0077377A"/>
    <w:rsid w:val="00774D12"/>
    <w:rsid w:val="00774D7B"/>
    <w:rsid w:val="007775A5"/>
    <w:rsid w:val="007809BD"/>
    <w:rsid w:val="0078118A"/>
    <w:rsid w:val="0078578A"/>
    <w:rsid w:val="00787A6F"/>
    <w:rsid w:val="00791A84"/>
    <w:rsid w:val="00792A1C"/>
    <w:rsid w:val="00793B83"/>
    <w:rsid w:val="00793C13"/>
    <w:rsid w:val="00795D39"/>
    <w:rsid w:val="007A08CC"/>
    <w:rsid w:val="007A1928"/>
    <w:rsid w:val="007A204C"/>
    <w:rsid w:val="007A210E"/>
    <w:rsid w:val="007A364A"/>
    <w:rsid w:val="007A4B09"/>
    <w:rsid w:val="007A661C"/>
    <w:rsid w:val="007B0AA0"/>
    <w:rsid w:val="007B0BC7"/>
    <w:rsid w:val="007B0F95"/>
    <w:rsid w:val="007B3C2B"/>
    <w:rsid w:val="007B3D86"/>
    <w:rsid w:val="007B778B"/>
    <w:rsid w:val="007C0072"/>
    <w:rsid w:val="007C081D"/>
    <w:rsid w:val="007C1EFD"/>
    <w:rsid w:val="007C2197"/>
    <w:rsid w:val="007C307B"/>
    <w:rsid w:val="007C369A"/>
    <w:rsid w:val="007C4524"/>
    <w:rsid w:val="007C49A7"/>
    <w:rsid w:val="007C5594"/>
    <w:rsid w:val="007C6533"/>
    <w:rsid w:val="007C7BF9"/>
    <w:rsid w:val="007D0B41"/>
    <w:rsid w:val="007D0DCE"/>
    <w:rsid w:val="007D0EEC"/>
    <w:rsid w:val="007D1E69"/>
    <w:rsid w:val="007D3A7A"/>
    <w:rsid w:val="007D5F60"/>
    <w:rsid w:val="007D7398"/>
    <w:rsid w:val="007E0EE4"/>
    <w:rsid w:val="007E1268"/>
    <w:rsid w:val="007E15A6"/>
    <w:rsid w:val="007E2E73"/>
    <w:rsid w:val="007E6D8E"/>
    <w:rsid w:val="007E7586"/>
    <w:rsid w:val="007F5328"/>
    <w:rsid w:val="00803B88"/>
    <w:rsid w:val="00804367"/>
    <w:rsid w:val="00806EA1"/>
    <w:rsid w:val="00810FF0"/>
    <w:rsid w:val="008112AC"/>
    <w:rsid w:val="008124AB"/>
    <w:rsid w:val="00812EA4"/>
    <w:rsid w:val="00815D5C"/>
    <w:rsid w:val="00821E90"/>
    <w:rsid w:val="00822581"/>
    <w:rsid w:val="008243B8"/>
    <w:rsid w:val="008254A5"/>
    <w:rsid w:val="00825546"/>
    <w:rsid w:val="00825CE6"/>
    <w:rsid w:val="0083436A"/>
    <w:rsid w:val="00840921"/>
    <w:rsid w:val="008422CA"/>
    <w:rsid w:val="00852A80"/>
    <w:rsid w:val="00855F14"/>
    <w:rsid w:val="008570E0"/>
    <w:rsid w:val="00857E01"/>
    <w:rsid w:val="0086038D"/>
    <w:rsid w:val="008621A4"/>
    <w:rsid w:val="00862F5D"/>
    <w:rsid w:val="00864C88"/>
    <w:rsid w:val="008665EC"/>
    <w:rsid w:val="00870597"/>
    <w:rsid w:val="00871975"/>
    <w:rsid w:val="00872226"/>
    <w:rsid w:val="0087222A"/>
    <w:rsid w:val="00872342"/>
    <w:rsid w:val="00882CBC"/>
    <w:rsid w:val="00883AB8"/>
    <w:rsid w:val="0089022A"/>
    <w:rsid w:val="008916E7"/>
    <w:rsid w:val="008937AE"/>
    <w:rsid w:val="00893C5D"/>
    <w:rsid w:val="00894BC1"/>
    <w:rsid w:val="00897FB6"/>
    <w:rsid w:val="008A0C13"/>
    <w:rsid w:val="008A1883"/>
    <w:rsid w:val="008A1932"/>
    <w:rsid w:val="008A31A2"/>
    <w:rsid w:val="008A4276"/>
    <w:rsid w:val="008A7A33"/>
    <w:rsid w:val="008B0413"/>
    <w:rsid w:val="008B17A1"/>
    <w:rsid w:val="008B47AA"/>
    <w:rsid w:val="008B4E60"/>
    <w:rsid w:val="008B4FDC"/>
    <w:rsid w:val="008B6A54"/>
    <w:rsid w:val="008B7B7A"/>
    <w:rsid w:val="008C074D"/>
    <w:rsid w:val="008C0B7F"/>
    <w:rsid w:val="008C217E"/>
    <w:rsid w:val="008C2649"/>
    <w:rsid w:val="008C3246"/>
    <w:rsid w:val="008C324D"/>
    <w:rsid w:val="008C55EC"/>
    <w:rsid w:val="008C7A18"/>
    <w:rsid w:val="008D0B09"/>
    <w:rsid w:val="008D4084"/>
    <w:rsid w:val="008D412C"/>
    <w:rsid w:val="008D4237"/>
    <w:rsid w:val="008D53D3"/>
    <w:rsid w:val="008D67C2"/>
    <w:rsid w:val="008D6C6C"/>
    <w:rsid w:val="008E0660"/>
    <w:rsid w:val="008E243F"/>
    <w:rsid w:val="008E4056"/>
    <w:rsid w:val="008E5C2A"/>
    <w:rsid w:val="008F00F5"/>
    <w:rsid w:val="008F1103"/>
    <w:rsid w:val="008F2AC7"/>
    <w:rsid w:val="008F2ED6"/>
    <w:rsid w:val="008F38CA"/>
    <w:rsid w:val="008F5127"/>
    <w:rsid w:val="008F7C45"/>
    <w:rsid w:val="00900D95"/>
    <w:rsid w:val="009011F4"/>
    <w:rsid w:val="00903A0A"/>
    <w:rsid w:val="00904120"/>
    <w:rsid w:val="00905B5F"/>
    <w:rsid w:val="0091455D"/>
    <w:rsid w:val="00915CF1"/>
    <w:rsid w:val="00917743"/>
    <w:rsid w:val="00917813"/>
    <w:rsid w:val="00920A28"/>
    <w:rsid w:val="00921366"/>
    <w:rsid w:val="00921748"/>
    <w:rsid w:val="00921F14"/>
    <w:rsid w:val="00923211"/>
    <w:rsid w:val="00923E3E"/>
    <w:rsid w:val="00925EBA"/>
    <w:rsid w:val="00927291"/>
    <w:rsid w:val="00927C89"/>
    <w:rsid w:val="0093124F"/>
    <w:rsid w:val="009329EC"/>
    <w:rsid w:val="009348F9"/>
    <w:rsid w:val="0093634A"/>
    <w:rsid w:val="0093706A"/>
    <w:rsid w:val="00941E76"/>
    <w:rsid w:val="00942775"/>
    <w:rsid w:val="009466DE"/>
    <w:rsid w:val="00947FBA"/>
    <w:rsid w:val="00950D1A"/>
    <w:rsid w:val="00950D5C"/>
    <w:rsid w:val="00951332"/>
    <w:rsid w:val="009520F6"/>
    <w:rsid w:val="00952D04"/>
    <w:rsid w:val="009532A0"/>
    <w:rsid w:val="00955D06"/>
    <w:rsid w:val="00956231"/>
    <w:rsid w:val="0095638E"/>
    <w:rsid w:val="00956E72"/>
    <w:rsid w:val="00962C7D"/>
    <w:rsid w:val="0096474D"/>
    <w:rsid w:val="00964FC6"/>
    <w:rsid w:val="009659FC"/>
    <w:rsid w:val="009675EB"/>
    <w:rsid w:val="00970658"/>
    <w:rsid w:val="009728E5"/>
    <w:rsid w:val="00974FE4"/>
    <w:rsid w:val="0097608C"/>
    <w:rsid w:val="00977387"/>
    <w:rsid w:val="00980089"/>
    <w:rsid w:val="00980124"/>
    <w:rsid w:val="0098034B"/>
    <w:rsid w:val="00980CC5"/>
    <w:rsid w:val="009819A0"/>
    <w:rsid w:val="009832EC"/>
    <w:rsid w:val="00983C12"/>
    <w:rsid w:val="0098675C"/>
    <w:rsid w:val="00987999"/>
    <w:rsid w:val="00991140"/>
    <w:rsid w:val="009916FD"/>
    <w:rsid w:val="00991F4F"/>
    <w:rsid w:val="0099204C"/>
    <w:rsid w:val="009924CE"/>
    <w:rsid w:val="00992BE4"/>
    <w:rsid w:val="00994628"/>
    <w:rsid w:val="009969AF"/>
    <w:rsid w:val="00996A8B"/>
    <w:rsid w:val="00996D9B"/>
    <w:rsid w:val="0099730E"/>
    <w:rsid w:val="00997F9E"/>
    <w:rsid w:val="009A0B7F"/>
    <w:rsid w:val="009A0F61"/>
    <w:rsid w:val="009A2A53"/>
    <w:rsid w:val="009A3B7D"/>
    <w:rsid w:val="009A552A"/>
    <w:rsid w:val="009A6925"/>
    <w:rsid w:val="009A6DAA"/>
    <w:rsid w:val="009B0C14"/>
    <w:rsid w:val="009B1A49"/>
    <w:rsid w:val="009B2DC5"/>
    <w:rsid w:val="009B3CB5"/>
    <w:rsid w:val="009B484D"/>
    <w:rsid w:val="009B4FF8"/>
    <w:rsid w:val="009B5390"/>
    <w:rsid w:val="009B5DBF"/>
    <w:rsid w:val="009C0E11"/>
    <w:rsid w:val="009C3C9E"/>
    <w:rsid w:val="009C624E"/>
    <w:rsid w:val="009C6576"/>
    <w:rsid w:val="009C66CD"/>
    <w:rsid w:val="009D1F37"/>
    <w:rsid w:val="009D3500"/>
    <w:rsid w:val="009D351A"/>
    <w:rsid w:val="009D36EB"/>
    <w:rsid w:val="009D4C13"/>
    <w:rsid w:val="009D6DD7"/>
    <w:rsid w:val="009E1502"/>
    <w:rsid w:val="009E16ED"/>
    <w:rsid w:val="009E1ABE"/>
    <w:rsid w:val="009E251C"/>
    <w:rsid w:val="009E33AC"/>
    <w:rsid w:val="009E4450"/>
    <w:rsid w:val="009E562B"/>
    <w:rsid w:val="009F171C"/>
    <w:rsid w:val="009F1BB8"/>
    <w:rsid w:val="009F2C2A"/>
    <w:rsid w:val="009F3806"/>
    <w:rsid w:val="009F46CD"/>
    <w:rsid w:val="009F51F6"/>
    <w:rsid w:val="009F5371"/>
    <w:rsid w:val="009F5929"/>
    <w:rsid w:val="009F6F4B"/>
    <w:rsid w:val="009F794F"/>
    <w:rsid w:val="00A0031D"/>
    <w:rsid w:val="00A027FF"/>
    <w:rsid w:val="00A11BB3"/>
    <w:rsid w:val="00A1259F"/>
    <w:rsid w:val="00A12A0B"/>
    <w:rsid w:val="00A12F07"/>
    <w:rsid w:val="00A13C7E"/>
    <w:rsid w:val="00A16551"/>
    <w:rsid w:val="00A17794"/>
    <w:rsid w:val="00A210CD"/>
    <w:rsid w:val="00A215D2"/>
    <w:rsid w:val="00A23274"/>
    <w:rsid w:val="00A2420A"/>
    <w:rsid w:val="00A2499A"/>
    <w:rsid w:val="00A25E68"/>
    <w:rsid w:val="00A27DAE"/>
    <w:rsid w:val="00A304A7"/>
    <w:rsid w:val="00A338A1"/>
    <w:rsid w:val="00A40E50"/>
    <w:rsid w:val="00A41489"/>
    <w:rsid w:val="00A4290A"/>
    <w:rsid w:val="00A43E26"/>
    <w:rsid w:val="00A4517B"/>
    <w:rsid w:val="00A45442"/>
    <w:rsid w:val="00A45574"/>
    <w:rsid w:val="00A45C82"/>
    <w:rsid w:val="00A46674"/>
    <w:rsid w:val="00A50670"/>
    <w:rsid w:val="00A51083"/>
    <w:rsid w:val="00A51669"/>
    <w:rsid w:val="00A5288F"/>
    <w:rsid w:val="00A533E9"/>
    <w:rsid w:val="00A53F71"/>
    <w:rsid w:val="00A55777"/>
    <w:rsid w:val="00A57AB2"/>
    <w:rsid w:val="00A60971"/>
    <w:rsid w:val="00A60B15"/>
    <w:rsid w:val="00A619CA"/>
    <w:rsid w:val="00A63E5C"/>
    <w:rsid w:val="00A72351"/>
    <w:rsid w:val="00A72C71"/>
    <w:rsid w:val="00A7441A"/>
    <w:rsid w:val="00A755DD"/>
    <w:rsid w:val="00A779D4"/>
    <w:rsid w:val="00A81871"/>
    <w:rsid w:val="00A81D81"/>
    <w:rsid w:val="00A90A56"/>
    <w:rsid w:val="00A92579"/>
    <w:rsid w:val="00A93326"/>
    <w:rsid w:val="00A94769"/>
    <w:rsid w:val="00A95A82"/>
    <w:rsid w:val="00A9622D"/>
    <w:rsid w:val="00A962C6"/>
    <w:rsid w:val="00A96F64"/>
    <w:rsid w:val="00AA0C22"/>
    <w:rsid w:val="00AA4291"/>
    <w:rsid w:val="00AA6DBC"/>
    <w:rsid w:val="00AB065A"/>
    <w:rsid w:val="00AB18CC"/>
    <w:rsid w:val="00AB3DB4"/>
    <w:rsid w:val="00AB454F"/>
    <w:rsid w:val="00AC07D6"/>
    <w:rsid w:val="00AC20D5"/>
    <w:rsid w:val="00AC3259"/>
    <w:rsid w:val="00AC343C"/>
    <w:rsid w:val="00AC3530"/>
    <w:rsid w:val="00AC5306"/>
    <w:rsid w:val="00AC5A8C"/>
    <w:rsid w:val="00AD132F"/>
    <w:rsid w:val="00AD1B2A"/>
    <w:rsid w:val="00AD1BE8"/>
    <w:rsid w:val="00AD36B4"/>
    <w:rsid w:val="00AD3973"/>
    <w:rsid w:val="00AD5F79"/>
    <w:rsid w:val="00AE45B8"/>
    <w:rsid w:val="00AE4C42"/>
    <w:rsid w:val="00AE5809"/>
    <w:rsid w:val="00AE5983"/>
    <w:rsid w:val="00AE75C5"/>
    <w:rsid w:val="00AE7BEC"/>
    <w:rsid w:val="00AF2BAD"/>
    <w:rsid w:val="00AF3089"/>
    <w:rsid w:val="00AF32B4"/>
    <w:rsid w:val="00AF5895"/>
    <w:rsid w:val="00AF7A3B"/>
    <w:rsid w:val="00B016A6"/>
    <w:rsid w:val="00B017DB"/>
    <w:rsid w:val="00B032DA"/>
    <w:rsid w:val="00B03895"/>
    <w:rsid w:val="00B05459"/>
    <w:rsid w:val="00B06151"/>
    <w:rsid w:val="00B079DF"/>
    <w:rsid w:val="00B10325"/>
    <w:rsid w:val="00B109F7"/>
    <w:rsid w:val="00B114BF"/>
    <w:rsid w:val="00B114E9"/>
    <w:rsid w:val="00B14A8E"/>
    <w:rsid w:val="00B169B6"/>
    <w:rsid w:val="00B203D3"/>
    <w:rsid w:val="00B239E7"/>
    <w:rsid w:val="00B253D3"/>
    <w:rsid w:val="00B262AA"/>
    <w:rsid w:val="00B26C5D"/>
    <w:rsid w:val="00B26C65"/>
    <w:rsid w:val="00B3034F"/>
    <w:rsid w:val="00B3220A"/>
    <w:rsid w:val="00B328DA"/>
    <w:rsid w:val="00B32DB0"/>
    <w:rsid w:val="00B32F30"/>
    <w:rsid w:val="00B363D3"/>
    <w:rsid w:val="00B3769C"/>
    <w:rsid w:val="00B40D6D"/>
    <w:rsid w:val="00B40FB9"/>
    <w:rsid w:val="00B418CB"/>
    <w:rsid w:val="00B43657"/>
    <w:rsid w:val="00B47F3B"/>
    <w:rsid w:val="00B5041B"/>
    <w:rsid w:val="00B50686"/>
    <w:rsid w:val="00B50D27"/>
    <w:rsid w:val="00B51811"/>
    <w:rsid w:val="00B53EEF"/>
    <w:rsid w:val="00B54C7B"/>
    <w:rsid w:val="00B60B36"/>
    <w:rsid w:val="00B61204"/>
    <w:rsid w:val="00B61527"/>
    <w:rsid w:val="00B631D4"/>
    <w:rsid w:val="00B64548"/>
    <w:rsid w:val="00B64C06"/>
    <w:rsid w:val="00B65202"/>
    <w:rsid w:val="00B6622D"/>
    <w:rsid w:val="00B705BB"/>
    <w:rsid w:val="00B7287C"/>
    <w:rsid w:val="00B73DFA"/>
    <w:rsid w:val="00B7442D"/>
    <w:rsid w:val="00B76680"/>
    <w:rsid w:val="00B76897"/>
    <w:rsid w:val="00B76AB8"/>
    <w:rsid w:val="00B7749E"/>
    <w:rsid w:val="00B77B67"/>
    <w:rsid w:val="00B80437"/>
    <w:rsid w:val="00B83688"/>
    <w:rsid w:val="00B843BE"/>
    <w:rsid w:val="00B86118"/>
    <w:rsid w:val="00B867E3"/>
    <w:rsid w:val="00B8786B"/>
    <w:rsid w:val="00B87C7B"/>
    <w:rsid w:val="00B91951"/>
    <w:rsid w:val="00B929CC"/>
    <w:rsid w:val="00B92C67"/>
    <w:rsid w:val="00B9513A"/>
    <w:rsid w:val="00B97E3D"/>
    <w:rsid w:val="00BA09AD"/>
    <w:rsid w:val="00BA09C2"/>
    <w:rsid w:val="00BA1C96"/>
    <w:rsid w:val="00BA32E5"/>
    <w:rsid w:val="00BA6A28"/>
    <w:rsid w:val="00BA74A5"/>
    <w:rsid w:val="00BB067A"/>
    <w:rsid w:val="00BB09DB"/>
    <w:rsid w:val="00BB23C5"/>
    <w:rsid w:val="00BB37D9"/>
    <w:rsid w:val="00BB7F9B"/>
    <w:rsid w:val="00BC14A0"/>
    <w:rsid w:val="00BC6779"/>
    <w:rsid w:val="00BC6D27"/>
    <w:rsid w:val="00BC6F9A"/>
    <w:rsid w:val="00BD66A7"/>
    <w:rsid w:val="00BE1700"/>
    <w:rsid w:val="00BE2272"/>
    <w:rsid w:val="00BF0793"/>
    <w:rsid w:val="00BF1EC2"/>
    <w:rsid w:val="00BF3C1E"/>
    <w:rsid w:val="00BF6068"/>
    <w:rsid w:val="00BF767C"/>
    <w:rsid w:val="00C0000B"/>
    <w:rsid w:val="00C03CEE"/>
    <w:rsid w:val="00C03F0B"/>
    <w:rsid w:val="00C04051"/>
    <w:rsid w:val="00C046CD"/>
    <w:rsid w:val="00C04B96"/>
    <w:rsid w:val="00C053FF"/>
    <w:rsid w:val="00C06465"/>
    <w:rsid w:val="00C07AC3"/>
    <w:rsid w:val="00C10B04"/>
    <w:rsid w:val="00C11428"/>
    <w:rsid w:val="00C1161D"/>
    <w:rsid w:val="00C12546"/>
    <w:rsid w:val="00C13CE8"/>
    <w:rsid w:val="00C2223B"/>
    <w:rsid w:val="00C24041"/>
    <w:rsid w:val="00C247B0"/>
    <w:rsid w:val="00C24C1B"/>
    <w:rsid w:val="00C25291"/>
    <w:rsid w:val="00C26CEF"/>
    <w:rsid w:val="00C2715F"/>
    <w:rsid w:val="00C27BBC"/>
    <w:rsid w:val="00C3227A"/>
    <w:rsid w:val="00C3244B"/>
    <w:rsid w:val="00C332D5"/>
    <w:rsid w:val="00C3388E"/>
    <w:rsid w:val="00C33AC5"/>
    <w:rsid w:val="00C34248"/>
    <w:rsid w:val="00C345A5"/>
    <w:rsid w:val="00C34F9D"/>
    <w:rsid w:val="00C454D7"/>
    <w:rsid w:val="00C455EA"/>
    <w:rsid w:val="00C45E95"/>
    <w:rsid w:val="00C465EA"/>
    <w:rsid w:val="00C46AF5"/>
    <w:rsid w:val="00C50211"/>
    <w:rsid w:val="00C508AD"/>
    <w:rsid w:val="00C52452"/>
    <w:rsid w:val="00C53930"/>
    <w:rsid w:val="00C54154"/>
    <w:rsid w:val="00C551CC"/>
    <w:rsid w:val="00C55A0D"/>
    <w:rsid w:val="00C57C8B"/>
    <w:rsid w:val="00C6133B"/>
    <w:rsid w:val="00C61974"/>
    <w:rsid w:val="00C62356"/>
    <w:rsid w:val="00C644BE"/>
    <w:rsid w:val="00C65077"/>
    <w:rsid w:val="00C652FD"/>
    <w:rsid w:val="00C65F17"/>
    <w:rsid w:val="00C7472E"/>
    <w:rsid w:val="00C752B9"/>
    <w:rsid w:val="00C76C34"/>
    <w:rsid w:val="00C771F2"/>
    <w:rsid w:val="00C77911"/>
    <w:rsid w:val="00C80979"/>
    <w:rsid w:val="00C840BC"/>
    <w:rsid w:val="00C844ED"/>
    <w:rsid w:val="00C84B37"/>
    <w:rsid w:val="00C8503D"/>
    <w:rsid w:val="00C922A8"/>
    <w:rsid w:val="00C92C6C"/>
    <w:rsid w:val="00C93067"/>
    <w:rsid w:val="00C93154"/>
    <w:rsid w:val="00C93557"/>
    <w:rsid w:val="00C93D16"/>
    <w:rsid w:val="00C94380"/>
    <w:rsid w:val="00C95269"/>
    <w:rsid w:val="00C95361"/>
    <w:rsid w:val="00C9599E"/>
    <w:rsid w:val="00C974C0"/>
    <w:rsid w:val="00CA0564"/>
    <w:rsid w:val="00CA09CE"/>
    <w:rsid w:val="00CA0B73"/>
    <w:rsid w:val="00CA6D42"/>
    <w:rsid w:val="00CA7E70"/>
    <w:rsid w:val="00CB0727"/>
    <w:rsid w:val="00CB10D7"/>
    <w:rsid w:val="00CB5446"/>
    <w:rsid w:val="00CB6D45"/>
    <w:rsid w:val="00CB7084"/>
    <w:rsid w:val="00CB753A"/>
    <w:rsid w:val="00CB79F6"/>
    <w:rsid w:val="00CB7A72"/>
    <w:rsid w:val="00CC72B2"/>
    <w:rsid w:val="00CC7ED9"/>
    <w:rsid w:val="00CD1720"/>
    <w:rsid w:val="00CD2826"/>
    <w:rsid w:val="00CE09F1"/>
    <w:rsid w:val="00CE254C"/>
    <w:rsid w:val="00CE5AFF"/>
    <w:rsid w:val="00CE698E"/>
    <w:rsid w:val="00CE6C84"/>
    <w:rsid w:val="00CF4B1D"/>
    <w:rsid w:val="00CF5229"/>
    <w:rsid w:val="00CF59F7"/>
    <w:rsid w:val="00CF7A41"/>
    <w:rsid w:val="00D003A1"/>
    <w:rsid w:val="00D05DF2"/>
    <w:rsid w:val="00D05EA7"/>
    <w:rsid w:val="00D07BDE"/>
    <w:rsid w:val="00D11658"/>
    <w:rsid w:val="00D12B35"/>
    <w:rsid w:val="00D1337A"/>
    <w:rsid w:val="00D15BBC"/>
    <w:rsid w:val="00D1667F"/>
    <w:rsid w:val="00D1680D"/>
    <w:rsid w:val="00D205A0"/>
    <w:rsid w:val="00D207E8"/>
    <w:rsid w:val="00D27B9F"/>
    <w:rsid w:val="00D31B52"/>
    <w:rsid w:val="00D322CD"/>
    <w:rsid w:val="00D34299"/>
    <w:rsid w:val="00D3459F"/>
    <w:rsid w:val="00D3586C"/>
    <w:rsid w:val="00D362E7"/>
    <w:rsid w:val="00D3643E"/>
    <w:rsid w:val="00D36CBA"/>
    <w:rsid w:val="00D36FBE"/>
    <w:rsid w:val="00D378DC"/>
    <w:rsid w:val="00D431EC"/>
    <w:rsid w:val="00D45330"/>
    <w:rsid w:val="00D463BE"/>
    <w:rsid w:val="00D467D9"/>
    <w:rsid w:val="00D476CF"/>
    <w:rsid w:val="00D5361C"/>
    <w:rsid w:val="00D5464E"/>
    <w:rsid w:val="00D55F72"/>
    <w:rsid w:val="00D564BD"/>
    <w:rsid w:val="00D57EBD"/>
    <w:rsid w:val="00D625D1"/>
    <w:rsid w:val="00D62776"/>
    <w:rsid w:val="00D627F4"/>
    <w:rsid w:val="00D6375E"/>
    <w:rsid w:val="00D65C92"/>
    <w:rsid w:val="00D65DEE"/>
    <w:rsid w:val="00D662C7"/>
    <w:rsid w:val="00D66444"/>
    <w:rsid w:val="00D665FD"/>
    <w:rsid w:val="00D6687A"/>
    <w:rsid w:val="00D704FA"/>
    <w:rsid w:val="00D7212D"/>
    <w:rsid w:val="00D72E99"/>
    <w:rsid w:val="00D740AF"/>
    <w:rsid w:val="00D76402"/>
    <w:rsid w:val="00D80211"/>
    <w:rsid w:val="00D80DDF"/>
    <w:rsid w:val="00D8198E"/>
    <w:rsid w:val="00D83527"/>
    <w:rsid w:val="00D85F14"/>
    <w:rsid w:val="00D92725"/>
    <w:rsid w:val="00D94AC7"/>
    <w:rsid w:val="00D9769F"/>
    <w:rsid w:val="00D97F7B"/>
    <w:rsid w:val="00DA2153"/>
    <w:rsid w:val="00DA3C6A"/>
    <w:rsid w:val="00DA6BD8"/>
    <w:rsid w:val="00DA7E58"/>
    <w:rsid w:val="00DB258D"/>
    <w:rsid w:val="00DB272B"/>
    <w:rsid w:val="00DB2D55"/>
    <w:rsid w:val="00DB3371"/>
    <w:rsid w:val="00DB56A3"/>
    <w:rsid w:val="00DC0EFA"/>
    <w:rsid w:val="00DC1082"/>
    <w:rsid w:val="00DC139D"/>
    <w:rsid w:val="00DC2BB1"/>
    <w:rsid w:val="00DC5B54"/>
    <w:rsid w:val="00DC7C48"/>
    <w:rsid w:val="00DC7DE5"/>
    <w:rsid w:val="00DD126E"/>
    <w:rsid w:val="00DD1D1D"/>
    <w:rsid w:val="00DD27B5"/>
    <w:rsid w:val="00DD364F"/>
    <w:rsid w:val="00DD389A"/>
    <w:rsid w:val="00DD4643"/>
    <w:rsid w:val="00DD57B4"/>
    <w:rsid w:val="00DD678B"/>
    <w:rsid w:val="00DD738A"/>
    <w:rsid w:val="00DD7D97"/>
    <w:rsid w:val="00DE085B"/>
    <w:rsid w:val="00DE1141"/>
    <w:rsid w:val="00DE2263"/>
    <w:rsid w:val="00DE260C"/>
    <w:rsid w:val="00DE2C20"/>
    <w:rsid w:val="00DE2E77"/>
    <w:rsid w:val="00DE4FBD"/>
    <w:rsid w:val="00DE7323"/>
    <w:rsid w:val="00DE7456"/>
    <w:rsid w:val="00DE7858"/>
    <w:rsid w:val="00DF0365"/>
    <w:rsid w:val="00DF1F4F"/>
    <w:rsid w:val="00DF2737"/>
    <w:rsid w:val="00DF400E"/>
    <w:rsid w:val="00DF7E77"/>
    <w:rsid w:val="00E00534"/>
    <w:rsid w:val="00E0088A"/>
    <w:rsid w:val="00E01477"/>
    <w:rsid w:val="00E022FD"/>
    <w:rsid w:val="00E02718"/>
    <w:rsid w:val="00E03E0B"/>
    <w:rsid w:val="00E04396"/>
    <w:rsid w:val="00E05263"/>
    <w:rsid w:val="00E05BDC"/>
    <w:rsid w:val="00E13090"/>
    <w:rsid w:val="00E174F7"/>
    <w:rsid w:val="00E17FD4"/>
    <w:rsid w:val="00E20F2B"/>
    <w:rsid w:val="00E21590"/>
    <w:rsid w:val="00E22078"/>
    <w:rsid w:val="00E23B0E"/>
    <w:rsid w:val="00E24CBC"/>
    <w:rsid w:val="00E272DA"/>
    <w:rsid w:val="00E27E33"/>
    <w:rsid w:val="00E30DAE"/>
    <w:rsid w:val="00E31795"/>
    <w:rsid w:val="00E325E8"/>
    <w:rsid w:val="00E32B4D"/>
    <w:rsid w:val="00E32EF8"/>
    <w:rsid w:val="00E34235"/>
    <w:rsid w:val="00E41492"/>
    <w:rsid w:val="00E41A8A"/>
    <w:rsid w:val="00E42665"/>
    <w:rsid w:val="00E44C75"/>
    <w:rsid w:val="00E514E5"/>
    <w:rsid w:val="00E522AD"/>
    <w:rsid w:val="00E5278B"/>
    <w:rsid w:val="00E53F79"/>
    <w:rsid w:val="00E55083"/>
    <w:rsid w:val="00E562DB"/>
    <w:rsid w:val="00E570FE"/>
    <w:rsid w:val="00E5734E"/>
    <w:rsid w:val="00E60A7B"/>
    <w:rsid w:val="00E61634"/>
    <w:rsid w:val="00E6223C"/>
    <w:rsid w:val="00E62342"/>
    <w:rsid w:val="00E62A17"/>
    <w:rsid w:val="00E64661"/>
    <w:rsid w:val="00E653D4"/>
    <w:rsid w:val="00E66B5C"/>
    <w:rsid w:val="00E66F71"/>
    <w:rsid w:val="00E6799E"/>
    <w:rsid w:val="00E70104"/>
    <w:rsid w:val="00E70B7B"/>
    <w:rsid w:val="00E71561"/>
    <w:rsid w:val="00E722BA"/>
    <w:rsid w:val="00E73948"/>
    <w:rsid w:val="00E74D21"/>
    <w:rsid w:val="00E8683E"/>
    <w:rsid w:val="00E9143E"/>
    <w:rsid w:val="00E9302D"/>
    <w:rsid w:val="00E9424B"/>
    <w:rsid w:val="00E9664A"/>
    <w:rsid w:val="00E97317"/>
    <w:rsid w:val="00E973A0"/>
    <w:rsid w:val="00EA11FF"/>
    <w:rsid w:val="00EA2793"/>
    <w:rsid w:val="00EA3E28"/>
    <w:rsid w:val="00EA5EB7"/>
    <w:rsid w:val="00EA67B5"/>
    <w:rsid w:val="00EA7554"/>
    <w:rsid w:val="00EB0724"/>
    <w:rsid w:val="00EB0CF5"/>
    <w:rsid w:val="00EB1275"/>
    <w:rsid w:val="00EB3E2B"/>
    <w:rsid w:val="00EB7F54"/>
    <w:rsid w:val="00EC0F3D"/>
    <w:rsid w:val="00EC27FA"/>
    <w:rsid w:val="00EC2BBF"/>
    <w:rsid w:val="00EC344C"/>
    <w:rsid w:val="00EC39CE"/>
    <w:rsid w:val="00EC514E"/>
    <w:rsid w:val="00EC62C7"/>
    <w:rsid w:val="00EC692B"/>
    <w:rsid w:val="00EC755D"/>
    <w:rsid w:val="00ED0D8C"/>
    <w:rsid w:val="00ED13BD"/>
    <w:rsid w:val="00ED16ED"/>
    <w:rsid w:val="00ED4772"/>
    <w:rsid w:val="00ED521E"/>
    <w:rsid w:val="00ED5B03"/>
    <w:rsid w:val="00ED6C3A"/>
    <w:rsid w:val="00ED763E"/>
    <w:rsid w:val="00ED770E"/>
    <w:rsid w:val="00ED7F62"/>
    <w:rsid w:val="00EE0032"/>
    <w:rsid w:val="00EE00A1"/>
    <w:rsid w:val="00EE1CF6"/>
    <w:rsid w:val="00EE3903"/>
    <w:rsid w:val="00EE3A27"/>
    <w:rsid w:val="00EF1032"/>
    <w:rsid w:val="00EF1255"/>
    <w:rsid w:val="00EF1650"/>
    <w:rsid w:val="00EF3A96"/>
    <w:rsid w:val="00EF429D"/>
    <w:rsid w:val="00EF6DCF"/>
    <w:rsid w:val="00EF6F01"/>
    <w:rsid w:val="00F0014A"/>
    <w:rsid w:val="00F003ED"/>
    <w:rsid w:val="00F01008"/>
    <w:rsid w:val="00F0181A"/>
    <w:rsid w:val="00F01D88"/>
    <w:rsid w:val="00F01E87"/>
    <w:rsid w:val="00F025C7"/>
    <w:rsid w:val="00F02CE5"/>
    <w:rsid w:val="00F101DC"/>
    <w:rsid w:val="00F10795"/>
    <w:rsid w:val="00F138BC"/>
    <w:rsid w:val="00F13B18"/>
    <w:rsid w:val="00F14056"/>
    <w:rsid w:val="00F16566"/>
    <w:rsid w:val="00F17815"/>
    <w:rsid w:val="00F1783E"/>
    <w:rsid w:val="00F22F33"/>
    <w:rsid w:val="00F23E28"/>
    <w:rsid w:val="00F25EB2"/>
    <w:rsid w:val="00F25FF1"/>
    <w:rsid w:val="00F26833"/>
    <w:rsid w:val="00F26D5D"/>
    <w:rsid w:val="00F279D0"/>
    <w:rsid w:val="00F27FCD"/>
    <w:rsid w:val="00F33F09"/>
    <w:rsid w:val="00F3447E"/>
    <w:rsid w:val="00F34531"/>
    <w:rsid w:val="00F35E1A"/>
    <w:rsid w:val="00F3613E"/>
    <w:rsid w:val="00F40E41"/>
    <w:rsid w:val="00F42324"/>
    <w:rsid w:val="00F424DC"/>
    <w:rsid w:val="00F437DD"/>
    <w:rsid w:val="00F43D01"/>
    <w:rsid w:val="00F44C15"/>
    <w:rsid w:val="00F47FCB"/>
    <w:rsid w:val="00F51403"/>
    <w:rsid w:val="00F529EB"/>
    <w:rsid w:val="00F53238"/>
    <w:rsid w:val="00F55893"/>
    <w:rsid w:val="00F55EC5"/>
    <w:rsid w:val="00F62D38"/>
    <w:rsid w:val="00F6575C"/>
    <w:rsid w:val="00F66B0F"/>
    <w:rsid w:val="00F703BA"/>
    <w:rsid w:val="00F703D2"/>
    <w:rsid w:val="00F735E8"/>
    <w:rsid w:val="00F74812"/>
    <w:rsid w:val="00F74ABE"/>
    <w:rsid w:val="00F778BE"/>
    <w:rsid w:val="00F77CA3"/>
    <w:rsid w:val="00F8057D"/>
    <w:rsid w:val="00F81F7A"/>
    <w:rsid w:val="00F862E4"/>
    <w:rsid w:val="00F86C6B"/>
    <w:rsid w:val="00F87B12"/>
    <w:rsid w:val="00F9187B"/>
    <w:rsid w:val="00F934F4"/>
    <w:rsid w:val="00F940BE"/>
    <w:rsid w:val="00F95011"/>
    <w:rsid w:val="00F95FC3"/>
    <w:rsid w:val="00F962F8"/>
    <w:rsid w:val="00F968C5"/>
    <w:rsid w:val="00FA0079"/>
    <w:rsid w:val="00FA063D"/>
    <w:rsid w:val="00FA0B20"/>
    <w:rsid w:val="00FA1835"/>
    <w:rsid w:val="00FA25A8"/>
    <w:rsid w:val="00FA4563"/>
    <w:rsid w:val="00FA5A22"/>
    <w:rsid w:val="00FB1FF7"/>
    <w:rsid w:val="00FC0367"/>
    <w:rsid w:val="00FC0E8A"/>
    <w:rsid w:val="00FC129F"/>
    <w:rsid w:val="00FC1C36"/>
    <w:rsid w:val="00FC1D54"/>
    <w:rsid w:val="00FC2658"/>
    <w:rsid w:val="00FC3BA8"/>
    <w:rsid w:val="00FC52E6"/>
    <w:rsid w:val="00FC641F"/>
    <w:rsid w:val="00FC64E7"/>
    <w:rsid w:val="00FD0C3B"/>
    <w:rsid w:val="00FD191B"/>
    <w:rsid w:val="00FD2664"/>
    <w:rsid w:val="00FD3E45"/>
    <w:rsid w:val="00FD3E8F"/>
    <w:rsid w:val="00FD516D"/>
    <w:rsid w:val="00FD52FF"/>
    <w:rsid w:val="00FD787C"/>
    <w:rsid w:val="00FD7A78"/>
    <w:rsid w:val="00FE1BCC"/>
    <w:rsid w:val="00FE2A50"/>
    <w:rsid w:val="00FE2E49"/>
    <w:rsid w:val="00FE3BF3"/>
    <w:rsid w:val="00FF0BD0"/>
    <w:rsid w:val="00FF1ABC"/>
    <w:rsid w:val="00FF1BD1"/>
    <w:rsid w:val="00FF29B6"/>
    <w:rsid w:val="00FF30D8"/>
    <w:rsid w:val="01B5672C"/>
    <w:rsid w:val="08420FC8"/>
    <w:rsid w:val="09591E10"/>
    <w:rsid w:val="09FF6454"/>
    <w:rsid w:val="0BD27F42"/>
    <w:rsid w:val="0E051CE3"/>
    <w:rsid w:val="0F48019A"/>
    <w:rsid w:val="163919E7"/>
    <w:rsid w:val="1A4D504C"/>
    <w:rsid w:val="1F1D0BDB"/>
    <w:rsid w:val="20757C59"/>
    <w:rsid w:val="22C14DBC"/>
    <w:rsid w:val="22C36BD4"/>
    <w:rsid w:val="255B6870"/>
    <w:rsid w:val="2671641F"/>
    <w:rsid w:val="2A91476B"/>
    <w:rsid w:val="2F9671BE"/>
    <w:rsid w:val="30224D9D"/>
    <w:rsid w:val="31C33E44"/>
    <w:rsid w:val="36AF5D13"/>
    <w:rsid w:val="36D46192"/>
    <w:rsid w:val="37AF7E4D"/>
    <w:rsid w:val="3D351B7B"/>
    <w:rsid w:val="40667B62"/>
    <w:rsid w:val="425B35F7"/>
    <w:rsid w:val="43855351"/>
    <w:rsid w:val="46601D24"/>
    <w:rsid w:val="4ABE057B"/>
    <w:rsid w:val="52BA7AB6"/>
    <w:rsid w:val="55F31A9E"/>
    <w:rsid w:val="5C250E44"/>
    <w:rsid w:val="5E1A20EF"/>
    <w:rsid w:val="5F613231"/>
    <w:rsid w:val="5FC82F16"/>
    <w:rsid w:val="60CE691F"/>
    <w:rsid w:val="62523DDE"/>
    <w:rsid w:val="64F667B6"/>
    <w:rsid w:val="66682C0E"/>
    <w:rsid w:val="66DF73D5"/>
    <w:rsid w:val="67963A74"/>
    <w:rsid w:val="68AE231B"/>
    <w:rsid w:val="6ADC0E8B"/>
    <w:rsid w:val="6B3622F2"/>
    <w:rsid w:val="718F6355"/>
    <w:rsid w:val="77252516"/>
    <w:rsid w:val="77436558"/>
    <w:rsid w:val="77F03ED5"/>
    <w:rsid w:val="78EB0FE7"/>
    <w:rsid w:val="79603DAA"/>
    <w:rsid w:val="7CA552EE"/>
    <w:rsid w:val="7CFA4897"/>
    <w:rsid w:val="7D952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00" w:firstLineChars="200"/>
    </w:pPr>
    <w:rPr>
      <w:rFonts w:ascii="仿宋" w:hAnsi="仿宋" w:eastAsia="仿宋" w:cs="Times New Roman"/>
      <w:sz w:val="32"/>
      <w:szCs w:val="32"/>
      <w:lang w:val="en-US" w:eastAsia="zh-CN" w:bidi="ar-SA"/>
    </w:rPr>
  </w:style>
  <w:style w:type="paragraph" w:styleId="2">
    <w:name w:val="heading 1"/>
    <w:basedOn w:val="3"/>
    <w:next w:val="4"/>
    <w:link w:val="17"/>
    <w:qFormat/>
    <w:uiPriority w:val="9"/>
    <w:pPr>
      <w:adjustRightInd w:val="0"/>
      <w:snapToGrid w:val="0"/>
      <w:spacing w:line="600" w:lineRule="exact"/>
      <w:ind w:firstLine="640"/>
      <w:outlineLvl w:val="0"/>
    </w:pPr>
    <w:rPr>
      <w:rFonts w:ascii="黑体" w:hAnsi="黑体" w:eastAsia="黑体"/>
    </w:rPr>
  </w:style>
  <w:style w:type="paragraph" w:styleId="5">
    <w:name w:val="heading 2"/>
    <w:basedOn w:val="3"/>
    <w:next w:val="4"/>
    <w:link w:val="16"/>
    <w:unhideWhenUsed/>
    <w:qFormat/>
    <w:uiPriority w:val="9"/>
    <w:pPr>
      <w:adjustRightInd w:val="0"/>
      <w:snapToGrid w:val="0"/>
      <w:spacing w:line="600" w:lineRule="exact"/>
      <w:ind w:firstLine="640"/>
      <w:outlineLvl w:val="1"/>
    </w:pPr>
    <w:rPr>
      <w:rFonts w:ascii="楷体" w:hAnsi="楷体" w:eastAsia="楷体"/>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4"/>
    <w:pPr>
      <w:ind w:firstLine="420"/>
    </w:pPr>
  </w:style>
  <w:style w:type="paragraph" w:customStyle="1" w:styleId="4">
    <w:name w:val="公文正文"/>
    <w:basedOn w:val="1"/>
    <w:link w:val="19"/>
    <w:qFormat/>
    <w:uiPriority w:val="0"/>
    <w:pPr>
      <w:adjustRightInd w:val="0"/>
      <w:snapToGrid w:val="0"/>
      <w:spacing w:line="600" w:lineRule="exact"/>
    </w:pPr>
  </w:style>
  <w:style w:type="paragraph" w:styleId="6">
    <w:name w:val="annotation text"/>
    <w:basedOn w:val="1"/>
    <w:link w:val="22"/>
    <w:semiHidden/>
    <w:unhideWhenUsed/>
    <w:qFormat/>
    <w:uiPriority w:val="99"/>
  </w:style>
  <w:style w:type="paragraph" w:styleId="7">
    <w:name w:val="footer"/>
    <w:basedOn w:val="1"/>
    <w:link w:val="21"/>
    <w:unhideWhenUsed/>
    <w:qFormat/>
    <w:uiPriority w:val="99"/>
    <w:pPr>
      <w:tabs>
        <w:tab w:val="center" w:pos="4153"/>
        <w:tab w:val="right" w:pos="8306"/>
      </w:tabs>
      <w:snapToGrid w:val="0"/>
    </w:pPr>
    <w:rPr>
      <w:sz w:val="18"/>
      <w:szCs w:val="18"/>
    </w:rPr>
  </w:style>
  <w:style w:type="paragraph" w:styleId="8">
    <w:name w:val="header"/>
    <w:basedOn w:val="1"/>
    <w:link w:val="20"/>
    <w:unhideWhenUsed/>
    <w:qFormat/>
    <w:uiPriority w:val="99"/>
    <w:pPr>
      <w:tabs>
        <w:tab w:val="center" w:pos="4153"/>
        <w:tab w:val="right" w:pos="8306"/>
      </w:tabs>
      <w:snapToGrid w:val="0"/>
      <w:jc w:val="center"/>
    </w:pPr>
    <w:rPr>
      <w:sz w:val="18"/>
      <w:szCs w:val="18"/>
    </w:rPr>
  </w:style>
  <w:style w:type="paragraph" w:styleId="9">
    <w:name w:val="Title"/>
    <w:basedOn w:val="1"/>
    <w:next w:val="1"/>
    <w:link w:val="18"/>
    <w:qFormat/>
    <w:uiPriority w:val="10"/>
    <w:pPr>
      <w:jc w:val="center"/>
    </w:pPr>
    <w:rPr>
      <w:rFonts w:ascii="宋体" w:hAnsi="宋体" w:eastAsia="宋体" w:cs="宋体"/>
      <w:b/>
      <w:bCs/>
      <w:sz w:val="40"/>
      <w:szCs w:val="40"/>
    </w:rPr>
  </w:style>
  <w:style w:type="paragraph" w:styleId="10">
    <w:name w:val="annotation subject"/>
    <w:basedOn w:val="6"/>
    <w:next w:val="6"/>
    <w:link w:val="23"/>
    <w:semiHidden/>
    <w:unhideWhenUsed/>
    <w:qFormat/>
    <w:uiPriority w:val="99"/>
    <w:rPr>
      <w:b/>
      <w:bCs/>
    </w:rPr>
  </w:style>
  <w:style w:type="table" w:styleId="12">
    <w:name w:val="Table Grid"/>
    <w:basedOn w:val="1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
    <w:name w:val="Hyperlink"/>
    <w:basedOn w:val="13"/>
    <w:unhideWhenUsed/>
    <w:qFormat/>
    <w:uiPriority w:val="99"/>
    <w:rPr>
      <w:color w:val="0563C1"/>
      <w:u w:val="single"/>
    </w:rPr>
  </w:style>
  <w:style w:type="character" w:styleId="15">
    <w:name w:val="annotation reference"/>
    <w:basedOn w:val="13"/>
    <w:semiHidden/>
    <w:unhideWhenUsed/>
    <w:qFormat/>
    <w:uiPriority w:val="99"/>
    <w:rPr>
      <w:sz w:val="21"/>
      <w:szCs w:val="21"/>
    </w:rPr>
  </w:style>
  <w:style w:type="character" w:customStyle="1" w:styleId="16">
    <w:name w:val="标题 2 字符"/>
    <w:basedOn w:val="13"/>
    <w:link w:val="5"/>
    <w:qFormat/>
    <w:uiPriority w:val="9"/>
    <w:rPr>
      <w:rFonts w:ascii="楷体" w:hAnsi="楷体" w:eastAsia="楷体"/>
      <w:sz w:val="32"/>
      <w:szCs w:val="32"/>
    </w:rPr>
  </w:style>
  <w:style w:type="character" w:customStyle="1" w:styleId="17">
    <w:name w:val="标题 1 字符"/>
    <w:basedOn w:val="13"/>
    <w:link w:val="2"/>
    <w:qFormat/>
    <w:uiPriority w:val="9"/>
    <w:rPr>
      <w:rFonts w:ascii="黑体" w:hAnsi="黑体" w:eastAsia="黑体" w:cs="Times New Roman"/>
      <w:sz w:val="32"/>
      <w:szCs w:val="32"/>
    </w:rPr>
  </w:style>
  <w:style w:type="character" w:customStyle="1" w:styleId="18">
    <w:name w:val="标题 字符"/>
    <w:basedOn w:val="13"/>
    <w:link w:val="9"/>
    <w:qFormat/>
    <w:uiPriority w:val="10"/>
    <w:rPr>
      <w:rFonts w:ascii="宋体" w:hAnsi="宋体" w:eastAsia="宋体" w:cs="宋体"/>
      <w:b/>
      <w:bCs/>
      <w:sz w:val="40"/>
      <w:szCs w:val="40"/>
    </w:rPr>
  </w:style>
  <w:style w:type="character" w:customStyle="1" w:styleId="19">
    <w:name w:val="公文正文 字符"/>
    <w:basedOn w:val="13"/>
    <w:link w:val="4"/>
    <w:qFormat/>
    <w:uiPriority w:val="0"/>
    <w:rPr>
      <w:rFonts w:ascii="仿宋" w:hAnsi="仿宋" w:eastAsia="仿宋" w:cs="Times New Roman"/>
      <w:sz w:val="32"/>
      <w:szCs w:val="32"/>
    </w:rPr>
  </w:style>
  <w:style w:type="character" w:customStyle="1" w:styleId="20">
    <w:name w:val="页眉 字符"/>
    <w:basedOn w:val="13"/>
    <w:link w:val="8"/>
    <w:qFormat/>
    <w:uiPriority w:val="99"/>
    <w:rPr>
      <w:rFonts w:ascii="仿宋" w:hAnsi="仿宋" w:eastAsia="仿宋" w:cs="Times New Roman"/>
      <w:kern w:val="0"/>
      <w:sz w:val="18"/>
      <w:szCs w:val="18"/>
    </w:rPr>
  </w:style>
  <w:style w:type="character" w:customStyle="1" w:styleId="21">
    <w:name w:val="页脚 字符"/>
    <w:basedOn w:val="13"/>
    <w:link w:val="7"/>
    <w:qFormat/>
    <w:uiPriority w:val="99"/>
    <w:rPr>
      <w:rFonts w:ascii="仿宋" w:hAnsi="仿宋" w:eastAsia="仿宋" w:cs="Times New Roman"/>
      <w:kern w:val="0"/>
      <w:sz w:val="18"/>
      <w:szCs w:val="18"/>
    </w:rPr>
  </w:style>
  <w:style w:type="character" w:customStyle="1" w:styleId="22">
    <w:name w:val="批注文字 字符"/>
    <w:basedOn w:val="13"/>
    <w:link w:val="6"/>
    <w:semiHidden/>
    <w:qFormat/>
    <w:uiPriority w:val="99"/>
    <w:rPr>
      <w:rFonts w:ascii="仿宋" w:hAnsi="仿宋" w:eastAsia="仿宋"/>
      <w:sz w:val="32"/>
      <w:szCs w:val="32"/>
    </w:rPr>
  </w:style>
  <w:style w:type="character" w:customStyle="1" w:styleId="23">
    <w:name w:val="批注主题 字符"/>
    <w:basedOn w:val="22"/>
    <w:link w:val="10"/>
    <w:semiHidden/>
    <w:qFormat/>
    <w:uiPriority w:val="99"/>
    <w:rPr>
      <w:rFonts w:ascii="仿宋" w:hAnsi="仿宋" w:eastAsia="仿宋"/>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F2E55-A1A9-46D5-B6D9-B6292CA4091B}">
  <ds:schemaRefs/>
</ds:datastoreItem>
</file>

<file path=docProps/app.xml><?xml version="1.0" encoding="utf-8"?>
<Properties xmlns="http://schemas.openxmlformats.org/officeDocument/2006/extended-properties" xmlns:vt="http://schemas.openxmlformats.org/officeDocument/2006/docPropsVTypes">
  <Template>Normal.dotm</Template>
  <Pages>6</Pages>
  <Words>1347</Words>
  <Characters>1407</Characters>
  <Lines>31</Lines>
  <Paragraphs>8</Paragraphs>
  <TotalTime>17</TotalTime>
  <ScaleCrop>false</ScaleCrop>
  <LinksUpToDate>false</LinksUpToDate>
  <CharactersWithSpaces>1511</CharactersWithSpaces>
  <Application>WPS Office_12.1.0.25257_F1E327BC-269C-435d-A152-05C5408002CA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2025-09-05T06:57:00Z</dcterms:created>
  <dc:creator>zhb-duds</dc:creator>
  <cp:lastModifiedBy>吴锡</cp:lastModifiedBy>
  <dcterms:modified xsi:type="dcterms:W3CDTF">2026-10-12T08:54:33Z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2052-12.1.0.25257</vt:lpwstr>
  </property>
  <property fmtid="{D5CDD505-2E9C-101B-9397-08002B2CF9AE}" pid="3" name="ICV">
    <vt:lpwstr>CA19BCBF45BD4113949B3B465E05E3F9_13</vt:lpwstr>
  </property>
  <property fmtid="{D5CDD505-2E9C-101B-9397-08002B2CF9AE}" pid="4" name="KSOTemplateDocerSaveRecord">
    <vt:lpwstr>eyJoZGlkIjoiZDQ2OTRkZTY3NWFhZmRmODM3OTgxNTAxYTczMTdhNzEiLCJ1c2VySWQiOiI0MzA1NjEwNDMifQ==</vt:lpwstr>
  </property>
</Properties>
</file>