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77AAA5">
      <w:pPr>
        <w:tabs>
          <w:tab w:val="left" w:pos="709"/>
        </w:tabs>
        <w:spacing w:line="360" w:lineRule="auto"/>
        <w:jc w:val="center"/>
        <w:rPr>
          <w:rFonts w:hint="eastAsia" w:asciiTheme="minorEastAsia" w:hAnsiTheme="minorEastAsia"/>
          <w:b/>
          <w:bCs/>
          <w:sz w:val="28"/>
          <w:szCs w:val="28"/>
        </w:rPr>
      </w:pPr>
      <w:r>
        <w:rPr>
          <w:rFonts w:hint="eastAsia" w:asciiTheme="minorEastAsia" w:hAnsiTheme="minorEastAsia"/>
          <w:b/>
          <w:bCs/>
          <w:sz w:val="28"/>
          <w:szCs w:val="28"/>
        </w:rPr>
        <w:t>健之佳医药连锁集团股份有限公司</w:t>
      </w:r>
    </w:p>
    <w:p w14:paraId="57368358">
      <w:pPr>
        <w:spacing w:line="360" w:lineRule="auto"/>
        <w:jc w:val="center"/>
        <w:rPr>
          <w:rFonts w:hint="eastAsia" w:asciiTheme="minorEastAsia" w:hAnsiTheme="minorEastAsia"/>
          <w:b/>
          <w:bCs/>
          <w:sz w:val="28"/>
          <w:szCs w:val="28"/>
        </w:rPr>
      </w:pPr>
      <w:r>
        <w:rPr>
          <w:rFonts w:asciiTheme="minorEastAsia" w:hAnsiTheme="minorEastAsia"/>
          <w:b/>
          <w:bCs/>
          <w:sz w:val="28"/>
          <w:szCs w:val="28"/>
        </w:rPr>
        <w:t>投资者交流活动</w:t>
      </w:r>
      <w:r>
        <w:rPr>
          <w:rFonts w:hint="eastAsia" w:asciiTheme="minorEastAsia" w:hAnsiTheme="minorEastAsia"/>
          <w:b/>
          <w:bCs/>
          <w:sz w:val="28"/>
          <w:szCs w:val="28"/>
        </w:rPr>
        <w:t>记录表</w:t>
      </w:r>
    </w:p>
    <w:p w14:paraId="6E37C226">
      <w:pPr>
        <w:tabs>
          <w:tab w:val="left" w:pos="7513"/>
        </w:tabs>
        <w:spacing w:line="360" w:lineRule="auto"/>
        <w:ind w:right="84" w:firstLine="241" w:firstLineChars="100"/>
        <w:jc w:val="left"/>
        <w:rPr>
          <w:rFonts w:hint="eastAsia" w:asciiTheme="minorEastAsia" w:hAnsiTheme="minorEastAsia"/>
          <w:bCs/>
          <w:iCs/>
          <w:sz w:val="24"/>
          <w:szCs w:val="24"/>
        </w:rPr>
      </w:pPr>
      <w:r>
        <w:rPr>
          <w:rFonts w:hint="eastAsia" w:asciiTheme="minorEastAsia" w:hAnsiTheme="minorEastAsia"/>
          <w:b/>
          <w:bCs/>
          <w:iCs/>
          <w:sz w:val="24"/>
          <w:szCs w:val="24"/>
        </w:rPr>
        <w:t>证券代码：</w:t>
      </w:r>
      <w:r>
        <w:rPr>
          <w:rFonts w:asciiTheme="minorEastAsia" w:hAnsiTheme="minorEastAsia"/>
          <w:b/>
          <w:bCs/>
          <w:iCs/>
          <w:sz w:val="24"/>
          <w:szCs w:val="24"/>
        </w:rPr>
        <w:t>605266</w:t>
      </w:r>
      <w:r>
        <w:rPr>
          <w:rFonts w:hint="eastAsia" w:asciiTheme="minorEastAsia" w:hAnsiTheme="minorEastAsia"/>
          <w:b/>
          <w:bCs/>
          <w:iCs/>
          <w:sz w:val="24"/>
          <w:szCs w:val="24"/>
        </w:rPr>
        <w:t xml:space="preserve">        </w:t>
      </w:r>
      <w:r>
        <w:rPr>
          <w:rFonts w:asciiTheme="minorEastAsia" w:hAnsiTheme="minorEastAsia"/>
          <w:b/>
          <w:bCs/>
          <w:iCs/>
          <w:sz w:val="24"/>
          <w:szCs w:val="24"/>
        </w:rPr>
        <w:t xml:space="preserve">                              </w:t>
      </w:r>
      <w:r>
        <w:rPr>
          <w:rFonts w:hint="eastAsia" w:asciiTheme="minorEastAsia" w:hAnsiTheme="minorEastAsia"/>
          <w:b/>
          <w:bCs/>
          <w:iCs/>
          <w:sz w:val="24"/>
          <w:szCs w:val="24"/>
        </w:rPr>
        <w:t xml:space="preserve">证券简称：健之佳         </w:t>
      </w:r>
      <w:r>
        <w:rPr>
          <w:rFonts w:asciiTheme="minorEastAsia" w:hAnsiTheme="minorEastAsia"/>
          <w:b/>
          <w:bCs/>
          <w:iCs/>
          <w:sz w:val="24"/>
          <w:szCs w:val="24"/>
        </w:rPr>
        <w:t xml:space="preserve">      </w:t>
      </w:r>
    </w:p>
    <w:tbl>
      <w:tblPr>
        <w:tblStyle w:val="12"/>
        <w:tblW w:w="102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8227"/>
      </w:tblGrid>
      <w:tr w14:paraId="3985F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14:paraId="551A818C">
            <w:pPr>
              <w:spacing w:line="360" w:lineRule="auto"/>
              <w:rPr>
                <w:rFonts w:hint="eastAsia" w:asciiTheme="minorEastAsia" w:hAnsiTheme="minorEastAsia" w:cstheme="minorEastAsia"/>
                <w:bCs/>
                <w:iCs/>
                <w:kern w:val="0"/>
                <w:sz w:val="24"/>
                <w:szCs w:val="24"/>
              </w:rPr>
            </w:pPr>
            <w:r>
              <w:rPr>
                <w:rFonts w:hint="eastAsia" w:asciiTheme="minorEastAsia" w:hAnsiTheme="minorEastAsia" w:cstheme="minorEastAsia"/>
                <w:bCs/>
                <w:iCs/>
                <w:kern w:val="0"/>
                <w:sz w:val="24"/>
                <w:szCs w:val="24"/>
              </w:rPr>
              <w:t>投资者关系</w:t>
            </w:r>
          </w:p>
          <w:p w14:paraId="74E8C241">
            <w:pPr>
              <w:spacing w:line="360" w:lineRule="auto"/>
              <w:rPr>
                <w:rFonts w:hint="eastAsia" w:asciiTheme="minorEastAsia" w:hAnsiTheme="minorEastAsia" w:cstheme="minorEastAsia"/>
                <w:bCs/>
                <w:iCs/>
                <w:kern w:val="0"/>
                <w:sz w:val="24"/>
                <w:szCs w:val="24"/>
              </w:rPr>
            </w:pPr>
            <w:r>
              <w:rPr>
                <w:rFonts w:hint="eastAsia" w:asciiTheme="minorEastAsia" w:hAnsiTheme="minorEastAsia" w:cstheme="minorEastAsia"/>
                <w:bCs/>
                <w:iCs/>
                <w:kern w:val="0"/>
                <w:sz w:val="24"/>
                <w:szCs w:val="24"/>
              </w:rPr>
              <w:t>活动类别</w:t>
            </w:r>
          </w:p>
        </w:tc>
        <w:tc>
          <w:tcPr>
            <w:tcW w:w="8227" w:type="dxa"/>
            <w:tcBorders>
              <w:top w:val="single" w:color="auto" w:sz="4" w:space="0"/>
              <w:left w:val="single" w:color="auto" w:sz="4" w:space="0"/>
              <w:bottom w:val="single" w:color="auto" w:sz="4" w:space="0"/>
              <w:right w:val="single" w:color="auto" w:sz="4" w:space="0"/>
            </w:tcBorders>
            <w:vAlign w:val="center"/>
          </w:tcPr>
          <w:p w14:paraId="2071351F">
            <w:pPr>
              <w:spacing w:line="360" w:lineRule="auto"/>
              <w:rPr>
                <w:rFonts w:hint="eastAsia" w:asciiTheme="minorEastAsia" w:hAnsiTheme="minorEastAsia" w:cstheme="minorEastAsia"/>
                <w:bCs/>
                <w:iCs/>
                <w:kern w:val="0"/>
                <w:sz w:val="24"/>
                <w:szCs w:val="24"/>
              </w:rPr>
            </w:pPr>
            <w:r>
              <w:rPr>
                <w:rFonts w:hint="eastAsia" w:asciiTheme="minorEastAsia" w:hAnsiTheme="minorEastAsia" w:cstheme="minorEastAsia"/>
                <w:bCs/>
                <w:iCs/>
                <w:kern w:val="0"/>
                <w:sz w:val="24"/>
                <w:szCs w:val="24"/>
              </w:rPr>
              <w:t xml:space="preserve">■特定对象调研     </w:t>
            </w:r>
            <w:r>
              <w:rPr>
                <w:rFonts w:hint="eastAsia" w:asciiTheme="minorEastAsia" w:hAnsiTheme="minorEastAsia" w:cstheme="minorEastAsia"/>
                <w:bCs/>
                <w:iCs/>
                <w:kern w:val="0"/>
                <w:sz w:val="24"/>
                <w:szCs w:val="24"/>
              </w:rPr>
              <w:sym w:font="Wingdings 2" w:char="00A3"/>
            </w:r>
            <w:r>
              <w:rPr>
                <w:rFonts w:hint="eastAsia" w:asciiTheme="minorEastAsia" w:hAnsiTheme="minorEastAsia" w:cstheme="minorEastAsia"/>
                <w:bCs/>
                <w:iCs/>
                <w:kern w:val="0"/>
                <w:sz w:val="24"/>
                <w:szCs w:val="24"/>
              </w:rPr>
              <w:t>分析师会议</w:t>
            </w:r>
          </w:p>
          <w:p w14:paraId="320FA354">
            <w:pPr>
              <w:spacing w:line="360" w:lineRule="auto"/>
              <w:rPr>
                <w:rFonts w:hint="eastAsia" w:asciiTheme="minorEastAsia" w:hAnsiTheme="minorEastAsia" w:cstheme="minorEastAsia"/>
                <w:bCs/>
                <w:iCs/>
                <w:kern w:val="0"/>
                <w:sz w:val="24"/>
                <w:szCs w:val="24"/>
              </w:rPr>
            </w:pPr>
            <w:r>
              <w:rPr>
                <w:rFonts w:hint="eastAsia" w:asciiTheme="minorEastAsia" w:hAnsiTheme="minorEastAsia" w:cstheme="minorEastAsia"/>
                <w:bCs/>
                <w:iCs/>
                <w:kern w:val="0"/>
                <w:sz w:val="24"/>
                <w:szCs w:val="24"/>
              </w:rPr>
              <w:t xml:space="preserve">□媒体采访         ■业绩说明会 </w:t>
            </w:r>
          </w:p>
          <w:p w14:paraId="1CF9A8C8">
            <w:pPr>
              <w:spacing w:line="360" w:lineRule="auto"/>
              <w:rPr>
                <w:rFonts w:hint="eastAsia" w:asciiTheme="minorEastAsia" w:hAnsiTheme="minorEastAsia" w:cstheme="minorEastAsia"/>
                <w:bCs/>
                <w:iCs/>
                <w:kern w:val="0"/>
                <w:sz w:val="24"/>
                <w:szCs w:val="24"/>
              </w:rPr>
            </w:pPr>
            <w:r>
              <w:rPr>
                <w:rFonts w:hint="eastAsia" w:asciiTheme="minorEastAsia" w:hAnsiTheme="minorEastAsia" w:cstheme="minorEastAsia"/>
                <w:bCs/>
                <w:iCs/>
                <w:kern w:val="0"/>
                <w:sz w:val="24"/>
                <w:szCs w:val="24"/>
              </w:rPr>
              <w:t xml:space="preserve">□新闻发布         □会路演活动 </w:t>
            </w:r>
          </w:p>
          <w:p w14:paraId="30CCBD46">
            <w:pPr>
              <w:spacing w:line="360" w:lineRule="auto"/>
              <w:rPr>
                <w:rFonts w:hint="eastAsia" w:asciiTheme="minorEastAsia" w:hAnsiTheme="minorEastAsia" w:cstheme="minorEastAsia"/>
                <w:bCs/>
                <w:iCs/>
                <w:kern w:val="0"/>
                <w:sz w:val="24"/>
                <w:szCs w:val="24"/>
              </w:rPr>
            </w:pPr>
            <w:r>
              <w:rPr>
                <w:rFonts w:hint="eastAsia" w:asciiTheme="minorEastAsia" w:hAnsiTheme="minorEastAsia" w:cstheme="minorEastAsia"/>
                <w:bCs/>
                <w:iCs/>
                <w:kern w:val="0"/>
                <w:sz w:val="24"/>
                <w:szCs w:val="24"/>
              </w:rPr>
              <w:t>□现场参观         □其他：电话会议</w:t>
            </w:r>
          </w:p>
        </w:tc>
      </w:tr>
      <w:tr w14:paraId="70FF9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14:paraId="594B8900">
            <w:pPr>
              <w:spacing w:line="360" w:lineRule="auto"/>
              <w:rPr>
                <w:rFonts w:hint="eastAsia" w:asciiTheme="minorEastAsia" w:hAnsiTheme="minorEastAsia" w:cstheme="minorEastAsia"/>
                <w:bCs/>
                <w:iCs/>
                <w:kern w:val="0"/>
                <w:sz w:val="24"/>
                <w:szCs w:val="24"/>
              </w:rPr>
            </w:pPr>
            <w:r>
              <w:rPr>
                <w:rFonts w:hint="eastAsia" w:asciiTheme="minorEastAsia" w:hAnsiTheme="minorEastAsia" w:cstheme="minorEastAsia"/>
                <w:bCs/>
                <w:iCs/>
                <w:kern w:val="0"/>
                <w:sz w:val="24"/>
                <w:szCs w:val="24"/>
              </w:rPr>
              <w:t>参与单位名称</w:t>
            </w:r>
          </w:p>
        </w:tc>
        <w:tc>
          <w:tcPr>
            <w:tcW w:w="822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1D3AF79">
            <w:pPr>
              <w:spacing w:line="360" w:lineRule="auto"/>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东北证券、中信证券、华安证券、东吴证券、国金证券、开源证券、国盛证券等机构组织的投资者</w:t>
            </w:r>
          </w:p>
        </w:tc>
      </w:tr>
      <w:tr w14:paraId="30DF2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14:paraId="17B9D26A">
            <w:pPr>
              <w:spacing w:line="360" w:lineRule="auto"/>
              <w:rPr>
                <w:rFonts w:hint="eastAsia" w:asciiTheme="minorEastAsia" w:hAnsiTheme="minorEastAsia" w:cstheme="minorEastAsia"/>
                <w:bCs/>
                <w:iCs/>
                <w:kern w:val="0"/>
                <w:sz w:val="24"/>
                <w:szCs w:val="24"/>
              </w:rPr>
            </w:pPr>
            <w:r>
              <w:rPr>
                <w:rFonts w:hint="eastAsia" w:asciiTheme="minorEastAsia" w:hAnsiTheme="minorEastAsia" w:cstheme="minorEastAsia"/>
                <w:bCs/>
                <w:iCs/>
                <w:kern w:val="0"/>
                <w:sz w:val="24"/>
                <w:szCs w:val="24"/>
              </w:rPr>
              <w:t>时间</w:t>
            </w:r>
          </w:p>
        </w:tc>
        <w:tc>
          <w:tcPr>
            <w:tcW w:w="8227" w:type="dxa"/>
            <w:tcBorders>
              <w:top w:val="single" w:color="auto" w:sz="4" w:space="0"/>
              <w:left w:val="single" w:color="auto" w:sz="4" w:space="0"/>
              <w:bottom w:val="single" w:color="auto" w:sz="4" w:space="0"/>
              <w:right w:val="single" w:color="auto" w:sz="4" w:space="0"/>
            </w:tcBorders>
          </w:tcPr>
          <w:p w14:paraId="4EC9DAE3">
            <w:pPr>
              <w:spacing w:line="360" w:lineRule="auto"/>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2026年8月26日-10月10日</w:t>
            </w:r>
          </w:p>
        </w:tc>
      </w:tr>
      <w:tr w14:paraId="07095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14:paraId="7B02552A">
            <w:pPr>
              <w:spacing w:line="360" w:lineRule="auto"/>
              <w:rPr>
                <w:rFonts w:hint="eastAsia" w:asciiTheme="minorEastAsia" w:hAnsiTheme="minorEastAsia" w:cstheme="minorEastAsia"/>
                <w:bCs/>
                <w:iCs/>
                <w:kern w:val="0"/>
                <w:sz w:val="24"/>
                <w:szCs w:val="24"/>
              </w:rPr>
            </w:pPr>
            <w:r>
              <w:rPr>
                <w:rFonts w:hint="eastAsia" w:asciiTheme="minorEastAsia" w:hAnsiTheme="minorEastAsia" w:cstheme="minorEastAsia"/>
                <w:bCs/>
                <w:iCs/>
                <w:kern w:val="0"/>
                <w:sz w:val="24"/>
                <w:szCs w:val="24"/>
              </w:rPr>
              <w:t>地点</w:t>
            </w:r>
          </w:p>
        </w:tc>
        <w:tc>
          <w:tcPr>
            <w:tcW w:w="8227" w:type="dxa"/>
            <w:tcBorders>
              <w:top w:val="single" w:color="auto" w:sz="4" w:space="0"/>
              <w:left w:val="single" w:color="auto" w:sz="4" w:space="0"/>
              <w:bottom w:val="single" w:color="auto" w:sz="4" w:space="0"/>
              <w:right w:val="single" w:color="auto" w:sz="4" w:space="0"/>
            </w:tcBorders>
            <w:vAlign w:val="center"/>
          </w:tcPr>
          <w:p w14:paraId="238A2DBC">
            <w:pPr>
              <w:spacing w:line="360" w:lineRule="auto"/>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健之佳总部办公大楼</w:t>
            </w:r>
          </w:p>
        </w:tc>
      </w:tr>
      <w:tr w14:paraId="39EC3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14:paraId="5FEF9D5A">
            <w:pPr>
              <w:spacing w:line="360" w:lineRule="auto"/>
              <w:rPr>
                <w:rFonts w:hint="eastAsia" w:asciiTheme="minorEastAsia" w:hAnsiTheme="minorEastAsia" w:cstheme="minorEastAsia"/>
                <w:bCs/>
                <w:iCs/>
                <w:kern w:val="0"/>
                <w:sz w:val="24"/>
                <w:szCs w:val="24"/>
              </w:rPr>
            </w:pPr>
            <w:r>
              <w:rPr>
                <w:rFonts w:hint="eastAsia" w:asciiTheme="minorEastAsia" w:hAnsiTheme="minorEastAsia" w:cstheme="minorEastAsia"/>
                <w:bCs/>
                <w:iCs/>
                <w:kern w:val="0"/>
                <w:sz w:val="24"/>
                <w:szCs w:val="24"/>
              </w:rPr>
              <w:t>上市公司接待人员姓名</w:t>
            </w:r>
          </w:p>
        </w:tc>
        <w:tc>
          <w:tcPr>
            <w:tcW w:w="8227" w:type="dxa"/>
            <w:tcBorders>
              <w:top w:val="single" w:color="auto" w:sz="4" w:space="0"/>
              <w:left w:val="single" w:color="auto" w:sz="4" w:space="0"/>
              <w:bottom w:val="single" w:color="auto" w:sz="4" w:space="0"/>
              <w:right w:val="single" w:color="auto" w:sz="4" w:space="0"/>
            </w:tcBorders>
            <w:vAlign w:val="center"/>
          </w:tcPr>
          <w:p w14:paraId="0674624F">
            <w:pPr>
              <w:spacing w:line="360" w:lineRule="auto"/>
              <w:rPr>
                <w:rFonts w:hint="eastAsia" w:asciiTheme="minorEastAsia" w:hAnsiTheme="minorEastAsia" w:cstheme="minorEastAsia"/>
                <w:bCs/>
                <w:iCs/>
                <w:kern w:val="0"/>
                <w:sz w:val="24"/>
                <w:szCs w:val="24"/>
              </w:rPr>
            </w:pPr>
            <w:r>
              <w:rPr>
                <w:rFonts w:hint="eastAsia" w:asciiTheme="minorEastAsia" w:hAnsiTheme="minorEastAsia" w:cstheme="minorEastAsia"/>
                <w:bCs/>
                <w:iCs/>
                <w:kern w:val="0"/>
                <w:sz w:val="24"/>
                <w:szCs w:val="24"/>
              </w:rPr>
              <w:t>董事会秘书李恒、证券事务代表李子波</w:t>
            </w:r>
          </w:p>
        </w:tc>
      </w:tr>
      <w:tr w14:paraId="06EE0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14:paraId="36200265">
            <w:pPr>
              <w:pStyle w:val="16"/>
              <w:spacing w:line="360" w:lineRule="auto"/>
              <w:ind w:firstLine="0" w:firstLineChars="0"/>
              <w:rPr>
                <w:rFonts w:hint="eastAsia" w:asciiTheme="minorEastAsia" w:hAnsiTheme="minorEastAsia" w:cstheme="minorEastAsia"/>
                <w:kern w:val="0"/>
                <w:sz w:val="24"/>
                <w:szCs w:val="24"/>
              </w:rPr>
            </w:pPr>
          </w:p>
        </w:tc>
        <w:tc>
          <w:tcPr>
            <w:tcW w:w="8227" w:type="dxa"/>
            <w:tcBorders>
              <w:top w:val="single" w:color="auto" w:sz="4" w:space="0"/>
              <w:left w:val="single" w:color="auto" w:sz="4" w:space="0"/>
              <w:bottom w:val="single" w:color="auto" w:sz="4" w:space="0"/>
              <w:right w:val="single" w:color="auto" w:sz="4" w:space="0"/>
            </w:tcBorders>
            <w:vAlign w:val="center"/>
          </w:tcPr>
          <w:p w14:paraId="7E5CBDFC">
            <w:pPr>
              <w:widowControl/>
              <w:spacing w:line="360" w:lineRule="auto"/>
              <w:ind w:firstLine="241" w:firstLineChars="100"/>
              <w:rPr>
                <w:rFonts w:hint="eastAsia" w:ascii="宋体" w:hAnsi="宋体" w:eastAsia="宋体" w:cstheme="minorEastAsia"/>
                <w:b/>
                <w:bCs/>
                <w:kern w:val="0"/>
                <w:sz w:val="24"/>
                <w:szCs w:val="24"/>
              </w:rPr>
            </w:pPr>
            <w:r>
              <w:rPr>
                <w:rFonts w:hint="eastAsia" w:ascii="宋体" w:hAnsi="宋体" w:eastAsia="宋体" w:cstheme="minorEastAsia"/>
                <w:b/>
                <w:bCs/>
                <w:kern w:val="0"/>
                <w:sz w:val="24"/>
                <w:szCs w:val="24"/>
              </w:rPr>
              <w:t>一、公司基本情况介绍</w:t>
            </w:r>
          </w:p>
          <w:p w14:paraId="06D454D7">
            <w:pPr>
              <w:widowControl/>
              <w:spacing w:line="360" w:lineRule="auto"/>
              <w:ind w:firstLine="241" w:firstLineChars="100"/>
              <w:rPr>
                <w:rFonts w:hint="eastAsia" w:ascii="宋体" w:hAnsi="宋体" w:eastAsia="宋体" w:cstheme="minorEastAsia"/>
                <w:b/>
                <w:bCs/>
                <w:kern w:val="0"/>
                <w:sz w:val="24"/>
                <w:szCs w:val="24"/>
              </w:rPr>
            </w:pPr>
          </w:p>
          <w:p w14:paraId="3611076F">
            <w:pPr>
              <w:widowControl/>
              <w:spacing w:line="360" w:lineRule="auto"/>
              <w:ind w:firstLine="241" w:firstLineChars="100"/>
              <w:rPr>
                <w:rFonts w:hint="eastAsia" w:ascii="宋体" w:hAnsi="宋体" w:eastAsia="宋体" w:cstheme="minorEastAsia"/>
                <w:b/>
                <w:bCs/>
                <w:kern w:val="0"/>
                <w:sz w:val="24"/>
                <w:szCs w:val="24"/>
              </w:rPr>
            </w:pPr>
            <w:r>
              <w:rPr>
                <w:rFonts w:hint="eastAsia" w:ascii="宋体" w:hAnsi="宋体" w:eastAsia="宋体" w:cstheme="minorEastAsia"/>
                <w:b/>
                <w:bCs/>
                <w:kern w:val="0"/>
                <w:sz w:val="24"/>
                <w:szCs w:val="24"/>
              </w:rPr>
              <w:t>二、投资者交流情况</w:t>
            </w:r>
          </w:p>
          <w:p w14:paraId="09B7FADF">
            <w:pPr>
              <w:widowControl/>
              <w:spacing w:line="360" w:lineRule="auto"/>
              <w:ind w:firstLine="241" w:firstLineChars="100"/>
              <w:rPr>
                <w:rFonts w:hint="eastAsia" w:ascii="宋体" w:hAnsi="宋体" w:eastAsia="宋体" w:cstheme="minorEastAsia"/>
                <w:b/>
                <w:bCs/>
                <w:kern w:val="0"/>
                <w:sz w:val="24"/>
                <w:szCs w:val="24"/>
              </w:rPr>
            </w:pPr>
            <w:r>
              <w:rPr>
                <w:rFonts w:hint="eastAsia" w:ascii="宋体" w:hAnsi="宋体" w:eastAsia="宋体" w:cstheme="minorEastAsia"/>
                <w:b/>
                <w:bCs/>
                <w:kern w:val="0"/>
                <w:sz w:val="24"/>
                <w:szCs w:val="24"/>
              </w:rPr>
              <w:t>1、公司的转型策略和主要进展如何？</w:t>
            </w:r>
          </w:p>
          <w:p w14:paraId="0E67D0B3">
            <w:pPr>
              <w:widowControl/>
              <w:spacing w:line="360" w:lineRule="auto"/>
              <w:ind w:firstLine="480" w:firstLineChars="200"/>
              <w:rPr>
                <w:rFonts w:hint="eastAsia" w:ascii="宋体" w:hAnsi="宋体" w:eastAsia="宋体" w:cstheme="minorEastAsia"/>
                <w:kern w:val="0"/>
                <w:sz w:val="24"/>
                <w:szCs w:val="24"/>
              </w:rPr>
            </w:pPr>
            <w:r>
              <w:rPr>
                <w:rFonts w:hint="eastAsia" w:ascii="宋体" w:hAnsi="宋体" w:eastAsia="宋体" w:cstheme="minorEastAsia"/>
                <w:kern w:val="0"/>
                <w:sz w:val="24"/>
                <w:szCs w:val="24"/>
              </w:rPr>
              <w:t>（1）2022年以来，医药分业改革拉开帷幕，医保个账改革、门诊统筹政策持续规范，医保基金合规监管加强、行业价格专项治理、药品追溯码全场景应用等政策持续探索、落地，对医药工业企业营销习惯、</w:t>
            </w:r>
            <w:r>
              <w:rPr>
                <w:rFonts w:ascii="宋体" w:hAnsi="宋体" w:eastAsia="宋体" w:cstheme="minorEastAsia"/>
                <w:kern w:val="0"/>
                <w:sz w:val="24"/>
                <w:szCs w:val="24"/>
              </w:rPr>
              <w:t>医疗机构及医生诊疗习惯、</w:t>
            </w:r>
            <w:r>
              <w:rPr>
                <w:rFonts w:hint="eastAsia" w:ascii="宋体" w:hAnsi="宋体" w:eastAsia="宋体" w:cstheme="minorEastAsia"/>
                <w:kern w:val="0"/>
                <w:sz w:val="24"/>
                <w:szCs w:val="24"/>
              </w:rPr>
              <w:t>零售企业药师和员工销售及医保“理赔”习惯、顾客消费习惯四个领域</w:t>
            </w:r>
            <w:r>
              <w:rPr>
                <w:rFonts w:ascii="宋体" w:hAnsi="宋体" w:eastAsia="宋体" w:cstheme="minorEastAsia"/>
                <w:kern w:val="0"/>
                <w:sz w:val="24"/>
                <w:szCs w:val="24"/>
              </w:rPr>
              <w:t>（以下简称“四个领域习惯”）</w:t>
            </w:r>
            <w:r>
              <w:rPr>
                <w:rFonts w:hint="eastAsia" w:ascii="宋体" w:hAnsi="宋体" w:eastAsia="宋体" w:cstheme="minorEastAsia"/>
                <w:kern w:val="0"/>
                <w:sz w:val="24"/>
                <w:szCs w:val="24"/>
              </w:rPr>
              <w:t>的影响巨大，医药健康消费受抑制。</w:t>
            </w:r>
          </w:p>
          <w:p w14:paraId="2FB54D8A">
            <w:pPr>
              <w:widowControl/>
              <w:spacing w:line="360" w:lineRule="auto"/>
              <w:ind w:firstLine="480" w:firstLineChars="200"/>
              <w:rPr>
                <w:rFonts w:hint="eastAsia" w:ascii="宋体" w:hAnsi="宋体" w:eastAsia="宋体" w:cstheme="minorEastAsia"/>
                <w:kern w:val="0"/>
                <w:sz w:val="24"/>
                <w:szCs w:val="24"/>
              </w:rPr>
            </w:pPr>
            <w:r>
              <w:rPr>
                <w:rFonts w:hint="eastAsia" w:ascii="宋体" w:hAnsi="宋体" w:eastAsia="宋体" w:cstheme="minorEastAsia"/>
                <w:kern w:val="0"/>
                <w:sz w:val="24"/>
                <w:szCs w:val="24"/>
              </w:rPr>
              <w:t>与部分省区个账改革后</w:t>
            </w:r>
            <w:bookmarkStart w:id="0" w:name="OLE_LINK13"/>
            <w:r>
              <w:rPr>
                <w:rFonts w:hint="eastAsia" w:ascii="宋体" w:hAnsi="宋体" w:eastAsia="宋体" w:cstheme="minorEastAsia"/>
                <w:kern w:val="0"/>
                <w:sz w:val="24"/>
                <w:szCs w:val="24"/>
              </w:rPr>
              <w:t>门诊统筹政策基本落实不同，公司所处省区门诊统筹政策尚在探索，其处方流转、便民可及等措施尚未落地</w:t>
            </w:r>
            <w:bookmarkEnd w:id="0"/>
            <w:r>
              <w:rPr>
                <w:rFonts w:hint="eastAsia" w:ascii="宋体" w:hAnsi="宋体" w:eastAsia="宋体" w:cstheme="minorEastAsia"/>
                <w:kern w:val="0"/>
                <w:sz w:val="24"/>
                <w:szCs w:val="24"/>
              </w:rPr>
              <w:t>。</w:t>
            </w:r>
          </w:p>
          <w:p w14:paraId="4D2F2471">
            <w:pPr>
              <w:widowControl/>
              <w:spacing w:line="360" w:lineRule="auto"/>
              <w:ind w:firstLine="480" w:firstLineChars="200"/>
              <w:rPr>
                <w:rFonts w:hint="eastAsia" w:ascii="宋体" w:hAnsi="宋体" w:eastAsia="宋体" w:cstheme="minorEastAsia"/>
                <w:kern w:val="0"/>
                <w:sz w:val="24"/>
                <w:szCs w:val="24"/>
              </w:rPr>
            </w:pPr>
            <w:r>
              <w:rPr>
                <w:rFonts w:hint="eastAsia" w:ascii="宋体" w:hAnsi="宋体" w:eastAsia="宋体" w:cstheme="minorEastAsia"/>
                <w:kern w:val="0"/>
                <w:sz w:val="24"/>
                <w:szCs w:val="24"/>
              </w:rPr>
              <w:t>（2）董事长蓝总带领公司，以“差异化商品、专业服务”为核心推进转型，满足顾客健康需求，在非医保依赖创新药、非药品类、OEM产品品类方面的转型成效须逐步呈现；精细化运营控费、专科化运营管理方面持续降本增效，逐步构建新的门店经营模型。</w:t>
            </w:r>
          </w:p>
          <w:p w14:paraId="79EECB16">
            <w:pPr>
              <w:widowControl/>
              <w:spacing w:line="360" w:lineRule="auto"/>
              <w:ind w:firstLine="480" w:firstLineChars="200"/>
              <w:rPr>
                <w:rFonts w:hint="eastAsia" w:ascii="宋体" w:hAnsi="宋体" w:eastAsia="宋体" w:cstheme="minorEastAsia"/>
                <w:kern w:val="0"/>
                <w:sz w:val="24"/>
                <w:szCs w:val="24"/>
              </w:rPr>
            </w:pPr>
            <w:r>
              <w:rPr>
                <w:rFonts w:hint="eastAsia" w:ascii="宋体" w:hAnsi="宋体" w:eastAsia="宋体" w:cstheme="minorEastAsia"/>
                <w:kern w:val="0"/>
                <w:sz w:val="24"/>
                <w:szCs w:val="24"/>
              </w:rPr>
              <w:t>带领管理层持续转变管理干部和员工的思想，通过上述四个领域习惯中，自身“零售企业药师和员工销售及医保‘理赔’习惯”的转变，逐步承接医药工业企业营销习惯转变对院外专业营销服务及资源投入，服务于顾客消费习惯转变、辅助监管机构做好对顾客抱怨的合规解释，提升药学服务及健康管理服务水平，以企业自身的能动性、主动性应对，强化转型策略落地执行；拥抱医药改革、全面主动合规，等待企业不可控的医药改革对</w:t>
            </w:r>
            <w:r>
              <w:rPr>
                <w:rFonts w:ascii="宋体" w:hAnsi="宋体" w:eastAsia="宋体" w:cstheme="minorEastAsia"/>
                <w:kern w:val="0"/>
                <w:sz w:val="24"/>
                <w:szCs w:val="24"/>
              </w:rPr>
              <w:t>医疗机构及医生诊疗习惯</w:t>
            </w:r>
            <w:r>
              <w:rPr>
                <w:rFonts w:hint="eastAsia" w:ascii="宋体" w:hAnsi="宋体" w:eastAsia="宋体" w:cstheme="minorEastAsia"/>
                <w:kern w:val="0"/>
                <w:sz w:val="24"/>
                <w:szCs w:val="24"/>
              </w:rPr>
              <w:t>的逐步改变，以及医药分业落地对</w:t>
            </w:r>
            <w:r>
              <w:rPr>
                <w:rFonts w:ascii="宋体" w:hAnsi="宋体" w:eastAsia="宋体" w:cstheme="minorEastAsia"/>
                <w:kern w:val="0"/>
                <w:sz w:val="24"/>
                <w:szCs w:val="24"/>
              </w:rPr>
              <w:t>处方流转、便民可及等措施落地</w:t>
            </w:r>
            <w:r>
              <w:rPr>
                <w:rFonts w:hint="eastAsia" w:ascii="宋体" w:hAnsi="宋体" w:eastAsia="宋体" w:cstheme="minorEastAsia"/>
                <w:kern w:val="0"/>
                <w:sz w:val="24"/>
                <w:szCs w:val="24"/>
              </w:rPr>
              <w:t>到健之佳社区药店这一不确定、但必然实现的中长期未来。</w:t>
            </w:r>
          </w:p>
          <w:p w14:paraId="173E813D">
            <w:pPr>
              <w:widowControl/>
              <w:spacing w:line="360" w:lineRule="auto"/>
              <w:ind w:firstLine="480" w:firstLineChars="200"/>
              <w:rPr>
                <w:rFonts w:hint="eastAsia" w:ascii="宋体" w:hAnsi="宋体" w:eastAsia="宋体" w:cstheme="minorEastAsia"/>
                <w:kern w:val="0"/>
                <w:sz w:val="24"/>
                <w:szCs w:val="24"/>
              </w:rPr>
            </w:pPr>
            <w:r>
              <w:rPr>
                <w:rFonts w:hint="eastAsia" w:ascii="宋体" w:hAnsi="宋体" w:eastAsia="宋体" w:cstheme="minorEastAsia"/>
                <w:kern w:val="0"/>
                <w:sz w:val="24"/>
                <w:szCs w:val="24"/>
              </w:rPr>
              <w:t>a.加强供应链协作，针对自有品牌、独家代理等商品打造多品类、矩阵式的商品体系，进一步提升差异化商品力、培养顾客忠诚度、满足顾客健康需求，推动转型，减缓毛利率下滑，提升毛利额。</w:t>
            </w:r>
          </w:p>
          <w:p w14:paraId="2ED7DCFF">
            <w:pPr>
              <w:widowControl/>
              <w:spacing w:line="360" w:lineRule="auto"/>
              <w:ind w:firstLine="480" w:firstLineChars="200"/>
              <w:rPr>
                <w:rFonts w:hint="eastAsia" w:ascii="宋体" w:hAnsi="宋体" w:eastAsia="宋体" w:cstheme="minorEastAsia"/>
                <w:kern w:val="0"/>
                <w:sz w:val="24"/>
                <w:szCs w:val="24"/>
              </w:rPr>
            </w:pPr>
            <w:r>
              <w:rPr>
                <w:rFonts w:hint="eastAsia" w:ascii="宋体" w:hAnsi="宋体" w:eastAsia="宋体" w:cstheme="minorEastAsia"/>
                <w:kern w:val="0"/>
                <w:sz w:val="24"/>
                <w:szCs w:val="24"/>
              </w:rPr>
              <w:t>b.依托药事服务中心打造的培训体系，持续不断地提升执业药师的专业胜任能力和员工的商品知识、服务专业能力，并将员工、顾客、商品的动销作为衡量专业能力的重要考核指标，在医保依赖较弱的创新处方药、OTC及非药品类商品上不断实现自我突破，进而弥补医药收入下降对业绩的冲击。</w:t>
            </w:r>
          </w:p>
          <w:p w14:paraId="39525F35">
            <w:pPr>
              <w:widowControl/>
              <w:spacing w:line="360" w:lineRule="auto"/>
              <w:ind w:firstLine="480" w:firstLineChars="200"/>
              <w:rPr>
                <w:rFonts w:hint="eastAsia" w:ascii="宋体" w:hAnsi="宋体" w:eastAsia="宋体" w:cstheme="minorEastAsia"/>
                <w:kern w:val="0"/>
                <w:sz w:val="24"/>
                <w:szCs w:val="24"/>
              </w:rPr>
            </w:pPr>
            <w:r>
              <w:rPr>
                <w:rFonts w:hint="eastAsia" w:ascii="宋体" w:hAnsi="宋体" w:eastAsia="宋体" w:cstheme="minorEastAsia"/>
                <w:kern w:val="0"/>
                <w:sz w:val="24"/>
                <w:szCs w:val="24"/>
              </w:rPr>
              <w:t>c.控费增效；提升单店产出；对亏损、低产出门店的扭转、“腾笼换鸟”。</w:t>
            </w:r>
          </w:p>
          <w:p w14:paraId="0D594058">
            <w:pPr>
              <w:widowControl/>
              <w:spacing w:line="360" w:lineRule="auto"/>
              <w:ind w:firstLine="480" w:firstLineChars="200"/>
              <w:rPr>
                <w:rFonts w:hint="eastAsia" w:ascii="宋体" w:hAnsi="宋体" w:eastAsia="宋体" w:cstheme="minorEastAsia"/>
                <w:kern w:val="0"/>
                <w:sz w:val="24"/>
                <w:szCs w:val="24"/>
              </w:rPr>
            </w:pPr>
          </w:p>
          <w:p w14:paraId="392D1734">
            <w:pPr>
              <w:widowControl/>
              <w:spacing w:line="360" w:lineRule="auto"/>
              <w:ind w:firstLine="480" w:firstLineChars="200"/>
              <w:rPr>
                <w:rFonts w:hint="eastAsia" w:ascii="宋体" w:hAnsi="宋体" w:eastAsia="宋体" w:cstheme="minorEastAsia"/>
                <w:kern w:val="0"/>
                <w:sz w:val="24"/>
                <w:szCs w:val="24"/>
              </w:rPr>
            </w:pPr>
            <w:r>
              <w:rPr>
                <w:rFonts w:hint="eastAsia" w:ascii="宋体" w:hAnsi="宋体" w:eastAsia="宋体" w:cstheme="minorEastAsia"/>
                <w:kern w:val="0"/>
                <w:sz w:val="24"/>
                <w:szCs w:val="24"/>
              </w:rPr>
              <w:t>进展，可进一步索引下一问题交流记录。</w:t>
            </w:r>
          </w:p>
          <w:p w14:paraId="610415A4">
            <w:pPr>
              <w:widowControl/>
              <w:spacing w:line="360" w:lineRule="auto"/>
              <w:rPr>
                <w:rFonts w:hint="eastAsia" w:ascii="宋体" w:hAnsi="宋体" w:eastAsia="宋体" w:cstheme="minorEastAsia"/>
                <w:b/>
                <w:bCs/>
                <w:kern w:val="0"/>
                <w:sz w:val="24"/>
                <w:szCs w:val="24"/>
              </w:rPr>
            </w:pPr>
          </w:p>
          <w:p w14:paraId="7368A0A9">
            <w:pPr>
              <w:widowControl/>
              <w:spacing w:line="360" w:lineRule="auto"/>
              <w:ind w:firstLine="241" w:firstLineChars="100"/>
              <w:rPr>
                <w:rFonts w:hint="eastAsia" w:ascii="宋体" w:hAnsi="宋体" w:eastAsia="宋体" w:cstheme="minorEastAsia"/>
                <w:b/>
                <w:bCs/>
                <w:kern w:val="0"/>
                <w:sz w:val="24"/>
                <w:szCs w:val="24"/>
              </w:rPr>
            </w:pPr>
            <w:r>
              <w:rPr>
                <w:rFonts w:hint="eastAsia" w:ascii="宋体" w:hAnsi="宋体" w:eastAsia="宋体" w:cstheme="minorEastAsia"/>
                <w:b/>
                <w:bCs/>
                <w:kern w:val="0"/>
                <w:sz w:val="24"/>
                <w:szCs w:val="24"/>
              </w:rPr>
              <w:t>2、公司转型工作具体内容，成效、进展？</w:t>
            </w:r>
          </w:p>
          <w:p w14:paraId="15EEC351">
            <w:pPr>
              <w:widowControl/>
              <w:spacing w:line="360" w:lineRule="auto"/>
              <w:ind w:firstLine="480" w:firstLineChars="200"/>
              <w:rPr>
                <w:rFonts w:hint="eastAsia" w:ascii="宋体" w:hAnsi="宋体" w:eastAsia="宋体" w:cstheme="minorEastAsia"/>
                <w:kern w:val="0"/>
                <w:sz w:val="24"/>
                <w:szCs w:val="24"/>
              </w:rPr>
            </w:pPr>
            <w:r>
              <w:rPr>
                <w:rFonts w:hint="eastAsia" w:ascii="宋体" w:hAnsi="宋体" w:eastAsia="宋体" w:cstheme="minorEastAsia"/>
                <w:kern w:val="0"/>
                <w:sz w:val="24"/>
                <w:szCs w:val="24"/>
              </w:rPr>
              <w:t>（1）坚持投资于人，赋能员工实现有效转型</w:t>
            </w:r>
          </w:p>
          <w:p w14:paraId="03C7C0CA">
            <w:pPr>
              <w:widowControl/>
              <w:spacing w:line="360" w:lineRule="auto"/>
              <w:ind w:firstLine="480" w:firstLineChars="200"/>
              <w:rPr>
                <w:rFonts w:hint="eastAsia" w:ascii="宋体" w:hAnsi="宋体" w:eastAsia="宋体" w:cstheme="minorEastAsia"/>
                <w:kern w:val="0"/>
                <w:sz w:val="24"/>
                <w:szCs w:val="24"/>
              </w:rPr>
            </w:pPr>
            <w:r>
              <w:rPr>
                <w:rFonts w:hint="eastAsia" w:ascii="宋体" w:hAnsi="宋体" w:eastAsia="宋体" w:cstheme="minorEastAsia"/>
                <w:kern w:val="0"/>
                <w:sz w:val="24"/>
                <w:szCs w:val="24"/>
              </w:rPr>
              <w:t>持续贯彻“以人为本”的理念，以丰富的商品资源、专业的培训体系和精细化运营体系赋能员工。</w:t>
            </w:r>
          </w:p>
          <w:p w14:paraId="213BA800">
            <w:pPr>
              <w:widowControl/>
              <w:spacing w:line="360" w:lineRule="auto"/>
              <w:ind w:firstLine="480" w:firstLineChars="200"/>
              <w:rPr>
                <w:rFonts w:hint="eastAsia" w:ascii="宋体" w:hAnsi="宋体" w:eastAsia="宋体" w:cstheme="minorEastAsia"/>
                <w:kern w:val="0"/>
                <w:sz w:val="24"/>
                <w:szCs w:val="24"/>
              </w:rPr>
            </w:pPr>
            <w:r>
              <w:rPr>
                <w:rFonts w:hint="eastAsia" w:ascii="宋体" w:hAnsi="宋体" w:eastAsia="宋体" w:cstheme="minorEastAsia"/>
                <w:kern w:val="0"/>
                <w:sz w:val="24"/>
                <w:szCs w:val="24"/>
              </w:rPr>
              <w:t>持续推进全渠道发展，提升线上B2C电商业务、O2O业务效能，改善顾客体验；积极探索直播业务，为门店及员工业绩增长赋能。</w:t>
            </w:r>
          </w:p>
          <w:p w14:paraId="2568243E">
            <w:pPr>
              <w:widowControl/>
              <w:spacing w:line="360" w:lineRule="auto"/>
              <w:ind w:firstLine="480" w:firstLineChars="200"/>
              <w:rPr>
                <w:rFonts w:hint="eastAsia" w:ascii="宋体" w:hAnsi="宋体" w:eastAsia="宋体" w:cstheme="minorEastAsia"/>
                <w:kern w:val="0"/>
                <w:sz w:val="24"/>
                <w:szCs w:val="24"/>
              </w:rPr>
            </w:pPr>
            <w:r>
              <w:rPr>
                <w:rFonts w:hint="eastAsia" w:ascii="宋体" w:hAnsi="宋体" w:eastAsia="宋体" w:cstheme="minorEastAsia"/>
                <w:kern w:val="0"/>
                <w:sz w:val="24"/>
                <w:szCs w:val="24"/>
              </w:rPr>
              <w:t>推动数字化运营能力提升，提高商品与供应链协同效率，提升管控效果和信息系统安全性；强化信息化建设赋能一线员工、提升运营管理效率与服务质量。</w:t>
            </w:r>
          </w:p>
          <w:p w14:paraId="08A8DEB2">
            <w:pPr>
              <w:widowControl/>
              <w:spacing w:line="360" w:lineRule="auto"/>
              <w:ind w:firstLine="480" w:firstLineChars="200"/>
              <w:rPr>
                <w:rFonts w:hint="eastAsia" w:ascii="宋体" w:hAnsi="宋体" w:eastAsia="宋体" w:cstheme="minorEastAsia"/>
                <w:kern w:val="0"/>
                <w:sz w:val="24"/>
                <w:szCs w:val="24"/>
              </w:rPr>
            </w:pPr>
            <w:r>
              <w:rPr>
                <w:rFonts w:hint="eastAsia" w:ascii="宋体" w:hAnsi="宋体" w:eastAsia="宋体" w:cstheme="minorEastAsia"/>
                <w:kern w:val="0"/>
                <w:sz w:val="24"/>
                <w:szCs w:val="24"/>
              </w:rPr>
              <w:t>细化门店管理，强化营运措施执行，赋能执业药师和员工提升专业服务能力，提高奖金和人效。</w:t>
            </w:r>
          </w:p>
          <w:p w14:paraId="74DE977E">
            <w:pPr>
              <w:widowControl/>
              <w:spacing w:line="360" w:lineRule="auto"/>
              <w:ind w:firstLine="480" w:firstLineChars="200"/>
              <w:rPr>
                <w:rFonts w:hint="eastAsia" w:ascii="宋体" w:hAnsi="宋体" w:eastAsia="宋体" w:cstheme="minorEastAsia"/>
                <w:kern w:val="0"/>
                <w:sz w:val="24"/>
                <w:szCs w:val="24"/>
              </w:rPr>
            </w:pPr>
            <w:r>
              <w:rPr>
                <w:rFonts w:hint="eastAsia" w:ascii="宋体" w:hAnsi="宋体" w:eastAsia="宋体" w:cstheme="minorEastAsia"/>
                <w:kern w:val="0"/>
                <w:sz w:val="24"/>
                <w:szCs w:val="24"/>
              </w:rPr>
              <w:t>（2）迁址整合、提质增效</w:t>
            </w:r>
          </w:p>
          <w:p w14:paraId="1A66ABBF">
            <w:pPr>
              <w:widowControl/>
              <w:spacing w:line="360" w:lineRule="auto"/>
              <w:ind w:firstLine="480" w:firstLineChars="200"/>
              <w:rPr>
                <w:rFonts w:hint="eastAsia" w:ascii="宋体" w:hAnsi="宋体" w:eastAsia="宋体" w:cstheme="minorEastAsia"/>
                <w:kern w:val="0"/>
                <w:sz w:val="24"/>
                <w:szCs w:val="24"/>
              </w:rPr>
            </w:pPr>
            <w:r>
              <w:rPr>
                <w:rFonts w:hint="eastAsia" w:ascii="宋体" w:hAnsi="宋体" w:eastAsia="宋体" w:cstheme="minorEastAsia"/>
                <w:kern w:val="0"/>
                <w:sz w:val="24"/>
                <w:szCs w:val="24"/>
              </w:rPr>
              <w:t>门店拓展部门转变工作思路，以高租金、高亏损门店整改扭转、保留证照资质的“腾笼换鸟”迁址工作为主。</w:t>
            </w:r>
          </w:p>
          <w:p w14:paraId="72D4AFAC">
            <w:pPr>
              <w:widowControl/>
              <w:spacing w:line="360" w:lineRule="auto"/>
              <w:ind w:firstLine="480" w:firstLineChars="200"/>
              <w:rPr>
                <w:rFonts w:hint="eastAsia" w:ascii="宋体" w:hAnsi="宋体" w:eastAsia="宋体" w:cstheme="minorEastAsia"/>
                <w:kern w:val="0"/>
                <w:sz w:val="24"/>
                <w:szCs w:val="24"/>
              </w:rPr>
            </w:pPr>
            <w:r>
              <w:rPr>
                <w:rFonts w:hint="eastAsia" w:ascii="宋体" w:hAnsi="宋体" w:eastAsia="宋体" w:cstheme="minorEastAsia"/>
                <w:kern w:val="0"/>
                <w:sz w:val="24"/>
                <w:szCs w:val="24"/>
              </w:rPr>
              <w:t>（3）强化全员用药安全、医保合规意识，推进统筹政策落地、逐步实施</w:t>
            </w:r>
          </w:p>
          <w:p w14:paraId="6464520B">
            <w:pPr>
              <w:widowControl/>
              <w:spacing w:line="360" w:lineRule="auto"/>
              <w:ind w:firstLine="480" w:firstLineChars="200"/>
              <w:rPr>
                <w:rFonts w:hint="eastAsia" w:ascii="宋体" w:hAnsi="宋体" w:eastAsia="宋体" w:cstheme="minorEastAsia"/>
                <w:kern w:val="0"/>
                <w:sz w:val="24"/>
                <w:szCs w:val="24"/>
              </w:rPr>
            </w:pPr>
            <w:r>
              <w:rPr>
                <w:rFonts w:hint="eastAsia" w:ascii="宋体" w:hAnsi="宋体" w:eastAsia="宋体" w:cstheme="minorEastAsia"/>
                <w:kern w:val="0"/>
                <w:sz w:val="24"/>
                <w:szCs w:val="24"/>
              </w:rPr>
              <w:t>建立定期培训、考核机制，强化全员合规意识、提升合规能力、防范违规风险。</w:t>
            </w:r>
          </w:p>
          <w:p w14:paraId="77AC53DF">
            <w:pPr>
              <w:widowControl/>
              <w:spacing w:line="360" w:lineRule="auto"/>
              <w:ind w:firstLine="480" w:firstLineChars="200"/>
              <w:rPr>
                <w:rFonts w:hint="eastAsia" w:ascii="宋体" w:hAnsi="宋体" w:eastAsia="宋体" w:cstheme="minorEastAsia"/>
                <w:kern w:val="0"/>
                <w:sz w:val="24"/>
                <w:szCs w:val="24"/>
              </w:rPr>
            </w:pPr>
            <w:r>
              <w:rPr>
                <w:rFonts w:hint="eastAsia" w:ascii="宋体" w:hAnsi="宋体" w:eastAsia="宋体" w:cstheme="minorEastAsia"/>
                <w:kern w:val="0"/>
                <w:sz w:val="24"/>
                <w:szCs w:val="24"/>
              </w:rPr>
              <w:t>完善制度建设和系统管控，加强医保稽核、处方强管控，药品追溯码全场景应用部署，有效降低员工操作风险，积极配合监管部门主动提高药监、医保合规水平。</w:t>
            </w:r>
          </w:p>
          <w:p w14:paraId="7C22F13E">
            <w:pPr>
              <w:widowControl/>
              <w:spacing w:line="360" w:lineRule="auto"/>
              <w:ind w:firstLine="480" w:firstLineChars="200"/>
              <w:rPr>
                <w:rFonts w:hint="eastAsia" w:ascii="宋体" w:hAnsi="宋体" w:eastAsia="宋体" w:cstheme="minorEastAsia"/>
                <w:kern w:val="0"/>
                <w:sz w:val="24"/>
                <w:szCs w:val="24"/>
              </w:rPr>
            </w:pPr>
            <w:r>
              <w:rPr>
                <w:rFonts w:hint="eastAsia" w:ascii="宋体" w:hAnsi="宋体" w:eastAsia="宋体" w:cstheme="minorEastAsia"/>
                <w:kern w:val="0"/>
                <w:sz w:val="24"/>
                <w:szCs w:val="24"/>
              </w:rPr>
              <w:t>积极与医保等部门协调，争取政策落地，在统筹政策明确区域，按规范将门诊统筹政策及业务落地、实施。</w:t>
            </w:r>
          </w:p>
          <w:p w14:paraId="638DD7F3">
            <w:pPr>
              <w:widowControl/>
              <w:spacing w:line="360" w:lineRule="auto"/>
              <w:ind w:firstLine="480" w:firstLineChars="200"/>
              <w:rPr>
                <w:rFonts w:hint="eastAsia" w:ascii="宋体" w:hAnsi="宋体" w:eastAsia="宋体" w:cstheme="minorEastAsia"/>
                <w:kern w:val="0"/>
                <w:sz w:val="24"/>
                <w:szCs w:val="24"/>
              </w:rPr>
            </w:pPr>
            <w:r>
              <w:rPr>
                <w:rFonts w:hint="eastAsia" w:ascii="宋体" w:hAnsi="宋体" w:eastAsia="宋体" w:cstheme="minorEastAsia"/>
                <w:kern w:val="0"/>
                <w:sz w:val="24"/>
                <w:szCs w:val="24"/>
                <w:lang w:eastAsia="zh-CN"/>
              </w:rPr>
              <w:t>（</w:t>
            </w:r>
            <w:r>
              <w:rPr>
                <w:rFonts w:hint="eastAsia" w:ascii="宋体" w:hAnsi="宋体" w:eastAsia="宋体" w:cstheme="minorEastAsia"/>
                <w:kern w:val="0"/>
                <w:sz w:val="24"/>
                <w:szCs w:val="24"/>
                <w:lang w:val="en-US" w:eastAsia="zh-CN"/>
              </w:rPr>
              <w:t>4</w:t>
            </w:r>
            <w:r>
              <w:rPr>
                <w:rFonts w:hint="eastAsia" w:ascii="宋体" w:hAnsi="宋体" w:eastAsia="宋体" w:cstheme="minorEastAsia"/>
                <w:kern w:val="0"/>
                <w:sz w:val="24"/>
                <w:szCs w:val="24"/>
                <w:lang w:eastAsia="zh-CN"/>
              </w:rPr>
              <w:t>）</w:t>
            </w:r>
            <w:r>
              <w:rPr>
                <w:rFonts w:hint="eastAsia" w:ascii="宋体" w:hAnsi="宋体" w:eastAsia="宋体" w:cstheme="minorEastAsia"/>
                <w:kern w:val="0"/>
                <w:sz w:val="24"/>
                <w:szCs w:val="24"/>
              </w:rPr>
              <w:t>系统性推进开源节流</w:t>
            </w:r>
          </w:p>
          <w:p w14:paraId="19163D54">
            <w:pPr>
              <w:widowControl/>
              <w:spacing w:line="360" w:lineRule="auto"/>
              <w:ind w:firstLine="480" w:firstLineChars="200"/>
              <w:rPr>
                <w:rFonts w:hint="eastAsia" w:ascii="宋体" w:hAnsi="宋体" w:eastAsia="宋体" w:cstheme="minorEastAsia"/>
                <w:kern w:val="0"/>
                <w:sz w:val="24"/>
                <w:szCs w:val="24"/>
              </w:rPr>
            </w:pPr>
            <w:r>
              <w:rPr>
                <w:rFonts w:hint="eastAsia" w:ascii="宋体" w:hAnsi="宋体" w:eastAsia="宋体" w:cstheme="minorEastAsia"/>
                <w:kern w:val="0"/>
                <w:sz w:val="24"/>
                <w:szCs w:val="24"/>
              </w:rPr>
              <w:t>一线门店通过细化门店管理，加强层级管控，以精细化运营赋能店效、人效的提升。中后台部门全面冻结编制，强化全员费用管控意识，坚决执行谈判降费措施，租金费用进一步降低。</w:t>
            </w:r>
          </w:p>
          <w:p w14:paraId="053B86A0">
            <w:pPr>
              <w:widowControl/>
              <w:spacing w:line="360" w:lineRule="auto"/>
              <w:ind w:firstLine="480" w:firstLineChars="200"/>
              <w:rPr>
                <w:rFonts w:hint="eastAsia" w:ascii="宋体" w:hAnsi="宋体" w:eastAsia="宋体" w:cstheme="minorEastAsia"/>
                <w:kern w:val="0"/>
                <w:sz w:val="24"/>
                <w:szCs w:val="24"/>
              </w:rPr>
            </w:pPr>
            <w:r>
              <w:rPr>
                <w:rFonts w:hint="eastAsia" w:ascii="宋体" w:hAnsi="宋体" w:eastAsia="宋体" w:cstheme="minorEastAsia"/>
                <w:kern w:val="0"/>
                <w:sz w:val="24"/>
                <w:szCs w:val="24"/>
                <w:lang w:eastAsia="zh-CN"/>
              </w:rPr>
              <w:t>（</w:t>
            </w:r>
            <w:r>
              <w:rPr>
                <w:rFonts w:hint="eastAsia" w:ascii="宋体" w:hAnsi="宋体" w:eastAsia="宋体" w:cstheme="minorEastAsia"/>
                <w:kern w:val="0"/>
                <w:sz w:val="24"/>
                <w:szCs w:val="24"/>
                <w:lang w:val="en-US" w:eastAsia="zh-CN"/>
              </w:rPr>
              <w:t>5</w:t>
            </w:r>
            <w:r>
              <w:rPr>
                <w:rFonts w:hint="eastAsia" w:ascii="宋体" w:hAnsi="宋体" w:eastAsia="宋体" w:cstheme="minorEastAsia"/>
                <w:kern w:val="0"/>
                <w:sz w:val="24"/>
                <w:szCs w:val="24"/>
                <w:lang w:eastAsia="zh-CN"/>
              </w:rPr>
              <w:t>）</w:t>
            </w:r>
            <w:r>
              <w:rPr>
                <w:rFonts w:hint="eastAsia" w:ascii="宋体" w:hAnsi="宋体" w:eastAsia="宋体" w:cstheme="minorEastAsia"/>
                <w:kern w:val="0"/>
                <w:sz w:val="24"/>
                <w:szCs w:val="24"/>
              </w:rPr>
              <w:t>品类规划调整以支持转型，强化供应链能力，提升存货周转效率</w:t>
            </w:r>
          </w:p>
          <w:p w14:paraId="57A86A10">
            <w:pPr>
              <w:widowControl/>
              <w:spacing w:line="360" w:lineRule="auto"/>
              <w:ind w:firstLine="480" w:firstLineChars="200"/>
              <w:rPr>
                <w:rFonts w:hint="eastAsia" w:ascii="宋体" w:hAnsi="宋体" w:eastAsia="宋体" w:cstheme="minorEastAsia"/>
                <w:kern w:val="0"/>
                <w:sz w:val="24"/>
                <w:szCs w:val="24"/>
              </w:rPr>
            </w:pPr>
            <w:r>
              <w:rPr>
                <w:rFonts w:hint="eastAsia" w:ascii="宋体" w:hAnsi="宋体" w:eastAsia="宋体" w:cstheme="minorEastAsia"/>
                <w:kern w:val="0"/>
                <w:sz w:val="24"/>
                <w:szCs w:val="24"/>
              </w:rPr>
              <w:t>打造GB商品品类船长；挖掘和塑造高品质的PB商品。</w:t>
            </w:r>
          </w:p>
          <w:p w14:paraId="72F9BBA8">
            <w:pPr>
              <w:widowControl/>
              <w:spacing w:line="360" w:lineRule="auto"/>
              <w:ind w:firstLine="480" w:firstLineChars="200"/>
              <w:rPr>
                <w:rFonts w:hint="eastAsia" w:ascii="宋体" w:hAnsi="宋体" w:eastAsia="宋体" w:cstheme="minorEastAsia"/>
                <w:kern w:val="0"/>
                <w:sz w:val="24"/>
                <w:szCs w:val="24"/>
              </w:rPr>
            </w:pPr>
            <w:r>
              <w:rPr>
                <w:rFonts w:hint="eastAsia" w:ascii="宋体" w:hAnsi="宋体" w:eastAsia="宋体" w:cstheme="minorEastAsia"/>
                <w:kern w:val="0"/>
                <w:sz w:val="24"/>
                <w:szCs w:val="24"/>
              </w:rPr>
              <w:t>拓展境外采购业务体系挖掘品牌系列商品发展潜力和跨境购业务潜力，为公司转型升级、门店业绩和员工收入提升赋能。</w:t>
            </w:r>
          </w:p>
          <w:p w14:paraId="377785E5">
            <w:pPr>
              <w:widowControl/>
              <w:spacing w:line="360" w:lineRule="auto"/>
              <w:ind w:firstLine="480" w:firstLineChars="200"/>
              <w:rPr>
                <w:rFonts w:hint="eastAsia" w:ascii="宋体" w:hAnsi="宋体" w:eastAsia="宋体" w:cstheme="minorEastAsia"/>
                <w:kern w:val="0"/>
                <w:sz w:val="24"/>
                <w:szCs w:val="24"/>
              </w:rPr>
            </w:pPr>
            <w:r>
              <w:rPr>
                <w:rFonts w:hint="eastAsia" w:ascii="宋体" w:hAnsi="宋体" w:eastAsia="宋体" w:cstheme="minorEastAsia"/>
                <w:kern w:val="0"/>
                <w:sz w:val="24"/>
                <w:szCs w:val="24"/>
              </w:rPr>
              <w:t>加强受统筹处方、医保结算影响小的处方药、OTC，特别是创新药、健康消费类用药，以及不受医保影响的非药品类的规划、引进和销售，激发顾客需求；充分挖掘专科门店等现有差异化专业解决方案对转型和业绩提升的机会点。</w:t>
            </w:r>
          </w:p>
          <w:p w14:paraId="372B0AD0">
            <w:pPr>
              <w:widowControl/>
              <w:spacing w:line="360" w:lineRule="auto"/>
              <w:ind w:firstLine="480" w:firstLineChars="200"/>
              <w:rPr>
                <w:rFonts w:hint="eastAsia" w:ascii="宋体" w:hAnsi="宋体" w:eastAsia="宋体" w:cstheme="minorEastAsia"/>
                <w:kern w:val="0"/>
                <w:sz w:val="24"/>
                <w:szCs w:val="24"/>
              </w:rPr>
            </w:pPr>
            <w:r>
              <w:rPr>
                <w:rFonts w:hint="eastAsia" w:ascii="宋体" w:hAnsi="宋体" w:eastAsia="宋体" w:cstheme="minorEastAsia"/>
                <w:kern w:val="0"/>
                <w:sz w:val="24"/>
                <w:szCs w:val="24"/>
              </w:rPr>
              <w:t>上半年，公司加强医保依赖较弱的创新药、非药引进和销售。</w:t>
            </w:r>
            <w:r>
              <w:rPr>
                <w:rFonts w:ascii="宋体" w:hAnsi="宋体" w:eastAsia="宋体" w:cstheme="minorEastAsia"/>
                <w:kern w:val="0"/>
                <w:sz w:val="24"/>
                <w:szCs w:val="24"/>
              </w:rPr>
              <w:t>司美格鲁肽、替尔泊肽、玛仕度肽等GLP-1糖尿病及体重管理类药品</w:t>
            </w:r>
            <w:r>
              <w:rPr>
                <w:rFonts w:hint="eastAsia" w:ascii="宋体" w:hAnsi="宋体" w:eastAsia="宋体" w:cstheme="minorEastAsia"/>
                <w:kern w:val="0"/>
                <w:sz w:val="24"/>
                <w:szCs w:val="24"/>
              </w:rPr>
              <w:t>的</w:t>
            </w:r>
            <w:r>
              <w:rPr>
                <w:rFonts w:ascii="宋体" w:hAnsi="宋体" w:eastAsia="宋体" w:cstheme="minorEastAsia"/>
                <w:kern w:val="0"/>
                <w:sz w:val="24"/>
                <w:szCs w:val="24"/>
              </w:rPr>
              <w:t>销售</w:t>
            </w:r>
            <w:r>
              <w:rPr>
                <w:rFonts w:hint="eastAsia" w:ascii="宋体" w:hAnsi="宋体" w:eastAsia="宋体" w:cstheme="minorEastAsia"/>
                <w:kern w:val="0"/>
                <w:sz w:val="24"/>
                <w:szCs w:val="24"/>
              </w:rPr>
              <w:t>额</w:t>
            </w:r>
            <w:r>
              <w:rPr>
                <w:rFonts w:ascii="宋体" w:hAnsi="宋体" w:eastAsia="宋体" w:cstheme="minorEastAsia"/>
                <w:kern w:val="0"/>
                <w:sz w:val="24"/>
                <w:szCs w:val="24"/>
              </w:rPr>
              <w:t>近1.6亿，用于改善成人睡眠的非精神类药品达利雷生销售额突破800万</w:t>
            </w:r>
            <w:r>
              <w:rPr>
                <w:rFonts w:hint="eastAsia" w:ascii="宋体" w:hAnsi="宋体" w:eastAsia="宋体" w:cstheme="minorEastAsia"/>
                <w:kern w:val="0"/>
                <w:sz w:val="24"/>
                <w:szCs w:val="24"/>
              </w:rPr>
              <w:t>；公司健之佳护肤品、健佳人日用品、之佳便利食品等贴牌产品，LSI功效性护肤品等独家代理产品的销售额不断突破历史新高，转型成效凸显。非医保结算药品、非药销售在一定程度上弥补了医保结算营收下降缺口。</w:t>
            </w:r>
          </w:p>
          <w:p w14:paraId="68037EDE">
            <w:pPr>
              <w:widowControl/>
              <w:spacing w:line="360" w:lineRule="auto"/>
              <w:ind w:firstLine="480" w:firstLineChars="200"/>
              <w:rPr>
                <w:rFonts w:hint="eastAsia" w:ascii="宋体" w:hAnsi="宋体" w:eastAsia="宋体" w:cstheme="minorEastAsia"/>
                <w:kern w:val="0"/>
                <w:sz w:val="24"/>
                <w:szCs w:val="24"/>
              </w:rPr>
            </w:pPr>
            <w:r>
              <w:rPr>
                <w:rFonts w:hint="eastAsia" w:ascii="宋体" w:hAnsi="宋体" w:eastAsia="宋体" w:cstheme="minorEastAsia"/>
                <w:kern w:val="0"/>
                <w:sz w:val="24"/>
                <w:szCs w:val="24"/>
              </w:rPr>
              <w:t>围绕零售药房“健康管理”的定位，持续塑造糖尿病、心脑血管、皮肤、呼吸、疼痛、眼科、减重7个药学服务专科药房的核心竞争力，形成评估、推荐、建档、回访、再评估的闭环管理，为顾客提供体系化的专业服务。2026年上半年，皮肤专科、眼科、减重专科销售同比持续增长。糖尿病专科门店、减重专科门店、皮肤专科门店部分重点单品的销量占公司整体销量的比例超30%，专科门店的效能远高于普通门店。</w:t>
            </w:r>
          </w:p>
          <w:p w14:paraId="141958C3">
            <w:pPr>
              <w:widowControl/>
              <w:spacing w:line="360" w:lineRule="auto"/>
              <w:ind w:firstLine="480" w:firstLineChars="200"/>
              <w:rPr>
                <w:rFonts w:hint="eastAsia" w:ascii="宋体" w:hAnsi="宋体" w:eastAsia="宋体" w:cstheme="minorEastAsia"/>
                <w:kern w:val="0"/>
                <w:sz w:val="24"/>
                <w:szCs w:val="24"/>
              </w:rPr>
            </w:pPr>
            <w:r>
              <w:rPr>
                <w:rFonts w:hint="eastAsia" w:ascii="宋体" w:hAnsi="宋体" w:eastAsia="宋体" w:cstheme="minorEastAsia"/>
                <w:kern w:val="0"/>
                <w:sz w:val="24"/>
                <w:szCs w:val="24"/>
              </w:rPr>
              <w:t>通过品类调整、加强促销清理等模式，为业务转型、引进和推广新商品释放货架、仓储、资金等关键资源，提升存货周转效率。</w:t>
            </w:r>
          </w:p>
          <w:p w14:paraId="618C870E">
            <w:pPr>
              <w:widowControl/>
              <w:spacing w:line="360" w:lineRule="auto"/>
              <w:ind w:firstLine="480" w:firstLineChars="200"/>
              <w:rPr>
                <w:rFonts w:hint="eastAsia" w:ascii="宋体" w:hAnsi="宋体" w:eastAsia="宋体" w:cstheme="minorEastAsia"/>
                <w:kern w:val="0"/>
                <w:sz w:val="24"/>
                <w:szCs w:val="24"/>
              </w:rPr>
            </w:pPr>
            <w:r>
              <w:rPr>
                <w:rFonts w:hint="eastAsia" w:ascii="宋体" w:hAnsi="宋体" w:eastAsia="宋体" w:cstheme="minorEastAsia"/>
                <w:kern w:val="0"/>
                <w:sz w:val="24"/>
                <w:szCs w:val="24"/>
              </w:rPr>
              <w:t>公司以“差异化商品、专业服务”为核心推进转型，满足顾客健康需求，在非医保依赖创新药、非药品类、OEM产品品类方面的转型成效须逐步呈现；精细化运营控费、专科化运营管理方面持续降本增效，逐步构建新的门店经营模型。</w:t>
            </w:r>
          </w:p>
          <w:p w14:paraId="7F4111DF">
            <w:pPr>
              <w:spacing w:line="360" w:lineRule="auto"/>
              <w:rPr>
                <w:rFonts w:hint="eastAsia" w:ascii="宋体" w:hAnsi="宋体" w:eastAsia="宋体" w:cs="Arial"/>
                <w:sz w:val="24"/>
                <w:szCs w:val="24"/>
                <w:shd w:val="clear" w:color="auto" w:fill="FFFFFF"/>
              </w:rPr>
            </w:pPr>
          </w:p>
          <w:p w14:paraId="69525D38">
            <w:pPr>
              <w:widowControl/>
              <w:spacing w:line="360" w:lineRule="auto"/>
              <w:ind w:firstLine="241" w:firstLineChars="100"/>
              <w:rPr>
                <w:rFonts w:hint="eastAsia" w:ascii="宋体" w:hAnsi="宋体" w:eastAsia="宋体" w:cstheme="minorEastAsia"/>
                <w:b/>
                <w:bCs/>
                <w:kern w:val="0"/>
                <w:sz w:val="24"/>
                <w:szCs w:val="24"/>
              </w:rPr>
            </w:pPr>
            <w:r>
              <w:rPr>
                <w:rFonts w:hint="eastAsia" w:ascii="宋体" w:hAnsi="宋体" w:eastAsia="宋体" w:cstheme="minorEastAsia"/>
                <w:b/>
                <w:bCs/>
                <w:kern w:val="0"/>
                <w:sz w:val="24"/>
                <w:szCs w:val="24"/>
              </w:rPr>
              <w:t>3、如何看待医保局、财政部发布的医保白名单、集采商品进药店相关政策对公司的影响？</w:t>
            </w:r>
          </w:p>
          <w:p w14:paraId="2E2843C0">
            <w:pPr>
              <w:widowControl/>
              <w:spacing w:line="360" w:lineRule="auto"/>
              <w:ind w:firstLine="480" w:firstLineChars="200"/>
              <w:rPr>
                <w:rFonts w:hint="eastAsia" w:ascii="宋体" w:hAnsi="宋体" w:eastAsia="宋体" w:cstheme="minorEastAsia"/>
                <w:kern w:val="0"/>
                <w:sz w:val="24"/>
                <w:szCs w:val="24"/>
              </w:rPr>
            </w:pPr>
            <w:r>
              <w:rPr>
                <w:rFonts w:hint="eastAsia" w:ascii="宋体" w:hAnsi="宋体" w:eastAsia="宋体" w:cstheme="minorEastAsia"/>
                <w:kern w:val="0"/>
                <w:sz w:val="24"/>
                <w:szCs w:val="24"/>
              </w:rPr>
              <w:t>医保基金的合规使用始终是公司经营的底线。为此，2022年至今，公司投入超2600万元推进合规管控的信息系统建设，打造业务相关的全员培训和考核体系，同时定期和动态的检核、奖惩分明的机制，为合规管控奠定了扎实的基础。医保检查也帮助公司发现可整改空间，进一步消除风险、规范日常管理。</w:t>
            </w:r>
          </w:p>
          <w:p w14:paraId="78010765">
            <w:pPr>
              <w:widowControl/>
              <w:spacing w:line="360" w:lineRule="auto"/>
              <w:ind w:firstLine="480" w:firstLineChars="200"/>
              <w:rPr>
                <w:rFonts w:hint="eastAsia" w:ascii="宋体" w:hAnsi="宋体" w:eastAsia="宋体" w:cstheme="minorEastAsia"/>
                <w:kern w:val="0"/>
                <w:sz w:val="24"/>
                <w:szCs w:val="24"/>
              </w:rPr>
            </w:pPr>
            <w:r>
              <w:rPr>
                <w:rFonts w:hint="eastAsia" w:ascii="宋体" w:hAnsi="宋体" w:eastAsia="宋体" w:cstheme="minorEastAsia"/>
                <w:kern w:val="0"/>
                <w:sz w:val="24"/>
                <w:szCs w:val="24"/>
              </w:rPr>
              <w:t>医保白名单的出台，将进一步明确各省市的医保资金使用范围，在医保资金合规使用的管控方面为公司提供更明确的指引，有利于长期发展。</w:t>
            </w:r>
          </w:p>
          <w:p w14:paraId="774D5B32">
            <w:pPr>
              <w:widowControl/>
              <w:spacing w:line="360" w:lineRule="auto"/>
              <w:ind w:firstLine="480" w:firstLineChars="200"/>
              <w:rPr>
                <w:rFonts w:hint="eastAsia" w:ascii="宋体" w:hAnsi="宋体" w:eastAsia="宋体" w:cstheme="minorEastAsia"/>
                <w:kern w:val="0"/>
                <w:sz w:val="24"/>
                <w:szCs w:val="24"/>
              </w:rPr>
            </w:pPr>
            <w:r>
              <w:rPr>
                <w:rFonts w:hint="eastAsia" w:ascii="宋体" w:hAnsi="宋体" w:eastAsia="宋体" w:cstheme="minorEastAsia"/>
                <w:kern w:val="0"/>
                <w:sz w:val="24"/>
                <w:szCs w:val="24"/>
              </w:rPr>
              <w:t>国谈集采商品通过药店解决药物可及性问题，是本轮改革的3项核心目标之一。健之佳社区药房期待医药分业、全力以赴提升专业药学服务能力，愿意承担国谈集采药品保供及零加成统筹、个账结算业务。若落地实现，可能导致毛利率下降和客流增加，健之佳可通过统筹政策落地，销售慢病管理及常见病所需药品，为顾客提供健康服务及更多原研药、创新药、OTC及非药健康品类商品，提升单店产出、人效。</w:t>
            </w:r>
          </w:p>
          <w:p w14:paraId="721922C0">
            <w:pPr>
              <w:widowControl/>
              <w:spacing w:line="360" w:lineRule="auto"/>
              <w:rPr>
                <w:rFonts w:hint="eastAsia" w:ascii="宋体" w:hAnsi="宋体" w:eastAsia="宋体" w:cs="Arial"/>
                <w:sz w:val="24"/>
                <w:szCs w:val="24"/>
                <w:shd w:val="clear" w:color="auto" w:fill="FFFFFF"/>
              </w:rPr>
            </w:pPr>
          </w:p>
          <w:p w14:paraId="264148BB">
            <w:pPr>
              <w:widowControl/>
              <w:spacing w:line="360" w:lineRule="auto"/>
              <w:ind w:firstLine="241" w:firstLineChars="100"/>
              <w:rPr>
                <w:rFonts w:hint="eastAsia" w:ascii="宋体" w:hAnsi="宋体" w:eastAsia="宋体" w:cs="Arial"/>
                <w:b/>
                <w:bCs/>
                <w:sz w:val="24"/>
                <w:szCs w:val="24"/>
                <w:shd w:val="clear" w:color="auto" w:fill="FFFFFF"/>
              </w:rPr>
            </w:pPr>
            <w:r>
              <w:rPr>
                <w:rFonts w:hint="eastAsia" w:ascii="宋体" w:hAnsi="宋体" w:eastAsia="宋体" w:cs="Arial"/>
                <w:b/>
                <w:bCs/>
                <w:sz w:val="24"/>
                <w:szCs w:val="24"/>
                <w:shd w:val="clear" w:color="auto" w:fill="FFFFFF"/>
              </w:rPr>
              <w:t>4、医保资源合理化布局对公司的影响？</w:t>
            </w:r>
          </w:p>
          <w:p w14:paraId="359BAF22">
            <w:pPr>
              <w:widowControl/>
              <w:spacing w:line="360" w:lineRule="auto"/>
              <w:ind w:firstLine="480" w:firstLineChars="200"/>
              <w:rPr>
                <w:rFonts w:hint="eastAsia" w:ascii="宋体" w:hAnsi="宋体" w:eastAsia="宋体" w:cs="Arial"/>
                <w:sz w:val="24"/>
                <w:szCs w:val="24"/>
                <w:shd w:val="clear" w:color="auto" w:fill="FFFFFF"/>
              </w:rPr>
            </w:pPr>
            <w:r>
              <w:rPr>
                <w:rFonts w:hint="eastAsia" w:ascii="宋体" w:hAnsi="宋体" w:eastAsia="宋体" w:cs="Arial"/>
                <w:sz w:val="24"/>
                <w:szCs w:val="24"/>
                <w:shd w:val="clear" w:color="auto" w:fill="FFFFFF"/>
              </w:rPr>
              <w:t>2022年，医药改革深入推行，公司所处区域进程滞后，叠加绝大多数地区已明确的医保资源合理化布局指导要求，新开门店获取医保资质、收购项目证照及医保资质无缝对接出现困难，打破了过往老店平稳增长获取利润，新店获取医保资源后快速培养的可复制盈利模型。老店营业收入承压，新开门店无法获取医保资质，原盈利模型被破坏，云南、河北等优势区域原拓展计划无法实现；其他新培养区域拓展计划无法实施，难以通过自建+收购方式在局部区域突破规模劣势、赢得目标顾客信任。</w:t>
            </w:r>
          </w:p>
          <w:p w14:paraId="359E9923">
            <w:pPr>
              <w:widowControl/>
              <w:spacing w:line="360" w:lineRule="auto"/>
              <w:ind w:firstLine="480" w:firstLineChars="200"/>
              <w:rPr>
                <w:rFonts w:hint="eastAsia" w:ascii="宋体" w:hAnsi="宋体" w:eastAsia="宋体" w:cs="Arial"/>
                <w:sz w:val="24"/>
                <w:szCs w:val="24"/>
                <w:shd w:val="clear" w:color="auto" w:fill="FFFFFF"/>
              </w:rPr>
            </w:pPr>
            <w:r>
              <w:rPr>
                <w:rFonts w:hint="eastAsia" w:ascii="宋体" w:hAnsi="宋体" w:eastAsia="宋体" w:cs="Arial"/>
                <w:sz w:val="24"/>
                <w:szCs w:val="24"/>
                <w:shd w:val="clear" w:color="auto" w:fill="FFFFFF"/>
              </w:rPr>
              <w:t>在行业转入高质量发展，结构调整转型阶段后，公司明确门店拓展以高租金、高亏损门店整改扭转、保留证照资质的“腾笼换鸟”迁址为主，提升存量门店经营效率，审慎争取估值合理的并购整合机会。坚决提升人员专业服务水平，坚持</w:t>
            </w:r>
            <w:r>
              <w:rPr>
                <w:rFonts w:hint="eastAsia" w:ascii="宋体" w:hAnsi="宋体" w:eastAsia="宋体" w:cstheme="minorEastAsia"/>
                <w:kern w:val="0"/>
                <w:sz w:val="24"/>
                <w:szCs w:val="24"/>
              </w:rPr>
              <w:t>以“差异化商品、专业服务”为核心推进转型，满足顾客健康需求</w:t>
            </w:r>
            <w:r>
              <w:rPr>
                <w:rFonts w:hint="eastAsia" w:ascii="宋体" w:hAnsi="宋体" w:eastAsia="宋体" w:cs="Arial"/>
                <w:sz w:val="24"/>
                <w:szCs w:val="24"/>
                <w:shd w:val="clear" w:color="auto" w:fill="FFFFFF"/>
              </w:rPr>
              <w:t>。</w:t>
            </w:r>
          </w:p>
          <w:p w14:paraId="0F5FCC42">
            <w:pPr>
              <w:widowControl/>
              <w:spacing w:line="360" w:lineRule="auto"/>
              <w:ind w:firstLine="480" w:firstLineChars="200"/>
              <w:rPr>
                <w:rFonts w:hint="eastAsia" w:ascii="宋体" w:hAnsi="宋体" w:eastAsia="宋体" w:cstheme="minorEastAsia"/>
                <w:kern w:val="0"/>
                <w:sz w:val="24"/>
                <w:szCs w:val="24"/>
              </w:rPr>
            </w:pPr>
          </w:p>
          <w:p w14:paraId="43196AD7">
            <w:pPr>
              <w:widowControl/>
              <w:spacing w:line="360" w:lineRule="auto"/>
              <w:ind w:firstLine="241" w:firstLineChars="100"/>
              <w:rPr>
                <w:rFonts w:hint="eastAsia" w:ascii="宋体" w:hAnsi="宋体" w:eastAsia="宋体" w:cs="Arial"/>
                <w:b/>
                <w:bCs/>
                <w:sz w:val="24"/>
                <w:szCs w:val="24"/>
                <w:shd w:val="clear" w:color="auto" w:fill="FFFFFF"/>
                <w:lang w:eastAsia="zh-CN"/>
              </w:rPr>
            </w:pPr>
            <w:r>
              <w:rPr>
                <w:rFonts w:hint="eastAsia" w:ascii="宋体" w:hAnsi="宋体" w:eastAsia="宋体" w:cs="Arial"/>
                <w:b/>
                <w:bCs/>
                <w:sz w:val="24"/>
                <w:szCs w:val="24"/>
                <w:shd w:val="clear" w:color="auto" w:fill="FFFFFF"/>
              </w:rPr>
              <w:t>5、</w:t>
            </w:r>
            <w:bookmarkStart w:id="1" w:name="OLE_LINK12"/>
            <w:r>
              <w:rPr>
                <w:rFonts w:hint="eastAsia" w:ascii="宋体" w:hAnsi="宋体" w:eastAsia="宋体" w:cs="Arial"/>
                <w:b/>
                <w:bCs/>
                <w:sz w:val="24"/>
                <w:szCs w:val="24"/>
                <w:shd w:val="clear" w:color="auto" w:fill="FFFFFF"/>
              </w:rPr>
              <w:t>涉税风险进展如何</w:t>
            </w:r>
            <w:r>
              <w:rPr>
                <w:rFonts w:hint="eastAsia" w:ascii="宋体" w:hAnsi="宋体" w:eastAsia="宋体" w:cs="Arial"/>
                <w:b/>
                <w:bCs/>
                <w:sz w:val="24"/>
                <w:szCs w:val="24"/>
                <w:shd w:val="clear" w:color="auto" w:fill="FFFFFF"/>
                <w:lang w:eastAsia="zh-CN"/>
              </w:rPr>
              <w:t>？</w:t>
            </w:r>
          </w:p>
          <w:bookmarkEnd w:id="1"/>
          <w:p w14:paraId="0B4787B9">
            <w:pPr>
              <w:widowControl/>
              <w:spacing w:line="360" w:lineRule="auto"/>
              <w:ind w:firstLine="480" w:firstLineChars="200"/>
              <w:rPr>
                <w:rFonts w:hint="eastAsia" w:ascii="宋体" w:hAnsi="宋体" w:eastAsia="宋体" w:cs="Arial"/>
                <w:sz w:val="24"/>
                <w:szCs w:val="24"/>
                <w:shd w:val="clear" w:color="auto" w:fill="FFFFFF"/>
              </w:rPr>
            </w:pPr>
            <w:r>
              <w:rPr>
                <w:rFonts w:hint="eastAsia" w:ascii="宋体" w:hAnsi="宋体" w:eastAsia="宋体" w:cstheme="minorEastAsia"/>
                <w:kern w:val="0"/>
                <w:sz w:val="24"/>
                <w:szCs w:val="24"/>
              </w:rPr>
              <w:t>2026年中报风险提示、其他重大事项及税项已充分披露，公司做好合规基础工作，配合税务机关辅导检查工作。</w:t>
            </w:r>
          </w:p>
        </w:tc>
      </w:tr>
      <w:tr w14:paraId="39B05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14:paraId="7508A8D3">
            <w:pPr>
              <w:spacing w:line="480" w:lineRule="atLeast"/>
              <w:rPr>
                <w:rFonts w:hint="eastAsia" w:asciiTheme="minorEastAsia" w:hAnsiTheme="minorEastAsia" w:cstheme="minorEastAsia"/>
                <w:bCs/>
                <w:iCs/>
                <w:kern w:val="0"/>
                <w:sz w:val="24"/>
                <w:szCs w:val="24"/>
              </w:rPr>
            </w:pPr>
            <w:r>
              <w:rPr>
                <w:rFonts w:hint="eastAsia" w:asciiTheme="minorEastAsia" w:hAnsiTheme="minorEastAsia" w:cstheme="minorEastAsia"/>
                <w:bCs/>
                <w:iCs/>
                <w:kern w:val="0"/>
                <w:sz w:val="24"/>
                <w:szCs w:val="24"/>
              </w:rPr>
              <w:t>附件清单（如有）</w:t>
            </w:r>
          </w:p>
        </w:tc>
        <w:tc>
          <w:tcPr>
            <w:tcW w:w="8227" w:type="dxa"/>
            <w:tcBorders>
              <w:top w:val="single" w:color="auto" w:sz="4" w:space="0"/>
              <w:left w:val="single" w:color="auto" w:sz="4" w:space="0"/>
              <w:bottom w:val="single" w:color="auto" w:sz="4" w:space="0"/>
              <w:right w:val="single" w:color="auto" w:sz="4" w:space="0"/>
            </w:tcBorders>
            <w:vAlign w:val="center"/>
          </w:tcPr>
          <w:p w14:paraId="6841A6FE">
            <w:pPr>
              <w:spacing w:line="360" w:lineRule="auto"/>
              <w:rPr>
                <w:rFonts w:hint="eastAsia" w:ascii="宋体" w:hAnsi="宋体" w:eastAsia="宋体" w:cstheme="minorEastAsia"/>
                <w:b/>
                <w:kern w:val="0"/>
                <w:sz w:val="24"/>
                <w:szCs w:val="24"/>
              </w:rPr>
            </w:pPr>
          </w:p>
        </w:tc>
      </w:tr>
    </w:tbl>
    <w:p w14:paraId="3A7D8C32">
      <w:pPr>
        <w:spacing w:line="360" w:lineRule="auto"/>
        <w:rPr>
          <w:rFonts w:hint="eastAsia" w:asciiTheme="minorEastAsia" w:hAnsiTheme="minorEastAsia"/>
          <w:sz w:val="24"/>
          <w:szCs w:val="24"/>
        </w:rPr>
      </w:pPr>
    </w:p>
    <w:p w14:paraId="5CD4D4A6">
      <w:pPr>
        <w:spacing w:line="360" w:lineRule="auto"/>
        <w:rPr>
          <w:rFonts w:hint="default" w:asciiTheme="minorEastAsia" w:hAnsiTheme="minorEastAsia" w:eastAsiaTheme="minorEastAsia"/>
          <w:sz w:val="24"/>
          <w:szCs w:val="24"/>
          <w:lang w:val="en-US" w:eastAsia="zh-CN"/>
        </w:rPr>
      </w:pPr>
      <w:bookmarkStart w:id="2" w:name="_GoBack"/>
      <w:bookmarkEnd w:id="2"/>
    </w:p>
    <w:sectPr>
      <w:footerReference r:id="rId3" w:type="default"/>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53736377"/>
    </w:sdtPr>
    <w:sdtContent>
      <w:sdt>
        <w:sdtPr>
          <w:id w:val="1728636285"/>
        </w:sdtPr>
        <w:sdtContent>
          <w:p w14:paraId="724493E1">
            <w:pPr>
              <w:pStyle w:val="6"/>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10</w:t>
            </w:r>
            <w:r>
              <w:rPr>
                <w:b/>
                <w:bCs/>
                <w:sz w:val="24"/>
                <w:szCs w:val="24"/>
              </w:rPr>
              <w:fldChar w:fldCharType="end"/>
            </w:r>
          </w:p>
        </w:sdtContent>
      </w:sdt>
    </w:sdtContent>
  </w:sdt>
  <w:p w14:paraId="4B949ADD">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1"/>
  <w:bordersDoNotSurroundFooter w:val="1"/>
  <w:revisionView w:markup="0"/>
  <w:documentProtection w:enforcement="0"/>
  <w:defaultTabStop w:val="420"/>
  <w:noPunctuationKerning w:val="1"/>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0B6F"/>
    <w:rsid w:val="00000986"/>
    <w:rsid w:val="00000AA8"/>
    <w:rsid w:val="00003272"/>
    <w:rsid w:val="00003B30"/>
    <w:rsid w:val="00003F19"/>
    <w:rsid w:val="00003FCB"/>
    <w:rsid w:val="00004A62"/>
    <w:rsid w:val="00004E79"/>
    <w:rsid w:val="00004E95"/>
    <w:rsid w:val="0000513F"/>
    <w:rsid w:val="000055CB"/>
    <w:rsid w:val="000063ED"/>
    <w:rsid w:val="0000760F"/>
    <w:rsid w:val="00007FD3"/>
    <w:rsid w:val="000101F9"/>
    <w:rsid w:val="00010587"/>
    <w:rsid w:val="00010E10"/>
    <w:rsid w:val="00012932"/>
    <w:rsid w:val="00013070"/>
    <w:rsid w:val="00013A87"/>
    <w:rsid w:val="000149CB"/>
    <w:rsid w:val="0001629A"/>
    <w:rsid w:val="00016695"/>
    <w:rsid w:val="00017FB5"/>
    <w:rsid w:val="00020205"/>
    <w:rsid w:val="00020CB5"/>
    <w:rsid w:val="00021160"/>
    <w:rsid w:val="000219CB"/>
    <w:rsid w:val="00022118"/>
    <w:rsid w:val="0002225F"/>
    <w:rsid w:val="00022488"/>
    <w:rsid w:val="000240F3"/>
    <w:rsid w:val="00024AE5"/>
    <w:rsid w:val="00024DA6"/>
    <w:rsid w:val="000250C2"/>
    <w:rsid w:val="000256C4"/>
    <w:rsid w:val="00025817"/>
    <w:rsid w:val="00026262"/>
    <w:rsid w:val="0002688F"/>
    <w:rsid w:val="000271CB"/>
    <w:rsid w:val="0003065D"/>
    <w:rsid w:val="000310D1"/>
    <w:rsid w:val="00033061"/>
    <w:rsid w:val="000331A1"/>
    <w:rsid w:val="00033B73"/>
    <w:rsid w:val="0003437B"/>
    <w:rsid w:val="00034EE5"/>
    <w:rsid w:val="0003500C"/>
    <w:rsid w:val="000350CD"/>
    <w:rsid w:val="00035A42"/>
    <w:rsid w:val="000362D1"/>
    <w:rsid w:val="00037C37"/>
    <w:rsid w:val="00037E3A"/>
    <w:rsid w:val="0004005D"/>
    <w:rsid w:val="00043901"/>
    <w:rsid w:val="00043BE2"/>
    <w:rsid w:val="00043E64"/>
    <w:rsid w:val="00044156"/>
    <w:rsid w:val="00044672"/>
    <w:rsid w:val="00044774"/>
    <w:rsid w:val="00044C08"/>
    <w:rsid w:val="000455EC"/>
    <w:rsid w:val="0004576E"/>
    <w:rsid w:val="00045EFF"/>
    <w:rsid w:val="000464D0"/>
    <w:rsid w:val="000465B7"/>
    <w:rsid w:val="000475D9"/>
    <w:rsid w:val="00047CE0"/>
    <w:rsid w:val="00050204"/>
    <w:rsid w:val="000513E1"/>
    <w:rsid w:val="00051697"/>
    <w:rsid w:val="0005238C"/>
    <w:rsid w:val="00052592"/>
    <w:rsid w:val="00052D1F"/>
    <w:rsid w:val="00053DBE"/>
    <w:rsid w:val="000546FD"/>
    <w:rsid w:val="00054DAD"/>
    <w:rsid w:val="0005512B"/>
    <w:rsid w:val="00055A98"/>
    <w:rsid w:val="00056858"/>
    <w:rsid w:val="00056D66"/>
    <w:rsid w:val="000571F4"/>
    <w:rsid w:val="00057763"/>
    <w:rsid w:val="00057825"/>
    <w:rsid w:val="00061476"/>
    <w:rsid w:val="0006188D"/>
    <w:rsid w:val="00061951"/>
    <w:rsid w:val="00062377"/>
    <w:rsid w:val="00063FF4"/>
    <w:rsid w:val="00064279"/>
    <w:rsid w:val="00064D38"/>
    <w:rsid w:val="000659F3"/>
    <w:rsid w:val="00065EE7"/>
    <w:rsid w:val="00066358"/>
    <w:rsid w:val="0006638A"/>
    <w:rsid w:val="00066CDC"/>
    <w:rsid w:val="0006706B"/>
    <w:rsid w:val="000678E0"/>
    <w:rsid w:val="00067A08"/>
    <w:rsid w:val="00067C35"/>
    <w:rsid w:val="000705B9"/>
    <w:rsid w:val="000707A8"/>
    <w:rsid w:val="00070986"/>
    <w:rsid w:val="0007116F"/>
    <w:rsid w:val="00071481"/>
    <w:rsid w:val="000732F9"/>
    <w:rsid w:val="00073F5E"/>
    <w:rsid w:val="00074D52"/>
    <w:rsid w:val="0007542F"/>
    <w:rsid w:val="000758BD"/>
    <w:rsid w:val="0007673E"/>
    <w:rsid w:val="00077781"/>
    <w:rsid w:val="000778EB"/>
    <w:rsid w:val="00077E66"/>
    <w:rsid w:val="00077E7A"/>
    <w:rsid w:val="00080179"/>
    <w:rsid w:val="00081386"/>
    <w:rsid w:val="0008195F"/>
    <w:rsid w:val="00082021"/>
    <w:rsid w:val="00082089"/>
    <w:rsid w:val="00082692"/>
    <w:rsid w:val="00082DE0"/>
    <w:rsid w:val="00083A9F"/>
    <w:rsid w:val="000845FC"/>
    <w:rsid w:val="000849BB"/>
    <w:rsid w:val="00084FCD"/>
    <w:rsid w:val="00085DA5"/>
    <w:rsid w:val="00087390"/>
    <w:rsid w:val="00087600"/>
    <w:rsid w:val="00087742"/>
    <w:rsid w:val="00087DEA"/>
    <w:rsid w:val="00091AF1"/>
    <w:rsid w:val="000923F0"/>
    <w:rsid w:val="00092A69"/>
    <w:rsid w:val="000937BA"/>
    <w:rsid w:val="00093EF0"/>
    <w:rsid w:val="00093F7C"/>
    <w:rsid w:val="00094647"/>
    <w:rsid w:val="00095CA4"/>
    <w:rsid w:val="00095CEC"/>
    <w:rsid w:val="00096246"/>
    <w:rsid w:val="0009711D"/>
    <w:rsid w:val="000A02FC"/>
    <w:rsid w:val="000A1AA3"/>
    <w:rsid w:val="000A1C24"/>
    <w:rsid w:val="000A21A2"/>
    <w:rsid w:val="000A3ED0"/>
    <w:rsid w:val="000A50BC"/>
    <w:rsid w:val="000A52AE"/>
    <w:rsid w:val="000A6C11"/>
    <w:rsid w:val="000A70E6"/>
    <w:rsid w:val="000B024F"/>
    <w:rsid w:val="000B0DCF"/>
    <w:rsid w:val="000B2965"/>
    <w:rsid w:val="000B3109"/>
    <w:rsid w:val="000B3163"/>
    <w:rsid w:val="000B4FD0"/>
    <w:rsid w:val="000B5383"/>
    <w:rsid w:val="000B551B"/>
    <w:rsid w:val="000B5D45"/>
    <w:rsid w:val="000B6BCC"/>
    <w:rsid w:val="000B6CA1"/>
    <w:rsid w:val="000B6E55"/>
    <w:rsid w:val="000B7775"/>
    <w:rsid w:val="000C149B"/>
    <w:rsid w:val="000C299D"/>
    <w:rsid w:val="000C2A46"/>
    <w:rsid w:val="000C423E"/>
    <w:rsid w:val="000C56B9"/>
    <w:rsid w:val="000C5758"/>
    <w:rsid w:val="000C5762"/>
    <w:rsid w:val="000C5E46"/>
    <w:rsid w:val="000C5FBA"/>
    <w:rsid w:val="000C61C2"/>
    <w:rsid w:val="000C6B99"/>
    <w:rsid w:val="000C796E"/>
    <w:rsid w:val="000C7B95"/>
    <w:rsid w:val="000D061D"/>
    <w:rsid w:val="000D122D"/>
    <w:rsid w:val="000D13E4"/>
    <w:rsid w:val="000D1A0C"/>
    <w:rsid w:val="000D21E5"/>
    <w:rsid w:val="000D23CD"/>
    <w:rsid w:val="000D2A84"/>
    <w:rsid w:val="000D2D4D"/>
    <w:rsid w:val="000D4066"/>
    <w:rsid w:val="000D60D2"/>
    <w:rsid w:val="000D6A9E"/>
    <w:rsid w:val="000E0979"/>
    <w:rsid w:val="000E0E8E"/>
    <w:rsid w:val="000E1C4E"/>
    <w:rsid w:val="000E2CBF"/>
    <w:rsid w:val="000E3278"/>
    <w:rsid w:val="000E4D05"/>
    <w:rsid w:val="000E56BD"/>
    <w:rsid w:val="000E5CE2"/>
    <w:rsid w:val="000E6086"/>
    <w:rsid w:val="000E62FF"/>
    <w:rsid w:val="000E6A49"/>
    <w:rsid w:val="000E6B06"/>
    <w:rsid w:val="000E703E"/>
    <w:rsid w:val="000E7085"/>
    <w:rsid w:val="000E78B0"/>
    <w:rsid w:val="000F1080"/>
    <w:rsid w:val="000F14C5"/>
    <w:rsid w:val="000F16E1"/>
    <w:rsid w:val="000F36FB"/>
    <w:rsid w:val="000F3755"/>
    <w:rsid w:val="000F460B"/>
    <w:rsid w:val="000F487A"/>
    <w:rsid w:val="000F48A5"/>
    <w:rsid w:val="000F4AFC"/>
    <w:rsid w:val="000F4E1E"/>
    <w:rsid w:val="000F4FB3"/>
    <w:rsid w:val="000F5120"/>
    <w:rsid w:val="000F553D"/>
    <w:rsid w:val="000F5CCB"/>
    <w:rsid w:val="000F64C2"/>
    <w:rsid w:val="000F664F"/>
    <w:rsid w:val="000F75D7"/>
    <w:rsid w:val="000F7DB6"/>
    <w:rsid w:val="00101408"/>
    <w:rsid w:val="001016AC"/>
    <w:rsid w:val="00101779"/>
    <w:rsid w:val="0010254D"/>
    <w:rsid w:val="00102B7A"/>
    <w:rsid w:val="0010372B"/>
    <w:rsid w:val="00103C67"/>
    <w:rsid w:val="00104404"/>
    <w:rsid w:val="00104C84"/>
    <w:rsid w:val="00104D59"/>
    <w:rsid w:val="0010522B"/>
    <w:rsid w:val="00105E3B"/>
    <w:rsid w:val="001061E7"/>
    <w:rsid w:val="00107C5A"/>
    <w:rsid w:val="00107D92"/>
    <w:rsid w:val="001101C6"/>
    <w:rsid w:val="00110383"/>
    <w:rsid w:val="00110849"/>
    <w:rsid w:val="00110A18"/>
    <w:rsid w:val="00111010"/>
    <w:rsid w:val="001113C2"/>
    <w:rsid w:val="00111898"/>
    <w:rsid w:val="00112106"/>
    <w:rsid w:val="00112837"/>
    <w:rsid w:val="00112965"/>
    <w:rsid w:val="00112C3E"/>
    <w:rsid w:val="00113874"/>
    <w:rsid w:val="00114250"/>
    <w:rsid w:val="00114896"/>
    <w:rsid w:val="001158A6"/>
    <w:rsid w:val="00116ADF"/>
    <w:rsid w:val="0011739C"/>
    <w:rsid w:val="00117C53"/>
    <w:rsid w:val="00120560"/>
    <w:rsid w:val="0012140F"/>
    <w:rsid w:val="00122384"/>
    <w:rsid w:val="00122AE2"/>
    <w:rsid w:val="0012363A"/>
    <w:rsid w:val="00123DA6"/>
    <w:rsid w:val="0012405F"/>
    <w:rsid w:val="00125AB9"/>
    <w:rsid w:val="00126008"/>
    <w:rsid w:val="0012607B"/>
    <w:rsid w:val="001262F7"/>
    <w:rsid w:val="00127124"/>
    <w:rsid w:val="00127508"/>
    <w:rsid w:val="0012767C"/>
    <w:rsid w:val="00130542"/>
    <w:rsid w:val="00130E40"/>
    <w:rsid w:val="0013186E"/>
    <w:rsid w:val="0013298A"/>
    <w:rsid w:val="00133129"/>
    <w:rsid w:val="00133201"/>
    <w:rsid w:val="00133897"/>
    <w:rsid w:val="00134415"/>
    <w:rsid w:val="001346F6"/>
    <w:rsid w:val="001347B3"/>
    <w:rsid w:val="0013658B"/>
    <w:rsid w:val="00136607"/>
    <w:rsid w:val="00136A40"/>
    <w:rsid w:val="00136BA9"/>
    <w:rsid w:val="001372CC"/>
    <w:rsid w:val="00137766"/>
    <w:rsid w:val="001377FB"/>
    <w:rsid w:val="00140DF3"/>
    <w:rsid w:val="001412DD"/>
    <w:rsid w:val="00141A3C"/>
    <w:rsid w:val="00142318"/>
    <w:rsid w:val="001431CD"/>
    <w:rsid w:val="00143C1F"/>
    <w:rsid w:val="00143C32"/>
    <w:rsid w:val="00144DAC"/>
    <w:rsid w:val="00146873"/>
    <w:rsid w:val="00146989"/>
    <w:rsid w:val="00146B3F"/>
    <w:rsid w:val="00147760"/>
    <w:rsid w:val="00147F20"/>
    <w:rsid w:val="001501B8"/>
    <w:rsid w:val="001502BE"/>
    <w:rsid w:val="00150387"/>
    <w:rsid w:val="00151357"/>
    <w:rsid w:val="00151D87"/>
    <w:rsid w:val="00152302"/>
    <w:rsid w:val="00152543"/>
    <w:rsid w:val="00152AEA"/>
    <w:rsid w:val="00152BF7"/>
    <w:rsid w:val="001533D8"/>
    <w:rsid w:val="0015348E"/>
    <w:rsid w:val="001534C5"/>
    <w:rsid w:val="001560C3"/>
    <w:rsid w:val="00156B07"/>
    <w:rsid w:val="00157ACA"/>
    <w:rsid w:val="00160A50"/>
    <w:rsid w:val="00160AB1"/>
    <w:rsid w:val="00160C6E"/>
    <w:rsid w:val="00161114"/>
    <w:rsid w:val="00161884"/>
    <w:rsid w:val="001620FD"/>
    <w:rsid w:val="001626E9"/>
    <w:rsid w:val="00162E21"/>
    <w:rsid w:val="00163E7D"/>
    <w:rsid w:val="00164915"/>
    <w:rsid w:val="00164958"/>
    <w:rsid w:val="0016539C"/>
    <w:rsid w:val="001655CA"/>
    <w:rsid w:val="001658FA"/>
    <w:rsid w:val="00165B98"/>
    <w:rsid w:val="001666E6"/>
    <w:rsid w:val="0016699C"/>
    <w:rsid w:val="00167045"/>
    <w:rsid w:val="0016733F"/>
    <w:rsid w:val="00167B0B"/>
    <w:rsid w:val="00170585"/>
    <w:rsid w:val="001709CA"/>
    <w:rsid w:val="00171281"/>
    <w:rsid w:val="00171315"/>
    <w:rsid w:val="001722ED"/>
    <w:rsid w:val="001734A7"/>
    <w:rsid w:val="001742C0"/>
    <w:rsid w:val="0017482E"/>
    <w:rsid w:val="00174FE4"/>
    <w:rsid w:val="00175329"/>
    <w:rsid w:val="00175440"/>
    <w:rsid w:val="0017558C"/>
    <w:rsid w:val="00175D14"/>
    <w:rsid w:val="00176BDA"/>
    <w:rsid w:val="00177C14"/>
    <w:rsid w:val="001805A0"/>
    <w:rsid w:val="0018065D"/>
    <w:rsid w:val="00180EF0"/>
    <w:rsid w:val="0018122B"/>
    <w:rsid w:val="00181A21"/>
    <w:rsid w:val="00181F53"/>
    <w:rsid w:val="00182A6C"/>
    <w:rsid w:val="00182C1C"/>
    <w:rsid w:val="00182D36"/>
    <w:rsid w:val="001833B4"/>
    <w:rsid w:val="001834F1"/>
    <w:rsid w:val="00183E1D"/>
    <w:rsid w:val="00183F79"/>
    <w:rsid w:val="00184175"/>
    <w:rsid w:val="001846A1"/>
    <w:rsid w:val="00184E4D"/>
    <w:rsid w:val="00184F4E"/>
    <w:rsid w:val="001869A1"/>
    <w:rsid w:val="00187763"/>
    <w:rsid w:val="00187C6E"/>
    <w:rsid w:val="00187CC2"/>
    <w:rsid w:val="001904FA"/>
    <w:rsid w:val="001910C5"/>
    <w:rsid w:val="0019138C"/>
    <w:rsid w:val="00191629"/>
    <w:rsid w:val="00192D86"/>
    <w:rsid w:val="00192DC6"/>
    <w:rsid w:val="00193040"/>
    <w:rsid w:val="0019417E"/>
    <w:rsid w:val="00194428"/>
    <w:rsid w:val="00194586"/>
    <w:rsid w:val="001946DF"/>
    <w:rsid w:val="001948F1"/>
    <w:rsid w:val="001949ED"/>
    <w:rsid w:val="00194C4C"/>
    <w:rsid w:val="0019539D"/>
    <w:rsid w:val="001964E2"/>
    <w:rsid w:val="001969BF"/>
    <w:rsid w:val="00196B21"/>
    <w:rsid w:val="00197601"/>
    <w:rsid w:val="0019774F"/>
    <w:rsid w:val="00197C0F"/>
    <w:rsid w:val="001A0C55"/>
    <w:rsid w:val="001A17E9"/>
    <w:rsid w:val="001A21AD"/>
    <w:rsid w:val="001A2622"/>
    <w:rsid w:val="001A2859"/>
    <w:rsid w:val="001A2C25"/>
    <w:rsid w:val="001A3414"/>
    <w:rsid w:val="001A3E1B"/>
    <w:rsid w:val="001A3F21"/>
    <w:rsid w:val="001A4464"/>
    <w:rsid w:val="001A44DB"/>
    <w:rsid w:val="001A4AFA"/>
    <w:rsid w:val="001A4D0F"/>
    <w:rsid w:val="001A5546"/>
    <w:rsid w:val="001A56E4"/>
    <w:rsid w:val="001A57B1"/>
    <w:rsid w:val="001A7503"/>
    <w:rsid w:val="001A766F"/>
    <w:rsid w:val="001A7CBD"/>
    <w:rsid w:val="001B04ED"/>
    <w:rsid w:val="001B06EA"/>
    <w:rsid w:val="001B0FAF"/>
    <w:rsid w:val="001B19A4"/>
    <w:rsid w:val="001B1E17"/>
    <w:rsid w:val="001B223C"/>
    <w:rsid w:val="001B2314"/>
    <w:rsid w:val="001B24FD"/>
    <w:rsid w:val="001B256B"/>
    <w:rsid w:val="001B26DD"/>
    <w:rsid w:val="001B2A2E"/>
    <w:rsid w:val="001B336F"/>
    <w:rsid w:val="001B4484"/>
    <w:rsid w:val="001B5187"/>
    <w:rsid w:val="001B5698"/>
    <w:rsid w:val="001B5AFD"/>
    <w:rsid w:val="001B6321"/>
    <w:rsid w:val="001B6A2A"/>
    <w:rsid w:val="001B6EC0"/>
    <w:rsid w:val="001B6F00"/>
    <w:rsid w:val="001B74E9"/>
    <w:rsid w:val="001B7729"/>
    <w:rsid w:val="001B7753"/>
    <w:rsid w:val="001B7A54"/>
    <w:rsid w:val="001C0183"/>
    <w:rsid w:val="001C03FE"/>
    <w:rsid w:val="001C0DD8"/>
    <w:rsid w:val="001C38C3"/>
    <w:rsid w:val="001C3B88"/>
    <w:rsid w:val="001C3DD2"/>
    <w:rsid w:val="001C4375"/>
    <w:rsid w:val="001C54B5"/>
    <w:rsid w:val="001C589E"/>
    <w:rsid w:val="001C5B53"/>
    <w:rsid w:val="001C647E"/>
    <w:rsid w:val="001C6584"/>
    <w:rsid w:val="001C67D7"/>
    <w:rsid w:val="001C686B"/>
    <w:rsid w:val="001C6E8B"/>
    <w:rsid w:val="001C726B"/>
    <w:rsid w:val="001C731B"/>
    <w:rsid w:val="001D0AEF"/>
    <w:rsid w:val="001D0E2F"/>
    <w:rsid w:val="001D0E7C"/>
    <w:rsid w:val="001D1010"/>
    <w:rsid w:val="001D15D0"/>
    <w:rsid w:val="001D15D3"/>
    <w:rsid w:val="001D223A"/>
    <w:rsid w:val="001D3199"/>
    <w:rsid w:val="001D3DB9"/>
    <w:rsid w:val="001D416B"/>
    <w:rsid w:val="001D4305"/>
    <w:rsid w:val="001D43FF"/>
    <w:rsid w:val="001D4B1E"/>
    <w:rsid w:val="001D5573"/>
    <w:rsid w:val="001D634C"/>
    <w:rsid w:val="001D6D15"/>
    <w:rsid w:val="001D6DA3"/>
    <w:rsid w:val="001D7D62"/>
    <w:rsid w:val="001E039C"/>
    <w:rsid w:val="001E14C4"/>
    <w:rsid w:val="001E28D7"/>
    <w:rsid w:val="001E3324"/>
    <w:rsid w:val="001E36CF"/>
    <w:rsid w:val="001E3B35"/>
    <w:rsid w:val="001E41D3"/>
    <w:rsid w:val="001E4BEA"/>
    <w:rsid w:val="001E5288"/>
    <w:rsid w:val="001E5976"/>
    <w:rsid w:val="001E5B71"/>
    <w:rsid w:val="001E5CA7"/>
    <w:rsid w:val="001E6093"/>
    <w:rsid w:val="001E6CC4"/>
    <w:rsid w:val="001E71E3"/>
    <w:rsid w:val="001E774F"/>
    <w:rsid w:val="001E7FDE"/>
    <w:rsid w:val="001F15D8"/>
    <w:rsid w:val="001F1A90"/>
    <w:rsid w:val="001F28CF"/>
    <w:rsid w:val="001F3F2C"/>
    <w:rsid w:val="001F48AC"/>
    <w:rsid w:val="001F4982"/>
    <w:rsid w:val="001F4CBD"/>
    <w:rsid w:val="001F5B3A"/>
    <w:rsid w:val="001F5DEA"/>
    <w:rsid w:val="001F6435"/>
    <w:rsid w:val="001F64D7"/>
    <w:rsid w:val="001F7111"/>
    <w:rsid w:val="001F7CFD"/>
    <w:rsid w:val="0020119B"/>
    <w:rsid w:val="00201DC3"/>
    <w:rsid w:val="002022A1"/>
    <w:rsid w:val="00202C89"/>
    <w:rsid w:val="00203036"/>
    <w:rsid w:val="00203783"/>
    <w:rsid w:val="00203AC4"/>
    <w:rsid w:val="00203C4B"/>
    <w:rsid w:val="00203EDD"/>
    <w:rsid w:val="0020437F"/>
    <w:rsid w:val="00204B57"/>
    <w:rsid w:val="002050F6"/>
    <w:rsid w:val="002053F4"/>
    <w:rsid w:val="00205482"/>
    <w:rsid w:val="00205619"/>
    <w:rsid w:val="00205BB6"/>
    <w:rsid w:val="00205E76"/>
    <w:rsid w:val="002060F5"/>
    <w:rsid w:val="00206695"/>
    <w:rsid w:val="00206CF8"/>
    <w:rsid w:val="00207278"/>
    <w:rsid w:val="002073F4"/>
    <w:rsid w:val="002100C2"/>
    <w:rsid w:val="0021028C"/>
    <w:rsid w:val="00210BE5"/>
    <w:rsid w:val="00211355"/>
    <w:rsid w:val="00211A4E"/>
    <w:rsid w:val="00212943"/>
    <w:rsid w:val="00212AFF"/>
    <w:rsid w:val="00212CB9"/>
    <w:rsid w:val="00212F7F"/>
    <w:rsid w:val="0021322C"/>
    <w:rsid w:val="00213776"/>
    <w:rsid w:val="00213F46"/>
    <w:rsid w:val="00214588"/>
    <w:rsid w:val="00215C08"/>
    <w:rsid w:val="00217B5C"/>
    <w:rsid w:val="00217C21"/>
    <w:rsid w:val="0022072B"/>
    <w:rsid w:val="002209B3"/>
    <w:rsid w:val="00222403"/>
    <w:rsid w:val="00222F56"/>
    <w:rsid w:val="00222FB2"/>
    <w:rsid w:val="00223ACF"/>
    <w:rsid w:val="002262F9"/>
    <w:rsid w:val="00226881"/>
    <w:rsid w:val="00227AD6"/>
    <w:rsid w:val="00227D70"/>
    <w:rsid w:val="0023056C"/>
    <w:rsid w:val="00230842"/>
    <w:rsid w:val="00230EB3"/>
    <w:rsid w:val="002317DE"/>
    <w:rsid w:val="002317FE"/>
    <w:rsid w:val="00231FE2"/>
    <w:rsid w:val="00232B54"/>
    <w:rsid w:val="00234FE2"/>
    <w:rsid w:val="0023508F"/>
    <w:rsid w:val="0023528C"/>
    <w:rsid w:val="0023680B"/>
    <w:rsid w:val="00236B4B"/>
    <w:rsid w:val="002371D3"/>
    <w:rsid w:val="002373D3"/>
    <w:rsid w:val="002400AB"/>
    <w:rsid w:val="00240442"/>
    <w:rsid w:val="0024229D"/>
    <w:rsid w:val="00242D10"/>
    <w:rsid w:val="00243D86"/>
    <w:rsid w:val="00244285"/>
    <w:rsid w:val="00244894"/>
    <w:rsid w:val="00244969"/>
    <w:rsid w:val="00244F37"/>
    <w:rsid w:val="002451F6"/>
    <w:rsid w:val="0024529C"/>
    <w:rsid w:val="002454CA"/>
    <w:rsid w:val="00245773"/>
    <w:rsid w:val="0024720C"/>
    <w:rsid w:val="002475F2"/>
    <w:rsid w:val="00251ACE"/>
    <w:rsid w:val="00251EE9"/>
    <w:rsid w:val="00252DAC"/>
    <w:rsid w:val="00252DE0"/>
    <w:rsid w:val="00253940"/>
    <w:rsid w:val="00254AA5"/>
    <w:rsid w:val="00254FB8"/>
    <w:rsid w:val="0025631B"/>
    <w:rsid w:val="002565D1"/>
    <w:rsid w:val="00260F62"/>
    <w:rsid w:val="0026166B"/>
    <w:rsid w:val="00261FA4"/>
    <w:rsid w:val="00262207"/>
    <w:rsid w:val="002625AD"/>
    <w:rsid w:val="00262E1E"/>
    <w:rsid w:val="00263E14"/>
    <w:rsid w:val="0026429E"/>
    <w:rsid w:val="00265B30"/>
    <w:rsid w:val="00270FD6"/>
    <w:rsid w:val="00271FFE"/>
    <w:rsid w:val="00272513"/>
    <w:rsid w:val="002725A9"/>
    <w:rsid w:val="00273078"/>
    <w:rsid w:val="00274385"/>
    <w:rsid w:val="00274E9F"/>
    <w:rsid w:val="00275091"/>
    <w:rsid w:val="002763E3"/>
    <w:rsid w:val="00276718"/>
    <w:rsid w:val="0027691A"/>
    <w:rsid w:val="00277724"/>
    <w:rsid w:val="00277D51"/>
    <w:rsid w:val="00280256"/>
    <w:rsid w:val="00280B4F"/>
    <w:rsid w:val="00281B11"/>
    <w:rsid w:val="00281E3A"/>
    <w:rsid w:val="00282123"/>
    <w:rsid w:val="0028233D"/>
    <w:rsid w:val="0028273A"/>
    <w:rsid w:val="00282E50"/>
    <w:rsid w:val="00283D74"/>
    <w:rsid w:val="0028434A"/>
    <w:rsid w:val="0028473B"/>
    <w:rsid w:val="00284DE2"/>
    <w:rsid w:val="0028538A"/>
    <w:rsid w:val="00286F8F"/>
    <w:rsid w:val="00291256"/>
    <w:rsid w:val="00291417"/>
    <w:rsid w:val="0029207B"/>
    <w:rsid w:val="00293BC0"/>
    <w:rsid w:val="002945FB"/>
    <w:rsid w:val="0029649C"/>
    <w:rsid w:val="00296CA2"/>
    <w:rsid w:val="00296D41"/>
    <w:rsid w:val="00296D89"/>
    <w:rsid w:val="002A0743"/>
    <w:rsid w:val="002A1133"/>
    <w:rsid w:val="002A29D6"/>
    <w:rsid w:val="002A305D"/>
    <w:rsid w:val="002A3209"/>
    <w:rsid w:val="002A366C"/>
    <w:rsid w:val="002A3AF2"/>
    <w:rsid w:val="002A4303"/>
    <w:rsid w:val="002A4424"/>
    <w:rsid w:val="002A4506"/>
    <w:rsid w:val="002A4A37"/>
    <w:rsid w:val="002A4DE6"/>
    <w:rsid w:val="002A5924"/>
    <w:rsid w:val="002A62C3"/>
    <w:rsid w:val="002A68CA"/>
    <w:rsid w:val="002A6F16"/>
    <w:rsid w:val="002A7555"/>
    <w:rsid w:val="002A75BD"/>
    <w:rsid w:val="002B0259"/>
    <w:rsid w:val="002B0597"/>
    <w:rsid w:val="002B075D"/>
    <w:rsid w:val="002B07B4"/>
    <w:rsid w:val="002B11A6"/>
    <w:rsid w:val="002B11FE"/>
    <w:rsid w:val="002B180B"/>
    <w:rsid w:val="002B326C"/>
    <w:rsid w:val="002B4008"/>
    <w:rsid w:val="002B48CF"/>
    <w:rsid w:val="002B4B8D"/>
    <w:rsid w:val="002B56AE"/>
    <w:rsid w:val="002B59A3"/>
    <w:rsid w:val="002B5F4F"/>
    <w:rsid w:val="002B68FC"/>
    <w:rsid w:val="002B6AFC"/>
    <w:rsid w:val="002B7533"/>
    <w:rsid w:val="002C1657"/>
    <w:rsid w:val="002C1872"/>
    <w:rsid w:val="002C1CB2"/>
    <w:rsid w:val="002C238F"/>
    <w:rsid w:val="002C2810"/>
    <w:rsid w:val="002C2841"/>
    <w:rsid w:val="002C3167"/>
    <w:rsid w:val="002C3958"/>
    <w:rsid w:val="002C39A8"/>
    <w:rsid w:val="002C3D18"/>
    <w:rsid w:val="002C49A5"/>
    <w:rsid w:val="002C4DEE"/>
    <w:rsid w:val="002C5795"/>
    <w:rsid w:val="002C6CB8"/>
    <w:rsid w:val="002C7A9A"/>
    <w:rsid w:val="002C7D96"/>
    <w:rsid w:val="002D095B"/>
    <w:rsid w:val="002D1428"/>
    <w:rsid w:val="002D1EE9"/>
    <w:rsid w:val="002D26D5"/>
    <w:rsid w:val="002D295D"/>
    <w:rsid w:val="002D2CCB"/>
    <w:rsid w:val="002D3ACF"/>
    <w:rsid w:val="002D4BBE"/>
    <w:rsid w:val="002D6337"/>
    <w:rsid w:val="002E13CB"/>
    <w:rsid w:val="002E1C74"/>
    <w:rsid w:val="002E27AE"/>
    <w:rsid w:val="002E2B9F"/>
    <w:rsid w:val="002E464F"/>
    <w:rsid w:val="002E488E"/>
    <w:rsid w:val="002E4B51"/>
    <w:rsid w:val="002E4D99"/>
    <w:rsid w:val="002E5B5A"/>
    <w:rsid w:val="002E6B88"/>
    <w:rsid w:val="002E75B4"/>
    <w:rsid w:val="002E7B18"/>
    <w:rsid w:val="002F0456"/>
    <w:rsid w:val="002F18F7"/>
    <w:rsid w:val="002F1982"/>
    <w:rsid w:val="002F2CA5"/>
    <w:rsid w:val="002F3615"/>
    <w:rsid w:val="002F370A"/>
    <w:rsid w:val="002F3BE6"/>
    <w:rsid w:val="002F47CF"/>
    <w:rsid w:val="002F4CE9"/>
    <w:rsid w:val="002F4EBC"/>
    <w:rsid w:val="002F5528"/>
    <w:rsid w:val="002F5963"/>
    <w:rsid w:val="002F6027"/>
    <w:rsid w:val="002F6045"/>
    <w:rsid w:val="002F6BF2"/>
    <w:rsid w:val="002F707B"/>
    <w:rsid w:val="002F7F47"/>
    <w:rsid w:val="00300A43"/>
    <w:rsid w:val="003016CA"/>
    <w:rsid w:val="0030179E"/>
    <w:rsid w:val="00301A7F"/>
    <w:rsid w:val="00301B96"/>
    <w:rsid w:val="003021D0"/>
    <w:rsid w:val="00303083"/>
    <w:rsid w:val="00303789"/>
    <w:rsid w:val="0030388D"/>
    <w:rsid w:val="00303A7C"/>
    <w:rsid w:val="00303FD0"/>
    <w:rsid w:val="00304868"/>
    <w:rsid w:val="00304B59"/>
    <w:rsid w:val="00305535"/>
    <w:rsid w:val="003059EC"/>
    <w:rsid w:val="00305B67"/>
    <w:rsid w:val="00306151"/>
    <w:rsid w:val="00306EC7"/>
    <w:rsid w:val="003071D3"/>
    <w:rsid w:val="00311047"/>
    <w:rsid w:val="003116F9"/>
    <w:rsid w:val="003120B9"/>
    <w:rsid w:val="00312218"/>
    <w:rsid w:val="003126B1"/>
    <w:rsid w:val="003126CC"/>
    <w:rsid w:val="003132C8"/>
    <w:rsid w:val="00313F3F"/>
    <w:rsid w:val="00313F84"/>
    <w:rsid w:val="003145E9"/>
    <w:rsid w:val="00314788"/>
    <w:rsid w:val="00314FC2"/>
    <w:rsid w:val="00315591"/>
    <w:rsid w:val="00315857"/>
    <w:rsid w:val="00316256"/>
    <w:rsid w:val="003165AF"/>
    <w:rsid w:val="003169D2"/>
    <w:rsid w:val="00317304"/>
    <w:rsid w:val="00320F8E"/>
    <w:rsid w:val="003211C6"/>
    <w:rsid w:val="00322F97"/>
    <w:rsid w:val="00322FF6"/>
    <w:rsid w:val="00323179"/>
    <w:rsid w:val="00323A67"/>
    <w:rsid w:val="00323F40"/>
    <w:rsid w:val="003257F7"/>
    <w:rsid w:val="00325C19"/>
    <w:rsid w:val="0032638C"/>
    <w:rsid w:val="003276E2"/>
    <w:rsid w:val="003277F8"/>
    <w:rsid w:val="00327EA7"/>
    <w:rsid w:val="00330228"/>
    <w:rsid w:val="00330B08"/>
    <w:rsid w:val="00331C35"/>
    <w:rsid w:val="00333669"/>
    <w:rsid w:val="0033494D"/>
    <w:rsid w:val="00335A32"/>
    <w:rsid w:val="00335B3B"/>
    <w:rsid w:val="00335D3E"/>
    <w:rsid w:val="00335DE9"/>
    <w:rsid w:val="00337F4F"/>
    <w:rsid w:val="00342575"/>
    <w:rsid w:val="0034263D"/>
    <w:rsid w:val="00343170"/>
    <w:rsid w:val="0034375B"/>
    <w:rsid w:val="00343A87"/>
    <w:rsid w:val="00343FC1"/>
    <w:rsid w:val="0034495D"/>
    <w:rsid w:val="00344D67"/>
    <w:rsid w:val="003455BE"/>
    <w:rsid w:val="00345E8F"/>
    <w:rsid w:val="00346184"/>
    <w:rsid w:val="00346A38"/>
    <w:rsid w:val="00346C3F"/>
    <w:rsid w:val="00346F8E"/>
    <w:rsid w:val="0035225A"/>
    <w:rsid w:val="003527A8"/>
    <w:rsid w:val="00352954"/>
    <w:rsid w:val="00352FDD"/>
    <w:rsid w:val="003547F3"/>
    <w:rsid w:val="00354B7A"/>
    <w:rsid w:val="003551AE"/>
    <w:rsid w:val="00355A91"/>
    <w:rsid w:val="0035635E"/>
    <w:rsid w:val="00356D03"/>
    <w:rsid w:val="00357E62"/>
    <w:rsid w:val="0036020A"/>
    <w:rsid w:val="00360A66"/>
    <w:rsid w:val="00361BD4"/>
    <w:rsid w:val="00362593"/>
    <w:rsid w:val="00362749"/>
    <w:rsid w:val="003628C2"/>
    <w:rsid w:val="00362B0A"/>
    <w:rsid w:val="003632CD"/>
    <w:rsid w:val="00363729"/>
    <w:rsid w:val="003637F3"/>
    <w:rsid w:val="00363992"/>
    <w:rsid w:val="003642CD"/>
    <w:rsid w:val="0036442B"/>
    <w:rsid w:val="003649FE"/>
    <w:rsid w:val="00365349"/>
    <w:rsid w:val="00365CA5"/>
    <w:rsid w:val="00366E54"/>
    <w:rsid w:val="003707FC"/>
    <w:rsid w:val="00370964"/>
    <w:rsid w:val="003711B0"/>
    <w:rsid w:val="003711DD"/>
    <w:rsid w:val="00372533"/>
    <w:rsid w:val="00372901"/>
    <w:rsid w:val="003732D6"/>
    <w:rsid w:val="003734BF"/>
    <w:rsid w:val="003736AC"/>
    <w:rsid w:val="00373826"/>
    <w:rsid w:val="003738D1"/>
    <w:rsid w:val="00375B61"/>
    <w:rsid w:val="003763C6"/>
    <w:rsid w:val="00376E8E"/>
    <w:rsid w:val="00377576"/>
    <w:rsid w:val="00377C53"/>
    <w:rsid w:val="00380993"/>
    <w:rsid w:val="003809AA"/>
    <w:rsid w:val="00381256"/>
    <w:rsid w:val="0038169A"/>
    <w:rsid w:val="003819C9"/>
    <w:rsid w:val="00381E59"/>
    <w:rsid w:val="00382945"/>
    <w:rsid w:val="003836EC"/>
    <w:rsid w:val="00386038"/>
    <w:rsid w:val="003860AC"/>
    <w:rsid w:val="00386469"/>
    <w:rsid w:val="003864EC"/>
    <w:rsid w:val="00386B23"/>
    <w:rsid w:val="00390D79"/>
    <w:rsid w:val="00391CCE"/>
    <w:rsid w:val="0039291A"/>
    <w:rsid w:val="0039354E"/>
    <w:rsid w:val="00393B27"/>
    <w:rsid w:val="00393BA9"/>
    <w:rsid w:val="003943F4"/>
    <w:rsid w:val="00395258"/>
    <w:rsid w:val="00395283"/>
    <w:rsid w:val="00395334"/>
    <w:rsid w:val="00395CFE"/>
    <w:rsid w:val="00395F15"/>
    <w:rsid w:val="00396C73"/>
    <w:rsid w:val="003972AD"/>
    <w:rsid w:val="003A0396"/>
    <w:rsid w:val="003A1142"/>
    <w:rsid w:val="003A1CC9"/>
    <w:rsid w:val="003A2D14"/>
    <w:rsid w:val="003A2E59"/>
    <w:rsid w:val="003A3055"/>
    <w:rsid w:val="003A3B6A"/>
    <w:rsid w:val="003A4A63"/>
    <w:rsid w:val="003A53E0"/>
    <w:rsid w:val="003A609C"/>
    <w:rsid w:val="003A68D4"/>
    <w:rsid w:val="003A72C1"/>
    <w:rsid w:val="003A768C"/>
    <w:rsid w:val="003A7BB1"/>
    <w:rsid w:val="003A7C81"/>
    <w:rsid w:val="003A7E1B"/>
    <w:rsid w:val="003B07DE"/>
    <w:rsid w:val="003B089D"/>
    <w:rsid w:val="003B22E7"/>
    <w:rsid w:val="003B37A3"/>
    <w:rsid w:val="003B3CB5"/>
    <w:rsid w:val="003B411F"/>
    <w:rsid w:val="003B427F"/>
    <w:rsid w:val="003B4CC4"/>
    <w:rsid w:val="003B5A9C"/>
    <w:rsid w:val="003B66DB"/>
    <w:rsid w:val="003B6AF1"/>
    <w:rsid w:val="003B7132"/>
    <w:rsid w:val="003C0AA8"/>
    <w:rsid w:val="003C18FC"/>
    <w:rsid w:val="003C1D50"/>
    <w:rsid w:val="003C25E1"/>
    <w:rsid w:val="003C3AEB"/>
    <w:rsid w:val="003C3C1D"/>
    <w:rsid w:val="003C3C65"/>
    <w:rsid w:val="003C43CD"/>
    <w:rsid w:val="003C4733"/>
    <w:rsid w:val="003C5B4C"/>
    <w:rsid w:val="003C6C71"/>
    <w:rsid w:val="003D1247"/>
    <w:rsid w:val="003D1A50"/>
    <w:rsid w:val="003D1C3C"/>
    <w:rsid w:val="003D1F9F"/>
    <w:rsid w:val="003D263B"/>
    <w:rsid w:val="003D2AF0"/>
    <w:rsid w:val="003D2C23"/>
    <w:rsid w:val="003D2F78"/>
    <w:rsid w:val="003D3198"/>
    <w:rsid w:val="003D32CD"/>
    <w:rsid w:val="003D37CE"/>
    <w:rsid w:val="003D3851"/>
    <w:rsid w:val="003D4896"/>
    <w:rsid w:val="003D5471"/>
    <w:rsid w:val="003D668F"/>
    <w:rsid w:val="003D6C98"/>
    <w:rsid w:val="003D7233"/>
    <w:rsid w:val="003D740D"/>
    <w:rsid w:val="003D7DBF"/>
    <w:rsid w:val="003E0BC7"/>
    <w:rsid w:val="003E1434"/>
    <w:rsid w:val="003E1544"/>
    <w:rsid w:val="003E1689"/>
    <w:rsid w:val="003E1F51"/>
    <w:rsid w:val="003E265B"/>
    <w:rsid w:val="003E376A"/>
    <w:rsid w:val="003E3ED0"/>
    <w:rsid w:val="003E5B8C"/>
    <w:rsid w:val="003E6F0E"/>
    <w:rsid w:val="003E763D"/>
    <w:rsid w:val="003E7FF2"/>
    <w:rsid w:val="003F073B"/>
    <w:rsid w:val="003F10A1"/>
    <w:rsid w:val="003F1EFC"/>
    <w:rsid w:val="003F2514"/>
    <w:rsid w:val="003F29EC"/>
    <w:rsid w:val="003F36D1"/>
    <w:rsid w:val="003F3938"/>
    <w:rsid w:val="003F43FF"/>
    <w:rsid w:val="003F55E7"/>
    <w:rsid w:val="003F590D"/>
    <w:rsid w:val="003F5F2A"/>
    <w:rsid w:val="003F634C"/>
    <w:rsid w:val="003F72A9"/>
    <w:rsid w:val="003F767C"/>
    <w:rsid w:val="003F7C0D"/>
    <w:rsid w:val="004003B4"/>
    <w:rsid w:val="00400799"/>
    <w:rsid w:val="00400B17"/>
    <w:rsid w:val="004019B3"/>
    <w:rsid w:val="00401A29"/>
    <w:rsid w:val="00401C3A"/>
    <w:rsid w:val="00401E8F"/>
    <w:rsid w:val="004039B8"/>
    <w:rsid w:val="00404747"/>
    <w:rsid w:val="0040482F"/>
    <w:rsid w:val="00404B9A"/>
    <w:rsid w:val="004053D5"/>
    <w:rsid w:val="004055E5"/>
    <w:rsid w:val="00405E2E"/>
    <w:rsid w:val="00406405"/>
    <w:rsid w:val="00406EE3"/>
    <w:rsid w:val="00406F1D"/>
    <w:rsid w:val="00407490"/>
    <w:rsid w:val="004100CB"/>
    <w:rsid w:val="004100D4"/>
    <w:rsid w:val="00410254"/>
    <w:rsid w:val="00410C07"/>
    <w:rsid w:val="00410EF0"/>
    <w:rsid w:val="00410F2F"/>
    <w:rsid w:val="00411516"/>
    <w:rsid w:val="00411968"/>
    <w:rsid w:val="004122CA"/>
    <w:rsid w:val="0041386A"/>
    <w:rsid w:val="00413A07"/>
    <w:rsid w:val="00414577"/>
    <w:rsid w:val="004147C9"/>
    <w:rsid w:val="00414985"/>
    <w:rsid w:val="004153E7"/>
    <w:rsid w:val="00416602"/>
    <w:rsid w:val="00416C1B"/>
    <w:rsid w:val="00416CB9"/>
    <w:rsid w:val="00417039"/>
    <w:rsid w:val="00417870"/>
    <w:rsid w:val="00417A41"/>
    <w:rsid w:val="00417D0C"/>
    <w:rsid w:val="00420752"/>
    <w:rsid w:val="00421582"/>
    <w:rsid w:val="00421FD7"/>
    <w:rsid w:val="00422392"/>
    <w:rsid w:val="00422EA3"/>
    <w:rsid w:val="00423D00"/>
    <w:rsid w:val="00423FD6"/>
    <w:rsid w:val="0042452F"/>
    <w:rsid w:val="004247CA"/>
    <w:rsid w:val="00424E55"/>
    <w:rsid w:val="00424EA8"/>
    <w:rsid w:val="0042504F"/>
    <w:rsid w:val="00425F92"/>
    <w:rsid w:val="004261B9"/>
    <w:rsid w:val="00426903"/>
    <w:rsid w:val="00426D25"/>
    <w:rsid w:val="00426F25"/>
    <w:rsid w:val="00430178"/>
    <w:rsid w:val="004306EE"/>
    <w:rsid w:val="004310FB"/>
    <w:rsid w:val="00431456"/>
    <w:rsid w:val="00431933"/>
    <w:rsid w:val="00431F14"/>
    <w:rsid w:val="004320C2"/>
    <w:rsid w:val="00432482"/>
    <w:rsid w:val="00432862"/>
    <w:rsid w:val="0043342E"/>
    <w:rsid w:val="004345D1"/>
    <w:rsid w:val="00434D1D"/>
    <w:rsid w:val="00435ADC"/>
    <w:rsid w:val="00435D28"/>
    <w:rsid w:val="00436CDC"/>
    <w:rsid w:val="00440018"/>
    <w:rsid w:val="004405F9"/>
    <w:rsid w:val="00441746"/>
    <w:rsid w:val="00441990"/>
    <w:rsid w:val="00441CDC"/>
    <w:rsid w:val="00442464"/>
    <w:rsid w:val="004436AF"/>
    <w:rsid w:val="0044452D"/>
    <w:rsid w:val="00445416"/>
    <w:rsid w:val="0044568F"/>
    <w:rsid w:val="0044677F"/>
    <w:rsid w:val="0044754C"/>
    <w:rsid w:val="00447BA9"/>
    <w:rsid w:val="004505A5"/>
    <w:rsid w:val="0045095B"/>
    <w:rsid w:val="0045113D"/>
    <w:rsid w:val="00451F16"/>
    <w:rsid w:val="00453A77"/>
    <w:rsid w:val="00453E5D"/>
    <w:rsid w:val="0045404E"/>
    <w:rsid w:val="00454422"/>
    <w:rsid w:val="004549D6"/>
    <w:rsid w:val="004554A8"/>
    <w:rsid w:val="004555D1"/>
    <w:rsid w:val="00455709"/>
    <w:rsid w:val="00455C2E"/>
    <w:rsid w:val="00455E3B"/>
    <w:rsid w:val="00456303"/>
    <w:rsid w:val="00456D79"/>
    <w:rsid w:val="004601D1"/>
    <w:rsid w:val="00460303"/>
    <w:rsid w:val="00460728"/>
    <w:rsid w:val="00460AF9"/>
    <w:rsid w:val="00461DCB"/>
    <w:rsid w:val="00461E58"/>
    <w:rsid w:val="00461F5A"/>
    <w:rsid w:val="00462C5B"/>
    <w:rsid w:val="00463102"/>
    <w:rsid w:val="00463FB1"/>
    <w:rsid w:val="00464095"/>
    <w:rsid w:val="00465832"/>
    <w:rsid w:val="004660C2"/>
    <w:rsid w:val="00467241"/>
    <w:rsid w:val="00467414"/>
    <w:rsid w:val="00467BA9"/>
    <w:rsid w:val="00470F19"/>
    <w:rsid w:val="00470F63"/>
    <w:rsid w:val="0047191A"/>
    <w:rsid w:val="00471E44"/>
    <w:rsid w:val="004721F3"/>
    <w:rsid w:val="00473C2A"/>
    <w:rsid w:val="004743D6"/>
    <w:rsid w:val="00474FF6"/>
    <w:rsid w:val="00476768"/>
    <w:rsid w:val="004767F9"/>
    <w:rsid w:val="0047784A"/>
    <w:rsid w:val="00477EA2"/>
    <w:rsid w:val="00480E34"/>
    <w:rsid w:val="004810EC"/>
    <w:rsid w:val="004814D0"/>
    <w:rsid w:val="00481B80"/>
    <w:rsid w:val="00481C9B"/>
    <w:rsid w:val="00481EE6"/>
    <w:rsid w:val="004827B1"/>
    <w:rsid w:val="004830F0"/>
    <w:rsid w:val="00483517"/>
    <w:rsid w:val="0048388E"/>
    <w:rsid w:val="00483C15"/>
    <w:rsid w:val="00483D97"/>
    <w:rsid w:val="004844B7"/>
    <w:rsid w:val="0048469A"/>
    <w:rsid w:val="004846C1"/>
    <w:rsid w:val="00484F48"/>
    <w:rsid w:val="00485B2C"/>
    <w:rsid w:val="00485F38"/>
    <w:rsid w:val="00486174"/>
    <w:rsid w:val="00486869"/>
    <w:rsid w:val="0048794A"/>
    <w:rsid w:val="00487AA3"/>
    <w:rsid w:val="00490197"/>
    <w:rsid w:val="00490B6F"/>
    <w:rsid w:val="00490C79"/>
    <w:rsid w:val="00490E6D"/>
    <w:rsid w:val="00491329"/>
    <w:rsid w:val="00491BD5"/>
    <w:rsid w:val="00492511"/>
    <w:rsid w:val="004928BA"/>
    <w:rsid w:val="004933C5"/>
    <w:rsid w:val="0049364C"/>
    <w:rsid w:val="00494A09"/>
    <w:rsid w:val="004950AA"/>
    <w:rsid w:val="00495275"/>
    <w:rsid w:val="004952D1"/>
    <w:rsid w:val="0049538D"/>
    <w:rsid w:val="004961AC"/>
    <w:rsid w:val="00496CE4"/>
    <w:rsid w:val="00496E37"/>
    <w:rsid w:val="00496EEF"/>
    <w:rsid w:val="0049757C"/>
    <w:rsid w:val="00497647"/>
    <w:rsid w:val="00497B6C"/>
    <w:rsid w:val="00497CC9"/>
    <w:rsid w:val="004A0C22"/>
    <w:rsid w:val="004A0F4B"/>
    <w:rsid w:val="004A1273"/>
    <w:rsid w:val="004A1363"/>
    <w:rsid w:val="004A13F1"/>
    <w:rsid w:val="004A1662"/>
    <w:rsid w:val="004A1AA7"/>
    <w:rsid w:val="004A2335"/>
    <w:rsid w:val="004A278B"/>
    <w:rsid w:val="004A33EB"/>
    <w:rsid w:val="004A4C49"/>
    <w:rsid w:val="004A5089"/>
    <w:rsid w:val="004A5258"/>
    <w:rsid w:val="004A52CB"/>
    <w:rsid w:val="004A5414"/>
    <w:rsid w:val="004A5BF2"/>
    <w:rsid w:val="004A60DB"/>
    <w:rsid w:val="004A6412"/>
    <w:rsid w:val="004A68EA"/>
    <w:rsid w:val="004A7250"/>
    <w:rsid w:val="004A731A"/>
    <w:rsid w:val="004B1D5A"/>
    <w:rsid w:val="004B1E43"/>
    <w:rsid w:val="004B2F4C"/>
    <w:rsid w:val="004B36DF"/>
    <w:rsid w:val="004B3AD7"/>
    <w:rsid w:val="004B4B03"/>
    <w:rsid w:val="004B4C64"/>
    <w:rsid w:val="004B6C26"/>
    <w:rsid w:val="004B6EDB"/>
    <w:rsid w:val="004B7CDF"/>
    <w:rsid w:val="004B7E2F"/>
    <w:rsid w:val="004C130F"/>
    <w:rsid w:val="004C1AA9"/>
    <w:rsid w:val="004C1AE1"/>
    <w:rsid w:val="004C2217"/>
    <w:rsid w:val="004C2509"/>
    <w:rsid w:val="004C3072"/>
    <w:rsid w:val="004C585F"/>
    <w:rsid w:val="004C5E82"/>
    <w:rsid w:val="004C6922"/>
    <w:rsid w:val="004C6981"/>
    <w:rsid w:val="004C6FD7"/>
    <w:rsid w:val="004C7EE8"/>
    <w:rsid w:val="004D01A0"/>
    <w:rsid w:val="004D0926"/>
    <w:rsid w:val="004D0F3B"/>
    <w:rsid w:val="004D1FCD"/>
    <w:rsid w:val="004D218A"/>
    <w:rsid w:val="004D2AC4"/>
    <w:rsid w:val="004D34B1"/>
    <w:rsid w:val="004D3D7A"/>
    <w:rsid w:val="004D5002"/>
    <w:rsid w:val="004D5CC1"/>
    <w:rsid w:val="004D70C9"/>
    <w:rsid w:val="004D75D7"/>
    <w:rsid w:val="004E055C"/>
    <w:rsid w:val="004E1D9E"/>
    <w:rsid w:val="004E1F2F"/>
    <w:rsid w:val="004E1FB3"/>
    <w:rsid w:val="004E2065"/>
    <w:rsid w:val="004E2CF7"/>
    <w:rsid w:val="004E31B5"/>
    <w:rsid w:val="004E32EE"/>
    <w:rsid w:val="004E3584"/>
    <w:rsid w:val="004E36B4"/>
    <w:rsid w:val="004E3E56"/>
    <w:rsid w:val="004E4501"/>
    <w:rsid w:val="004E46D4"/>
    <w:rsid w:val="004E4CA4"/>
    <w:rsid w:val="004E4FB7"/>
    <w:rsid w:val="004E544C"/>
    <w:rsid w:val="004E584A"/>
    <w:rsid w:val="004E5902"/>
    <w:rsid w:val="004E606E"/>
    <w:rsid w:val="004E622E"/>
    <w:rsid w:val="004E6595"/>
    <w:rsid w:val="004E6845"/>
    <w:rsid w:val="004E76EB"/>
    <w:rsid w:val="004F0B8B"/>
    <w:rsid w:val="004F10CD"/>
    <w:rsid w:val="004F1E00"/>
    <w:rsid w:val="004F2432"/>
    <w:rsid w:val="004F250A"/>
    <w:rsid w:val="004F2E2E"/>
    <w:rsid w:val="004F43A0"/>
    <w:rsid w:val="004F4F7E"/>
    <w:rsid w:val="004F52CF"/>
    <w:rsid w:val="004F584B"/>
    <w:rsid w:val="004F585B"/>
    <w:rsid w:val="004F5F0C"/>
    <w:rsid w:val="004F6C7E"/>
    <w:rsid w:val="004F7C2E"/>
    <w:rsid w:val="005019D1"/>
    <w:rsid w:val="00502E50"/>
    <w:rsid w:val="0050400F"/>
    <w:rsid w:val="005047E9"/>
    <w:rsid w:val="00504A37"/>
    <w:rsid w:val="00504C32"/>
    <w:rsid w:val="00505478"/>
    <w:rsid w:val="005057ED"/>
    <w:rsid w:val="005066A8"/>
    <w:rsid w:val="00506929"/>
    <w:rsid w:val="005100B0"/>
    <w:rsid w:val="00510213"/>
    <w:rsid w:val="00510FF9"/>
    <w:rsid w:val="00511898"/>
    <w:rsid w:val="00511F42"/>
    <w:rsid w:val="00512F31"/>
    <w:rsid w:val="00512F4B"/>
    <w:rsid w:val="005137BF"/>
    <w:rsid w:val="00513D02"/>
    <w:rsid w:val="00514A57"/>
    <w:rsid w:val="0051505B"/>
    <w:rsid w:val="0051612C"/>
    <w:rsid w:val="005169EA"/>
    <w:rsid w:val="0052175F"/>
    <w:rsid w:val="00521A1A"/>
    <w:rsid w:val="005223CD"/>
    <w:rsid w:val="005233C8"/>
    <w:rsid w:val="00524314"/>
    <w:rsid w:val="00524340"/>
    <w:rsid w:val="00524889"/>
    <w:rsid w:val="00526680"/>
    <w:rsid w:val="00526813"/>
    <w:rsid w:val="0052695C"/>
    <w:rsid w:val="00526C1C"/>
    <w:rsid w:val="0052730C"/>
    <w:rsid w:val="005274AC"/>
    <w:rsid w:val="0052772F"/>
    <w:rsid w:val="005310F1"/>
    <w:rsid w:val="00531CBD"/>
    <w:rsid w:val="00532201"/>
    <w:rsid w:val="00532302"/>
    <w:rsid w:val="00532362"/>
    <w:rsid w:val="005325BD"/>
    <w:rsid w:val="0053340C"/>
    <w:rsid w:val="005339B7"/>
    <w:rsid w:val="00533A6B"/>
    <w:rsid w:val="00533EE8"/>
    <w:rsid w:val="00533FDA"/>
    <w:rsid w:val="0053459F"/>
    <w:rsid w:val="00535DD3"/>
    <w:rsid w:val="00536352"/>
    <w:rsid w:val="0053659E"/>
    <w:rsid w:val="00536660"/>
    <w:rsid w:val="00536A72"/>
    <w:rsid w:val="00537492"/>
    <w:rsid w:val="005407A0"/>
    <w:rsid w:val="005407B6"/>
    <w:rsid w:val="00541C87"/>
    <w:rsid w:val="00542BC0"/>
    <w:rsid w:val="005434F1"/>
    <w:rsid w:val="005435B9"/>
    <w:rsid w:val="0054482A"/>
    <w:rsid w:val="005466EC"/>
    <w:rsid w:val="00547EA7"/>
    <w:rsid w:val="005501B5"/>
    <w:rsid w:val="0055041A"/>
    <w:rsid w:val="00552026"/>
    <w:rsid w:val="00552905"/>
    <w:rsid w:val="005534BB"/>
    <w:rsid w:val="00554BDD"/>
    <w:rsid w:val="00555222"/>
    <w:rsid w:val="00555E8F"/>
    <w:rsid w:val="00556295"/>
    <w:rsid w:val="00556FE4"/>
    <w:rsid w:val="00557F63"/>
    <w:rsid w:val="00557F98"/>
    <w:rsid w:val="00560790"/>
    <w:rsid w:val="00560797"/>
    <w:rsid w:val="00561100"/>
    <w:rsid w:val="005618AA"/>
    <w:rsid w:val="005622E3"/>
    <w:rsid w:val="005623B6"/>
    <w:rsid w:val="005629EE"/>
    <w:rsid w:val="00562AB5"/>
    <w:rsid w:val="00562D89"/>
    <w:rsid w:val="00564308"/>
    <w:rsid w:val="0056560F"/>
    <w:rsid w:val="005658AC"/>
    <w:rsid w:val="00565921"/>
    <w:rsid w:val="00565999"/>
    <w:rsid w:val="00565C5E"/>
    <w:rsid w:val="00565F39"/>
    <w:rsid w:val="005663A2"/>
    <w:rsid w:val="005677CD"/>
    <w:rsid w:val="00567BA6"/>
    <w:rsid w:val="005707E1"/>
    <w:rsid w:val="0057082C"/>
    <w:rsid w:val="0057142D"/>
    <w:rsid w:val="0057193C"/>
    <w:rsid w:val="00571D50"/>
    <w:rsid w:val="00571D6F"/>
    <w:rsid w:val="00572B10"/>
    <w:rsid w:val="005733E8"/>
    <w:rsid w:val="00574FAF"/>
    <w:rsid w:val="00575E3F"/>
    <w:rsid w:val="0057600F"/>
    <w:rsid w:val="00576DB8"/>
    <w:rsid w:val="00577691"/>
    <w:rsid w:val="005807BA"/>
    <w:rsid w:val="005830E3"/>
    <w:rsid w:val="005832A6"/>
    <w:rsid w:val="00584317"/>
    <w:rsid w:val="00586079"/>
    <w:rsid w:val="0058618C"/>
    <w:rsid w:val="0058646E"/>
    <w:rsid w:val="005865A1"/>
    <w:rsid w:val="00586AD4"/>
    <w:rsid w:val="00586E74"/>
    <w:rsid w:val="00587531"/>
    <w:rsid w:val="0058760C"/>
    <w:rsid w:val="00587711"/>
    <w:rsid w:val="00590B1C"/>
    <w:rsid w:val="00590F33"/>
    <w:rsid w:val="00591745"/>
    <w:rsid w:val="005928C9"/>
    <w:rsid w:val="00592D62"/>
    <w:rsid w:val="005930BF"/>
    <w:rsid w:val="005930DF"/>
    <w:rsid w:val="00594218"/>
    <w:rsid w:val="0059460D"/>
    <w:rsid w:val="00594B87"/>
    <w:rsid w:val="00595A9B"/>
    <w:rsid w:val="00596050"/>
    <w:rsid w:val="00596208"/>
    <w:rsid w:val="00596C89"/>
    <w:rsid w:val="0059745C"/>
    <w:rsid w:val="00597E73"/>
    <w:rsid w:val="00597F80"/>
    <w:rsid w:val="005A0217"/>
    <w:rsid w:val="005A05DF"/>
    <w:rsid w:val="005A2481"/>
    <w:rsid w:val="005A2A0E"/>
    <w:rsid w:val="005A2DDE"/>
    <w:rsid w:val="005A34D8"/>
    <w:rsid w:val="005A3B31"/>
    <w:rsid w:val="005A3DF7"/>
    <w:rsid w:val="005A411F"/>
    <w:rsid w:val="005A4850"/>
    <w:rsid w:val="005A4A5B"/>
    <w:rsid w:val="005A502E"/>
    <w:rsid w:val="005A50B0"/>
    <w:rsid w:val="005A5F8D"/>
    <w:rsid w:val="005A605F"/>
    <w:rsid w:val="005A69A6"/>
    <w:rsid w:val="005A6F86"/>
    <w:rsid w:val="005A7556"/>
    <w:rsid w:val="005B073F"/>
    <w:rsid w:val="005B09E1"/>
    <w:rsid w:val="005B0EC7"/>
    <w:rsid w:val="005B0FC4"/>
    <w:rsid w:val="005B171A"/>
    <w:rsid w:val="005B1E3F"/>
    <w:rsid w:val="005B2B44"/>
    <w:rsid w:val="005B3151"/>
    <w:rsid w:val="005B35A2"/>
    <w:rsid w:val="005B437A"/>
    <w:rsid w:val="005B4FE8"/>
    <w:rsid w:val="005B5245"/>
    <w:rsid w:val="005B5AC0"/>
    <w:rsid w:val="005B619A"/>
    <w:rsid w:val="005B6F93"/>
    <w:rsid w:val="005B7AA1"/>
    <w:rsid w:val="005B7C3C"/>
    <w:rsid w:val="005B7C75"/>
    <w:rsid w:val="005B7ED7"/>
    <w:rsid w:val="005C01BA"/>
    <w:rsid w:val="005C064C"/>
    <w:rsid w:val="005C0D41"/>
    <w:rsid w:val="005C183D"/>
    <w:rsid w:val="005C1869"/>
    <w:rsid w:val="005C2238"/>
    <w:rsid w:val="005C2802"/>
    <w:rsid w:val="005C2BB2"/>
    <w:rsid w:val="005C38D0"/>
    <w:rsid w:val="005C3ABA"/>
    <w:rsid w:val="005C3B24"/>
    <w:rsid w:val="005C3BEB"/>
    <w:rsid w:val="005C3E22"/>
    <w:rsid w:val="005C4F01"/>
    <w:rsid w:val="005C6233"/>
    <w:rsid w:val="005C69DE"/>
    <w:rsid w:val="005C6DC3"/>
    <w:rsid w:val="005C7BD4"/>
    <w:rsid w:val="005C7F72"/>
    <w:rsid w:val="005D1FAE"/>
    <w:rsid w:val="005D238A"/>
    <w:rsid w:val="005D23D3"/>
    <w:rsid w:val="005D3D58"/>
    <w:rsid w:val="005D41B2"/>
    <w:rsid w:val="005D477A"/>
    <w:rsid w:val="005D5249"/>
    <w:rsid w:val="005D5D91"/>
    <w:rsid w:val="005D6B36"/>
    <w:rsid w:val="005D6F7D"/>
    <w:rsid w:val="005D74C9"/>
    <w:rsid w:val="005D7556"/>
    <w:rsid w:val="005E0954"/>
    <w:rsid w:val="005E0A0C"/>
    <w:rsid w:val="005E134C"/>
    <w:rsid w:val="005E148F"/>
    <w:rsid w:val="005E1CA6"/>
    <w:rsid w:val="005E208B"/>
    <w:rsid w:val="005E2738"/>
    <w:rsid w:val="005E2788"/>
    <w:rsid w:val="005E2865"/>
    <w:rsid w:val="005E3E87"/>
    <w:rsid w:val="005E3FA6"/>
    <w:rsid w:val="005E4D4D"/>
    <w:rsid w:val="005E5134"/>
    <w:rsid w:val="005E69EF"/>
    <w:rsid w:val="005E6D40"/>
    <w:rsid w:val="005E6DA9"/>
    <w:rsid w:val="005E6FBD"/>
    <w:rsid w:val="005E7D6A"/>
    <w:rsid w:val="005F0224"/>
    <w:rsid w:val="005F0C79"/>
    <w:rsid w:val="005F0CB1"/>
    <w:rsid w:val="005F14E2"/>
    <w:rsid w:val="005F1EA0"/>
    <w:rsid w:val="005F2773"/>
    <w:rsid w:val="005F2C6F"/>
    <w:rsid w:val="005F34AD"/>
    <w:rsid w:val="005F3B90"/>
    <w:rsid w:val="005F4041"/>
    <w:rsid w:val="005F45E9"/>
    <w:rsid w:val="005F5069"/>
    <w:rsid w:val="005F577D"/>
    <w:rsid w:val="005F6426"/>
    <w:rsid w:val="005F657A"/>
    <w:rsid w:val="005F68D9"/>
    <w:rsid w:val="005F7AC6"/>
    <w:rsid w:val="006006F4"/>
    <w:rsid w:val="00600737"/>
    <w:rsid w:val="00601333"/>
    <w:rsid w:val="0060134E"/>
    <w:rsid w:val="00601BB5"/>
    <w:rsid w:val="0060231B"/>
    <w:rsid w:val="00603462"/>
    <w:rsid w:val="00603B9D"/>
    <w:rsid w:val="00604E1B"/>
    <w:rsid w:val="00604EBF"/>
    <w:rsid w:val="006059CB"/>
    <w:rsid w:val="0060760D"/>
    <w:rsid w:val="00607F9F"/>
    <w:rsid w:val="00610459"/>
    <w:rsid w:val="00610581"/>
    <w:rsid w:val="0061082B"/>
    <w:rsid w:val="00610C34"/>
    <w:rsid w:val="00611D8F"/>
    <w:rsid w:val="00611FD7"/>
    <w:rsid w:val="00612EDC"/>
    <w:rsid w:val="00612F6C"/>
    <w:rsid w:val="0061344B"/>
    <w:rsid w:val="0061344D"/>
    <w:rsid w:val="00613541"/>
    <w:rsid w:val="00613A3A"/>
    <w:rsid w:val="00614602"/>
    <w:rsid w:val="00614CF8"/>
    <w:rsid w:val="00615D98"/>
    <w:rsid w:val="00615EF5"/>
    <w:rsid w:val="00616245"/>
    <w:rsid w:val="006162EA"/>
    <w:rsid w:val="006164D8"/>
    <w:rsid w:val="00617B4E"/>
    <w:rsid w:val="00617D68"/>
    <w:rsid w:val="0062017C"/>
    <w:rsid w:val="006214AF"/>
    <w:rsid w:val="00621B80"/>
    <w:rsid w:val="00621C3D"/>
    <w:rsid w:val="00621D4C"/>
    <w:rsid w:val="00622CED"/>
    <w:rsid w:val="00622E5B"/>
    <w:rsid w:val="00622E75"/>
    <w:rsid w:val="006245AD"/>
    <w:rsid w:val="00624A66"/>
    <w:rsid w:val="00624DAD"/>
    <w:rsid w:val="00625B21"/>
    <w:rsid w:val="00625BF7"/>
    <w:rsid w:val="006268E0"/>
    <w:rsid w:val="00626C86"/>
    <w:rsid w:val="00626EC7"/>
    <w:rsid w:val="00626FD8"/>
    <w:rsid w:val="00627D0B"/>
    <w:rsid w:val="0063016D"/>
    <w:rsid w:val="00631596"/>
    <w:rsid w:val="006315C5"/>
    <w:rsid w:val="0063296A"/>
    <w:rsid w:val="00632A9C"/>
    <w:rsid w:val="00633915"/>
    <w:rsid w:val="00633B53"/>
    <w:rsid w:val="00634B2C"/>
    <w:rsid w:val="00634BC1"/>
    <w:rsid w:val="00634BCD"/>
    <w:rsid w:val="00634D2A"/>
    <w:rsid w:val="00634F1D"/>
    <w:rsid w:val="0063551F"/>
    <w:rsid w:val="00635770"/>
    <w:rsid w:val="00636FB0"/>
    <w:rsid w:val="00637409"/>
    <w:rsid w:val="006378D2"/>
    <w:rsid w:val="00637CDE"/>
    <w:rsid w:val="00637EFB"/>
    <w:rsid w:val="00640001"/>
    <w:rsid w:val="00640CE4"/>
    <w:rsid w:val="0064110A"/>
    <w:rsid w:val="0064113A"/>
    <w:rsid w:val="00642485"/>
    <w:rsid w:val="006424FA"/>
    <w:rsid w:val="006428AD"/>
    <w:rsid w:val="00643152"/>
    <w:rsid w:val="00644F66"/>
    <w:rsid w:val="00645AE2"/>
    <w:rsid w:val="00645DE3"/>
    <w:rsid w:val="00646330"/>
    <w:rsid w:val="00647141"/>
    <w:rsid w:val="00647577"/>
    <w:rsid w:val="00650BBB"/>
    <w:rsid w:val="00650CDF"/>
    <w:rsid w:val="00651FCC"/>
    <w:rsid w:val="00652152"/>
    <w:rsid w:val="006521FA"/>
    <w:rsid w:val="0065285F"/>
    <w:rsid w:val="0065429C"/>
    <w:rsid w:val="00655446"/>
    <w:rsid w:val="006557B0"/>
    <w:rsid w:val="00655CAF"/>
    <w:rsid w:val="00655DB9"/>
    <w:rsid w:val="0065625E"/>
    <w:rsid w:val="00656CCE"/>
    <w:rsid w:val="00657399"/>
    <w:rsid w:val="0065787F"/>
    <w:rsid w:val="00657A15"/>
    <w:rsid w:val="00660559"/>
    <w:rsid w:val="006605B9"/>
    <w:rsid w:val="006618A2"/>
    <w:rsid w:val="00662765"/>
    <w:rsid w:val="00662DDF"/>
    <w:rsid w:val="006630F2"/>
    <w:rsid w:val="00663192"/>
    <w:rsid w:val="006639EA"/>
    <w:rsid w:val="00663E39"/>
    <w:rsid w:val="00664543"/>
    <w:rsid w:val="00664F64"/>
    <w:rsid w:val="006650D6"/>
    <w:rsid w:val="00666721"/>
    <w:rsid w:val="006669CD"/>
    <w:rsid w:val="00666BC1"/>
    <w:rsid w:val="00670EF2"/>
    <w:rsid w:val="00671B64"/>
    <w:rsid w:val="00671E22"/>
    <w:rsid w:val="00671E81"/>
    <w:rsid w:val="00671F0B"/>
    <w:rsid w:val="0067259C"/>
    <w:rsid w:val="00672605"/>
    <w:rsid w:val="00672D05"/>
    <w:rsid w:val="0067338A"/>
    <w:rsid w:val="0067522D"/>
    <w:rsid w:val="00675B69"/>
    <w:rsid w:val="00676AA3"/>
    <w:rsid w:val="0067722F"/>
    <w:rsid w:val="00677FCE"/>
    <w:rsid w:val="00680111"/>
    <w:rsid w:val="0068061A"/>
    <w:rsid w:val="00680A6C"/>
    <w:rsid w:val="00680DAC"/>
    <w:rsid w:val="00681D41"/>
    <w:rsid w:val="00682880"/>
    <w:rsid w:val="00683747"/>
    <w:rsid w:val="006843D0"/>
    <w:rsid w:val="00684CDA"/>
    <w:rsid w:val="00684EC9"/>
    <w:rsid w:val="006858A5"/>
    <w:rsid w:val="00685AE8"/>
    <w:rsid w:val="00686A07"/>
    <w:rsid w:val="00686B95"/>
    <w:rsid w:val="00687397"/>
    <w:rsid w:val="006906F0"/>
    <w:rsid w:val="00690B01"/>
    <w:rsid w:val="00690CC0"/>
    <w:rsid w:val="0069131F"/>
    <w:rsid w:val="00691801"/>
    <w:rsid w:val="00691C55"/>
    <w:rsid w:val="0069268E"/>
    <w:rsid w:val="00692999"/>
    <w:rsid w:val="006929B9"/>
    <w:rsid w:val="006929FB"/>
    <w:rsid w:val="00692D39"/>
    <w:rsid w:val="0069423C"/>
    <w:rsid w:val="0069514D"/>
    <w:rsid w:val="00695A75"/>
    <w:rsid w:val="006969FA"/>
    <w:rsid w:val="00696A0F"/>
    <w:rsid w:val="00697E17"/>
    <w:rsid w:val="006A14D8"/>
    <w:rsid w:val="006A15D3"/>
    <w:rsid w:val="006A1663"/>
    <w:rsid w:val="006A2489"/>
    <w:rsid w:val="006A251B"/>
    <w:rsid w:val="006A3C4E"/>
    <w:rsid w:val="006A3C64"/>
    <w:rsid w:val="006A515B"/>
    <w:rsid w:val="006A59BB"/>
    <w:rsid w:val="006A5C08"/>
    <w:rsid w:val="006A6127"/>
    <w:rsid w:val="006A6147"/>
    <w:rsid w:val="006A64AE"/>
    <w:rsid w:val="006A6973"/>
    <w:rsid w:val="006A7142"/>
    <w:rsid w:val="006A73BA"/>
    <w:rsid w:val="006A74A7"/>
    <w:rsid w:val="006A7898"/>
    <w:rsid w:val="006A7EDF"/>
    <w:rsid w:val="006A7F7C"/>
    <w:rsid w:val="006B09B3"/>
    <w:rsid w:val="006B1242"/>
    <w:rsid w:val="006B203F"/>
    <w:rsid w:val="006B2262"/>
    <w:rsid w:val="006B268E"/>
    <w:rsid w:val="006B2C32"/>
    <w:rsid w:val="006B2FC7"/>
    <w:rsid w:val="006B3697"/>
    <w:rsid w:val="006B3AAA"/>
    <w:rsid w:val="006B4620"/>
    <w:rsid w:val="006B5B6C"/>
    <w:rsid w:val="006B72A2"/>
    <w:rsid w:val="006C05F5"/>
    <w:rsid w:val="006C089F"/>
    <w:rsid w:val="006C13C5"/>
    <w:rsid w:val="006C1457"/>
    <w:rsid w:val="006C1D9C"/>
    <w:rsid w:val="006C2BD8"/>
    <w:rsid w:val="006C332F"/>
    <w:rsid w:val="006C3576"/>
    <w:rsid w:val="006C37A8"/>
    <w:rsid w:val="006C3E27"/>
    <w:rsid w:val="006C568D"/>
    <w:rsid w:val="006C6153"/>
    <w:rsid w:val="006C6F0C"/>
    <w:rsid w:val="006C7E71"/>
    <w:rsid w:val="006D0A43"/>
    <w:rsid w:val="006D1833"/>
    <w:rsid w:val="006D1C98"/>
    <w:rsid w:val="006D23E7"/>
    <w:rsid w:val="006D2738"/>
    <w:rsid w:val="006D33D0"/>
    <w:rsid w:val="006D4865"/>
    <w:rsid w:val="006D5C56"/>
    <w:rsid w:val="006D78B4"/>
    <w:rsid w:val="006D7C6C"/>
    <w:rsid w:val="006E08BE"/>
    <w:rsid w:val="006E08DD"/>
    <w:rsid w:val="006E1A0E"/>
    <w:rsid w:val="006E28A9"/>
    <w:rsid w:val="006E30DB"/>
    <w:rsid w:val="006E455D"/>
    <w:rsid w:val="006E458D"/>
    <w:rsid w:val="006E62E5"/>
    <w:rsid w:val="006E6821"/>
    <w:rsid w:val="006E75A3"/>
    <w:rsid w:val="006E772C"/>
    <w:rsid w:val="006F1B63"/>
    <w:rsid w:val="006F2071"/>
    <w:rsid w:val="006F34F8"/>
    <w:rsid w:val="006F3592"/>
    <w:rsid w:val="006F49D5"/>
    <w:rsid w:val="006F4A75"/>
    <w:rsid w:val="006F4B3C"/>
    <w:rsid w:val="006F4D52"/>
    <w:rsid w:val="006F508B"/>
    <w:rsid w:val="006F5D70"/>
    <w:rsid w:val="006F6410"/>
    <w:rsid w:val="006F6601"/>
    <w:rsid w:val="006F6E3C"/>
    <w:rsid w:val="006F74A7"/>
    <w:rsid w:val="006F7EE7"/>
    <w:rsid w:val="007004D3"/>
    <w:rsid w:val="00700933"/>
    <w:rsid w:val="00701452"/>
    <w:rsid w:val="00701F0E"/>
    <w:rsid w:val="00703301"/>
    <w:rsid w:val="007043BF"/>
    <w:rsid w:val="00704622"/>
    <w:rsid w:val="00704696"/>
    <w:rsid w:val="00705224"/>
    <w:rsid w:val="007053A4"/>
    <w:rsid w:val="00705B0B"/>
    <w:rsid w:val="00706B59"/>
    <w:rsid w:val="007072F9"/>
    <w:rsid w:val="007075FC"/>
    <w:rsid w:val="00707A7D"/>
    <w:rsid w:val="007102AE"/>
    <w:rsid w:val="0071039D"/>
    <w:rsid w:val="00711381"/>
    <w:rsid w:val="00711A35"/>
    <w:rsid w:val="00711EE7"/>
    <w:rsid w:val="00712735"/>
    <w:rsid w:val="00712F66"/>
    <w:rsid w:val="007131EA"/>
    <w:rsid w:val="00713291"/>
    <w:rsid w:val="00713E8C"/>
    <w:rsid w:val="0071542B"/>
    <w:rsid w:val="00715C65"/>
    <w:rsid w:val="007160A0"/>
    <w:rsid w:val="0071634E"/>
    <w:rsid w:val="00716370"/>
    <w:rsid w:val="0071676C"/>
    <w:rsid w:val="00717A7A"/>
    <w:rsid w:val="00720387"/>
    <w:rsid w:val="00722DF6"/>
    <w:rsid w:val="0072566B"/>
    <w:rsid w:val="00725733"/>
    <w:rsid w:val="00725B46"/>
    <w:rsid w:val="00725C84"/>
    <w:rsid w:val="007261E0"/>
    <w:rsid w:val="0072724F"/>
    <w:rsid w:val="007277AD"/>
    <w:rsid w:val="00730C5D"/>
    <w:rsid w:val="00731029"/>
    <w:rsid w:val="00731543"/>
    <w:rsid w:val="0073156F"/>
    <w:rsid w:val="00732263"/>
    <w:rsid w:val="00732B6C"/>
    <w:rsid w:val="00732C8B"/>
    <w:rsid w:val="007334E4"/>
    <w:rsid w:val="007335F7"/>
    <w:rsid w:val="00733BDE"/>
    <w:rsid w:val="007341D7"/>
    <w:rsid w:val="00734340"/>
    <w:rsid w:val="0073484F"/>
    <w:rsid w:val="007351B1"/>
    <w:rsid w:val="00735CE6"/>
    <w:rsid w:val="00737021"/>
    <w:rsid w:val="00737341"/>
    <w:rsid w:val="007416D8"/>
    <w:rsid w:val="0074173C"/>
    <w:rsid w:val="00741E17"/>
    <w:rsid w:val="00741E56"/>
    <w:rsid w:val="00742720"/>
    <w:rsid w:val="00742D36"/>
    <w:rsid w:val="00743441"/>
    <w:rsid w:val="00743903"/>
    <w:rsid w:val="00743B1B"/>
    <w:rsid w:val="00744A34"/>
    <w:rsid w:val="007452B4"/>
    <w:rsid w:val="007456A5"/>
    <w:rsid w:val="00746F7E"/>
    <w:rsid w:val="007472F9"/>
    <w:rsid w:val="007478F6"/>
    <w:rsid w:val="00747B72"/>
    <w:rsid w:val="00750C6F"/>
    <w:rsid w:val="0075128C"/>
    <w:rsid w:val="00752CF8"/>
    <w:rsid w:val="00753173"/>
    <w:rsid w:val="00755A05"/>
    <w:rsid w:val="00755CD4"/>
    <w:rsid w:val="00755DF0"/>
    <w:rsid w:val="00756150"/>
    <w:rsid w:val="00756A13"/>
    <w:rsid w:val="00756D41"/>
    <w:rsid w:val="00760534"/>
    <w:rsid w:val="00761ABA"/>
    <w:rsid w:val="00761BE5"/>
    <w:rsid w:val="00761C97"/>
    <w:rsid w:val="00762C1C"/>
    <w:rsid w:val="00765C37"/>
    <w:rsid w:val="00766281"/>
    <w:rsid w:val="007663CC"/>
    <w:rsid w:val="00766F7B"/>
    <w:rsid w:val="0076700E"/>
    <w:rsid w:val="007672F4"/>
    <w:rsid w:val="00767B5D"/>
    <w:rsid w:val="00770423"/>
    <w:rsid w:val="007717F1"/>
    <w:rsid w:val="00772A1A"/>
    <w:rsid w:val="00772C7A"/>
    <w:rsid w:val="00772FAE"/>
    <w:rsid w:val="00773033"/>
    <w:rsid w:val="00773503"/>
    <w:rsid w:val="00774BA4"/>
    <w:rsid w:val="00774F6B"/>
    <w:rsid w:val="00776AE0"/>
    <w:rsid w:val="007807A8"/>
    <w:rsid w:val="0078170A"/>
    <w:rsid w:val="0078185D"/>
    <w:rsid w:val="00781938"/>
    <w:rsid w:val="00781BD5"/>
    <w:rsid w:val="00781CA7"/>
    <w:rsid w:val="00781EA0"/>
    <w:rsid w:val="00782AF9"/>
    <w:rsid w:val="007838C5"/>
    <w:rsid w:val="00783CD3"/>
    <w:rsid w:val="00784327"/>
    <w:rsid w:val="007849D4"/>
    <w:rsid w:val="00785958"/>
    <w:rsid w:val="00785B58"/>
    <w:rsid w:val="007873E7"/>
    <w:rsid w:val="007878B6"/>
    <w:rsid w:val="00790807"/>
    <w:rsid w:val="00790F29"/>
    <w:rsid w:val="007917A5"/>
    <w:rsid w:val="0079200A"/>
    <w:rsid w:val="007921F2"/>
    <w:rsid w:val="007928CE"/>
    <w:rsid w:val="007941C8"/>
    <w:rsid w:val="0079437A"/>
    <w:rsid w:val="00794388"/>
    <w:rsid w:val="00794716"/>
    <w:rsid w:val="00794D24"/>
    <w:rsid w:val="007957C6"/>
    <w:rsid w:val="007965F4"/>
    <w:rsid w:val="00796929"/>
    <w:rsid w:val="007969A8"/>
    <w:rsid w:val="0079778F"/>
    <w:rsid w:val="007A016D"/>
    <w:rsid w:val="007A0688"/>
    <w:rsid w:val="007A0713"/>
    <w:rsid w:val="007A1B20"/>
    <w:rsid w:val="007A2245"/>
    <w:rsid w:val="007A3003"/>
    <w:rsid w:val="007A347F"/>
    <w:rsid w:val="007A394B"/>
    <w:rsid w:val="007A395D"/>
    <w:rsid w:val="007A3F83"/>
    <w:rsid w:val="007A409D"/>
    <w:rsid w:val="007A42E7"/>
    <w:rsid w:val="007A4B1E"/>
    <w:rsid w:val="007A4B26"/>
    <w:rsid w:val="007A4C23"/>
    <w:rsid w:val="007A5618"/>
    <w:rsid w:val="007A5748"/>
    <w:rsid w:val="007A68EB"/>
    <w:rsid w:val="007A712E"/>
    <w:rsid w:val="007A754B"/>
    <w:rsid w:val="007A780D"/>
    <w:rsid w:val="007B12EB"/>
    <w:rsid w:val="007B258E"/>
    <w:rsid w:val="007B2F22"/>
    <w:rsid w:val="007B32D1"/>
    <w:rsid w:val="007B4CB2"/>
    <w:rsid w:val="007B506C"/>
    <w:rsid w:val="007B525C"/>
    <w:rsid w:val="007B573A"/>
    <w:rsid w:val="007B63F6"/>
    <w:rsid w:val="007B68F9"/>
    <w:rsid w:val="007B70B5"/>
    <w:rsid w:val="007B70D8"/>
    <w:rsid w:val="007B7FBF"/>
    <w:rsid w:val="007C04A0"/>
    <w:rsid w:val="007C0B99"/>
    <w:rsid w:val="007C0BB7"/>
    <w:rsid w:val="007C11BD"/>
    <w:rsid w:val="007C1BFF"/>
    <w:rsid w:val="007C1F33"/>
    <w:rsid w:val="007C2079"/>
    <w:rsid w:val="007C20F7"/>
    <w:rsid w:val="007C2293"/>
    <w:rsid w:val="007C2C22"/>
    <w:rsid w:val="007C2D8F"/>
    <w:rsid w:val="007C2E58"/>
    <w:rsid w:val="007C32A5"/>
    <w:rsid w:val="007C54B4"/>
    <w:rsid w:val="007C5C98"/>
    <w:rsid w:val="007C6047"/>
    <w:rsid w:val="007C63DC"/>
    <w:rsid w:val="007C64A6"/>
    <w:rsid w:val="007C652F"/>
    <w:rsid w:val="007C698F"/>
    <w:rsid w:val="007C6B62"/>
    <w:rsid w:val="007C6B88"/>
    <w:rsid w:val="007C6CD7"/>
    <w:rsid w:val="007C6DD8"/>
    <w:rsid w:val="007C7089"/>
    <w:rsid w:val="007C7E95"/>
    <w:rsid w:val="007D01E5"/>
    <w:rsid w:val="007D094B"/>
    <w:rsid w:val="007D0DBD"/>
    <w:rsid w:val="007D0EC0"/>
    <w:rsid w:val="007D0FFF"/>
    <w:rsid w:val="007D1190"/>
    <w:rsid w:val="007D1AA3"/>
    <w:rsid w:val="007D1D26"/>
    <w:rsid w:val="007D1E66"/>
    <w:rsid w:val="007D364F"/>
    <w:rsid w:val="007D3799"/>
    <w:rsid w:val="007D3A00"/>
    <w:rsid w:val="007D3B86"/>
    <w:rsid w:val="007D3C87"/>
    <w:rsid w:val="007D4CAA"/>
    <w:rsid w:val="007D5AF7"/>
    <w:rsid w:val="007D6208"/>
    <w:rsid w:val="007D637F"/>
    <w:rsid w:val="007D63C3"/>
    <w:rsid w:val="007D6B9D"/>
    <w:rsid w:val="007D6BC7"/>
    <w:rsid w:val="007D75CC"/>
    <w:rsid w:val="007E078D"/>
    <w:rsid w:val="007E0CD5"/>
    <w:rsid w:val="007E14E7"/>
    <w:rsid w:val="007E327C"/>
    <w:rsid w:val="007E3471"/>
    <w:rsid w:val="007E3AD7"/>
    <w:rsid w:val="007E3E02"/>
    <w:rsid w:val="007E4242"/>
    <w:rsid w:val="007E428D"/>
    <w:rsid w:val="007E5504"/>
    <w:rsid w:val="007E5739"/>
    <w:rsid w:val="007E5991"/>
    <w:rsid w:val="007E5A16"/>
    <w:rsid w:val="007E6327"/>
    <w:rsid w:val="007E66C9"/>
    <w:rsid w:val="007E679F"/>
    <w:rsid w:val="007E77A3"/>
    <w:rsid w:val="007E780C"/>
    <w:rsid w:val="007E7F24"/>
    <w:rsid w:val="007F159D"/>
    <w:rsid w:val="007F29ED"/>
    <w:rsid w:val="007F3210"/>
    <w:rsid w:val="007F514C"/>
    <w:rsid w:val="007F5342"/>
    <w:rsid w:val="007F60D4"/>
    <w:rsid w:val="007F675D"/>
    <w:rsid w:val="007F71BA"/>
    <w:rsid w:val="007F73FF"/>
    <w:rsid w:val="007F7958"/>
    <w:rsid w:val="007F7F14"/>
    <w:rsid w:val="0080044A"/>
    <w:rsid w:val="00800597"/>
    <w:rsid w:val="008019A6"/>
    <w:rsid w:val="0080219E"/>
    <w:rsid w:val="0080269E"/>
    <w:rsid w:val="00802F6F"/>
    <w:rsid w:val="00802F96"/>
    <w:rsid w:val="00803E05"/>
    <w:rsid w:val="0080439D"/>
    <w:rsid w:val="00804D35"/>
    <w:rsid w:val="008055A5"/>
    <w:rsid w:val="00805EBC"/>
    <w:rsid w:val="008069D2"/>
    <w:rsid w:val="008073F3"/>
    <w:rsid w:val="00807EAE"/>
    <w:rsid w:val="00807F2A"/>
    <w:rsid w:val="00810660"/>
    <w:rsid w:val="008113C6"/>
    <w:rsid w:val="00811634"/>
    <w:rsid w:val="008116AD"/>
    <w:rsid w:val="00811F96"/>
    <w:rsid w:val="00812357"/>
    <w:rsid w:val="00812585"/>
    <w:rsid w:val="008125D2"/>
    <w:rsid w:val="008132A3"/>
    <w:rsid w:val="00813C1E"/>
    <w:rsid w:val="00817127"/>
    <w:rsid w:val="008175B7"/>
    <w:rsid w:val="008201EE"/>
    <w:rsid w:val="00820C6A"/>
    <w:rsid w:val="008211D7"/>
    <w:rsid w:val="008212A1"/>
    <w:rsid w:val="00821E60"/>
    <w:rsid w:val="00821EFC"/>
    <w:rsid w:val="00821FD1"/>
    <w:rsid w:val="0082204E"/>
    <w:rsid w:val="00822A82"/>
    <w:rsid w:val="00823E55"/>
    <w:rsid w:val="008250F3"/>
    <w:rsid w:val="008260EA"/>
    <w:rsid w:val="008264D0"/>
    <w:rsid w:val="00826778"/>
    <w:rsid w:val="008271B8"/>
    <w:rsid w:val="008271E8"/>
    <w:rsid w:val="008275F6"/>
    <w:rsid w:val="00827CFB"/>
    <w:rsid w:val="008300DC"/>
    <w:rsid w:val="0083016D"/>
    <w:rsid w:val="0083096A"/>
    <w:rsid w:val="00831968"/>
    <w:rsid w:val="00832338"/>
    <w:rsid w:val="008323BC"/>
    <w:rsid w:val="00832D5F"/>
    <w:rsid w:val="008330CA"/>
    <w:rsid w:val="00833602"/>
    <w:rsid w:val="00833984"/>
    <w:rsid w:val="00833D07"/>
    <w:rsid w:val="00834042"/>
    <w:rsid w:val="00835056"/>
    <w:rsid w:val="00835700"/>
    <w:rsid w:val="00835B70"/>
    <w:rsid w:val="00835C04"/>
    <w:rsid w:val="00835CBB"/>
    <w:rsid w:val="00836D2B"/>
    <w:rsid w:val="008374A3"/>
    <w:rsid w:val="00837688"/>
    <w:rsid w:val="00840308"/>
    <w:rsid w:val="008403F0"/>
    <w:rsid w:val="0084063F"/>
    <w:rsid w:val="008407C4"/>
    <w:rsid w:val="00840B27"/>
    <w:rsid w:val="00840CDE"/>
    <w:rsid w:val="00841590"/>
    <w:rsid w:val="00841A5F"/>
    <w:rsid w:val="00841AE6"/>
    <w:rsid w:val="008428E6"/>
    <w:rsid w:val="00842F4A"/>
    <w:rsid w:val="0084352F"/>
    <w:rsid w:val="00843963"/>
    <w:rsid w:val="00843ED7"/>
    <w:rsid w:val="00845390"/>
    <w:rsid w:val="008456DC"/>
    <w:rsid w:val="00845EEB"/>
    <w:rsid w:val="00846E29"/>
    <w:rsid w:val="00847503"/>
    <w:rsid w:val="00847D26"/>
    <w:rsid w:val="00850014"/>
    <w:rsid w:val="008520AA"/>
    <w:rsid w:val="00853056"/>
    <w:rsid w:val="0085396A"/>
    <w:rsid w:val="0085401D"/>
    <w:rsid w:val="0085407C"/>
    <w:rsid w:val="008558D9"/>
    <w:rsid w:val="00855F63"/>
    <w:rsid w:val="0085616C"/>
    <w:rsid w:val="00856904"/>
    <w:rsid w:val="008569EA"/>
    <w:rsid w:val="00856A4E"/>
    <w:rsid w:val="0085763E"/>
    <w:rsid w:val="00857B39"/>
    <w:rsid w:val="008601A1"/>
    <w:rsid w:val="008606DE"/>
    <w:rsid w:val="0086073E"/>
    <w:rsid w:val="0086190C"/>
    <w:rsid w:val="00862005"/>
    <w:rsid w:val="0086214A"/>
    <w:rsid w:val="00862CC0"/>
    <w:rsid w:val="00862D4D"/>
    <w:rsid w:val="00862E81"/>
    <w:rsid w:val="0086336C"/>
    <w:rsid w:val="008637FB"/>
    <w:rsid w:val="00863A81"/>
    <w:rsid w:val="00863DBF"/>
    <w:rsid w:val="00864D4F"/>
    <w:rsid w:val="00864FCA"/>
    <w:rsid w:val="00871149"/>
    <w:rsid w:val="00871913"/>
    <w:rsid w:val="00871D1F"/>
    <w:rsid w:val="00871D90"/>
    <w:rsid w:val="00873AFF"/>
    <w:rsid w:val="0087410F"/>
    <w:rsid w:val="008741E3"/>
    <w:rsid w:val="00874C8D"/>
    <w:rsid w:val="00875612"/>
    <w:rsid w:val="008777E8"/>
    <w:rsid w:val="00877BA4"/>
    <w:rsid w:val="008801EC"/>
    <w:rsid w:val="008809DC"/>
    <w:rsid w:val="00881007"/>
    <w:rsid w:val="008814A7"/>
    <w:rsid w:val="00881C5F"/>
    <w:rsid w:val="0088248D"/>
    <w:rsid w:val="00883304"/>
    <w:rsid w:val="00883F07"/>
    <w:rsid w:val="00884585"/>
    <w:rsid w:val="00884DD4"/>
    <w:rsid w:val="00884E88"/>
    <w:rsid w:val="00885414"/>
    <w:rsid w:val="0088605E"/>
    <w:rsid w:val="0088690A"/>
    <w:rsid w:val="00886CA2"/>
    <w:rsid w:val="008902E5"/>
    <w:rsid w:val="008913CB"/>
    <w:rsid w:val="00891701"/>
    <w:rsid w:val="00892589"/>
    <w:rsid w:val="008926C6"/>
    <w:rsid w:val="0089293A"/>
    <w:rsid w:val="00892E38"/>
    <w:rsid w:val="00893A78"/>
    <w:rsid w:val="008945F5"/>
    <w:rsid w:val="00894E02"/>
    <w:rsid w:val="00895523"/>
    <w:rsid w:val="008957FD"/>
    <w:rsid w:val="00895C3C"/>
    <w:rsid w:val="008969DD"/>
    <w:rsid w:val="00896A00"/>
    <w:rsid w:val="008974D0"/>
    <w:rsid w:val="00897856"/>
    <w:rsid w:val="008A0246"/>
    <w:rsid w:val="008A0653"/>
    <w:rsid w:val="008A09E2"/>
    <w:rsid w:val="008A1116"/>
    <w:rsid w:val="008A1299"/>
    <w:rsid w:val="008A1C28"/>
    <w:rsid w:val="008A1C40"/>
    <w:rsid w:val="008A20CD"/>
    <w:rsid w:val="008A20DA"/>
    <w:rsid w:val="008A2638"/>
    <w:rsid w:val="008A2902"/>
    <w:rsid w:val="008A329B"/>
    <w:rsid w:val="008A37AF"/>
    <w:rsid w:val="008A413A"/>
    <w:rsid w:val="008A4CD3"/>
    <w:rsid w:val="008A5312"/>
    <w:rsid w:val="008A6835"/>
    <w:rsid w:val="008A6AF5"/>
    <w:rsid w:val="008A6F71"/>
    <w:rsid w:val="008A7103"/>
    <w:rsid w:val="008A759B"/>
    <w:rsid w:val="008A7EBD"/>
    <w:rsid w:val="008A7F68"/>
    <w:rsid w:val="008B0954"/>
    <w:rsid w:val="008B0F64"/>
    <w:rsid w:val="008B14E9"/>
    <w:rsid w:val="008B1F39"/>
    <w:rsid w:val="008B340B"/>
    <w:rsid w:val="008B3C5D"/>
    <w:rsid w:val="008B480C"/>
    <w:rsid w:val="008B48AB"/>
    <w:rsid w:val="008B4E9B"/>
    <w:rsid w:val="008B5443"/>
    <w:rsid w:val="008B62C7"/>
    <w:rsid w:val="008B6AD6"/>
    <w:rsid w:val="008B6D4F"/>
    <w:rsid w:val="008B7982"/>
    <w:rsid w:val="008C00A6"/>
    <w:rsid w:val="008C09BF"/>
    <w:rsid w:val="008C1137"/>
    <w:rsid w:val="008C4128"/>
    <w:rsid w:val="008C43F7"/>
    <w:rsid w:val="008C5BB5"/>
    <w:rsid w:val="008C5DAE"/>
    <w:rsid w:val="008C5E0E"/>
    <w:rsid w:val="008C62DB"/>
    <w:rsid w:val="008C7533"/>
    <w:rsid w:val="008C7951"/>
    <w:rsid w:val="008C7FB5"/>
    <w:rsid w:val="008D11C7"/>
    <w:rsid w:val="008D1902"/>
    <w:rsid w:val="008D23A1"/>
    <w:rsid w:val="008D23F5"/>
    <w:rsid w:val="008D2495"/>
    <w:rsid w:val="008D25AE"/>
    <w:rsid w:val="008D2B88"/>
    <w:rsid w:val="008D30C8"/>
    <w:rsid w:val="008D40D0"/>
    <w:rsid w:val="008D42F5"/>
    <w:rsid w:val="008D4654"/>
    <w:rsid w:val="008D568A"/>
    <w:rsid w:val="008D6058"/>
    <w:rsid w:val="008D6411"/>
    <w:rsid w:val="008D6CFB"/>
    <w:rsid w:val="008D71D0"/>
    <w:rsid w:val="008D7719"/>
    <w:rsid w:val="008E11F6"/>
    <w:rsid w:val="008E16D0"/>
    <w:rsid w:val="008E1FD4"/>
    <w:rsid w:val="008E2718"/>
    <w:rsid w:val="008E2B1F"/>
    <w:rsid w:val="008E31BA"/>
    <w:rsid w:val="008E38B6"/>
    <w:rsid w:val="008E3A05"/>
    <w:rsid w:val="008E3C4D"/>
    <w:rsid w:val="008E405B"/>
    <w:rsid w:val="008E4D11"/>
    <w:rsid w:val="008E4E8D"/>
    <w:rsid w:val="008E540E"/>
    <w:rsid w:val="008E5B85"/>
    <w:rsid w:val="008E616C"/>
    <w:rsid w:val="008E61DC"/>
    <w:rsid w:val="008E7D19"/>
    <w:rsid w:val="008E7E2E"/>
    <w:rsid w:val="008F1130"/>
    <w:rsid w:val="008F19D2"/>
    <w:rsid w:val="008F1B8D"/>
    <w:rsid w:val="008F24D4"/>
    <w:rsid w:val="008F2E20"/>
    <w:rsid w:val="008F33A9"/>
    <w:rsid w:val="008F3C51"/>
    <w:rsid w:val="008F3CF8"/>
    <w:rsid w:val="008F47DF"/>
    <w:rsid w:val="008F4EFC"/>
    <w:rsid w:val="008F4F40"/>
    <w:rsid w:val="008F52AF"/>
    <w:rsid w:val="008F5448"/>
    <w:rsid w:val="008F5C58"/>
    <w:rsid w:val="008F67D5"/>
    <w:rsid w:val="008F6BB9"/>
    <w:rsid w:val="008F71DA"/>
    <w:rsid w:val="008F7AC3"/>
    <w:rsid w:val="009007D4"/>
    <w:rsid w:val="00900BEF"/>
    <w:rsid w:val="00900F25"/>
    <w:rsid w:val="00901027"/>
    <w:rsid w:val="00901627"/>
    <w:rsid w:val="00902084"/>
    <w:rsid w:val="00902697"/>
    <w:rsid w:val="00902D5D"/>
    <w:rsid w:val="00903981"/>
    <w:rsid w:val="0090422A"/>
    <w:rsid w:val="00905CE7"/>
    <w:rsid w:val="00905D14"/>
    <w:rsid w:val="009067C9"/>
    <w:rsid w:val="0090705E"/>
    <w:rsid w:val="009074B8"/>
    <w:rsid w:val="00907857"/>
    <w:rsid w:val="00910165"/>
    <w:rsid w:val="009105AA"/>
    <w:rsid w:val="00910A13"/>
    <w:rsid w:val="00910E7F"/>
    <w:rsid w:val="009114B3"/>
    <w:rsid w:val="009115FC"/>
    <w:rsid w:val="0091165E"/>
    <w:rsid w:val="009118DF"/>
    <w:rsid w:val="00911AB0"/>
    <w:rsid w:val="00912007"/>
    <w:rsid w:val="009126BF"/>
    <w:rsid w:val="0091274E"/>
    <w:rsid w:val="00912A8D"/>
    <w:rsid w:val="00912D22"/>
    <w:rsid w:val="00913F6A"/>
    <w:rsid w:val="0091501A"/>
    <w:rsid w:val="009152CC"/>
    <w:rsid w:val="00916D4B"/>
    <w:rsid w:val="00917EEB"/>
    <w:rsid w:val="00920655"/>
    <w:rsid w:val="009209CC"/>
    <w:rsid w:val="00920EEF"/>
    <w:rsid w:val="00920F29"/>
    <w:rsid w:val="00921176"/>
    <w:rsid w:val="00921784"/>
    <w:rsid w:val="00922898"/>
    <w:rsid w:val="009228BC"/>
    <w:rsid w:val="009230D4"/>
    <w:rsid w:val="009231FA"/>
    <w:rsid w:val="0092356C"/>
    <w:rsid w:val="0092497F"/>
    <w:rsid w:val="00924D15"/>
    <w:rsid w:val="00924EBE"/>
    <w:rsid w:val="00925178"/>
    <w:rsid w:val="009255C9"/>
    <w:rsid w:val="00925655"/>
    <w:rsid w:val="00925CA4"/>
    <w:rsid w:val="009260B8"/>
    <w:rsid w:val="009277E8"/>
    <w:rsid w:val="00930631"/>
    <w:rsid w:val="00930905"/>
    <w:rsid w:val="0093118F"/>
    <w:rsid w:val="00931913"/>
    <w:rsid w:val="00931AFD"/>
    <w:rsid w:val="00932FBC"/>
    <w:rsid w:val="00933909"/>
    <w:rsid w:val="00933D2C"/>
    <w:rsid w:val="00933EBD"/>
    <w:rsid w:val="009346C7"/>
    <w:rsid w:val="00934FC7"/>
    <w:rsid w:val="00935828"/>
    <w:rsid w:val="00935F19"/>
    <w:rsid w:val="0093755C"/>
    <w:rsid w:val="00937DFD"/>
    <w:rsid w:val="00940208"/>
    <w:rsid w:val="0094084F"/>
    <w:rsid w:val="009424DA"/>
    <w:rsid w:val="009425BD"/>
    <w:rsid w:val="00942B57"/>
    <w:rsid w:val="00943D48"/>
    <w:rsid w:val="00946B37"/>
    <w:rsid w:val="009500EF"/>
    <w:rsid w:val="009506C3"/>
    <w:rsid w:val="0095084A"/>
    <w:rsid w:val="009512B1"/>
    <w:rsid w:val="00951732"/>
    <w:rsid w:val="0095233A"/>
    <w:rsid w:val="009529A7"/>
    <w:rsid w:val="009542AD"/>
    <w:rsid w:val="0095582A"/>
    <w:rsid w:val="00955CFB"/>
    <w:rsid w:val="00955EC5"/>
    <w:rsid w:val="009561F4"/>
    <w:rsid w:val="00956558"/>
    <w:rsid w:val="009565BD"/>
    <w:rsid w:val="009571A9"/>
    <w:rsid w:val="00957D00"/>
    <w:rsid w:val="00957EC2"/>
    <w:rsid w:val="0096002D"/>
    <w:rsid w:val="00960038"/>
    <w:rsid w:val="009604D5"/>
    <w:rsid w:val="00960DEF"/>
    <w:rsid w:val="009616BD"/>
    <w:rsid w:val="009617EC"/>
    <w:rsid w:val="00962255"/>
    <w:rsid w:val="00962265"/>
    <w:rsid w:val="00962A74"/>
    <w:rsid w:val="00962B5B"/>
    <w:rsid w:val="00962E6E"/>
    <w:rsid w:val="00963544"/>
    <w:rsid w:val="00964CD0"/>
    <w:rsid w:val="0096653A"/>
    <w:rsid w:val="00966BDF"/>
    <w:rsid w:val="00967067"/>
    <w:rsid w:val="00967592"/>
    <w:rsid w:val="00967CD5"/>
    <w:rsid w:val="00970590"/>
    <w:rsid w:val="00970E17"/>
    <w:rsid w:val="00971FFE"/>
    <w:rsid w:val="00972144"/>
    <w:rsid w:val="009725E4"/>
    <w:rsid w:val="009726F7"/>
    <w:rsid w:val="009733EC"/>
    <w:rsid w:val="00973B55"/>
    <w:rsid w:val="0097468E"/>
    <w:rsid w:val="00974B91"/>
    <w:rsid w:val="0097547D"/>
    <w:rsid w:val="0097597A"/>
    <w:rsid w:val="009764A5"/>
    <w:rsid w:val="009765F5"/>
    <w:rsid w:val="00976B33"/>
    <w:rsid w:val="00977A9C"/>
    <w:rsid w:val="00980665"/>
    <w:rsid w:val="00980A6D"/>
    <w:rsid w:val="00980FB3"/>
    <w:rsid w:val="00981B33"/>
    <w:rsid w:val="00982F50"/>
    <w:rsid w:val="00983113"/>
    <w:rsid w:val="0098378A"/>
    <w:rsid w:val="00983C5F"/>
    <w:rsid w:val="00983C78"/>
    <w:rsid w:val="009847BF"/>
    <w:rsid w:val="00985612"/>
    <w:rsid w:val="009857F0"/>
    <w:rsid w:val="009863A9"/>
    <w:rsid w:val="009863C4"/>
    <w:rsid w:val="009877FC"/>
    <w:rsid w:val="009878E5"/>
    <w:rsid w:val="00990059"/>
    <w:rsid w:val="0099011C"/>
    <w:rsid w:val="0099073D"/>
    <w:rsid w:val="00990E68"/>
    <w:rsid w:val="009910C1"/>
    <w:rsid w:val="00991D2A"/>
    <w:rsid w:val="009924D5"/>
    <w:rsid w:val="009925B4"/>
    <w:rsid w:val="00992AC1"/>
    <w:rsid w:val="00992FC9"/>
    <w:rsid w:val="00993843"/>
    <w:rsid w:val="0099437C"/>
    <w:rsid w:val="00994C77"/>
    <w:rsid w:val="009950B1"/>
    <w:rsid w:val="00995C12"/>
    <w:rsid w:val="009965D1"/>
    <w:rsid w:val="009974A1"/>
    <w:rsid w:val="009A0471"/>
    <w:rsid w:val="009A0A3E"/>
    <w:rsid w:val="009A11BE"/>
    <w:rsid w:val="009A1584"/>
    <w:rsid w:val="009A2295"/>
    <w:rsid w:val="009A2335"/>
    <w:rsid w:val="009A28F0"/>
    <w:rsid w:val="009A34F5"/>
    <w:rsid w:val="009A37E6"/>
    <w:rsid w:val="009A3BE7"/>
    <w:rsid w:val="009A3C30"/>
    <w:rsid w:val="009A568B"/>
    <w:rsid w:val="009A5C21"/>
    <w:rsid w:val="009A61E0"/>
    <w:rsid w:val="009A6284"/>
    <w:rsid w:val="009A65A0"/>
    <w:rsid w:val="009A6B2E"/>
    <w:rsid w:val="009A6C2A"/>
    <w:rsid w:val="009A6FC2"/>
    <w:rsid w:val="009A77C9"/>
    <w:rsid w:val="009A7FAC"/>
    <w:rsid w:val="009B0297"/>
    <w:rsid w:val="009B19F2"/>
    <w:rsid w:val="009B1CC0"/>
    <w:rsid w:val="009B243B"/>
    <w:rsid w:val="009B271C"/>
    <w:rsid w:val="009B274A"/>
    <w:rsid w:val="009B30E8"/>
    <w:rsid w:val="009B3FF7"/>
    <w:rsid w:val="009B4109"/>
    <w:rsid w:val="009B4555"/>
    <w:rsid w:val="009B57E9"/>
    <w:rsid w:val="009B6C51"/>
    <w:rsid w:val="009B6EF2"/>
    <w:rsid w:val="009B79FA"/>
    <w:rsid w:val="009C0550"/>
    <w:rsid w:val="009C1563"/>
    <w:rsid w:val="009C159F"/>
    <w:rsid w:val="009C1BA9"/>
    <w:rsid w:val="009C3F64"/>
    <w:rsid w:val="009C4011"/>
    <w:rsid w:val="009C4717"/>
    <w:rsid w:val="009C5528"/>
    <w:rsid w:val="009C58D2"/>
    <w:rsid w:val="009C5A2C"/>
    <w:rsid w:val="009C6168"/>
    <w:rsid w:val="009C63DF"/>
    <w:rsid w:val="009C66CC"/>
    <w:rsid w:val="009C6B9C"/>
    <w:rsid w:val="009C6BFC"/>
    <w:rsid w:val="009C6D0B"/>
    <w:rsid w:val="009C7016"/>
    <w:rsid w:val="009C7E63"/>
    <w:rsid w:val="009D0130"/>
    <w:rsid w:val="009D0804"/>
    <w:rsid w:val="009D182A"/>
    <w:rsid w:val="009D2224"/>
    <w:rsid w:val="009D3737"/>
    <w:rsid w:val="009D4319"/>
    <w:rsid w:val="009D4953"/>
    <w:rsid w:val="009D4A89"/>
    <w:rsid w:val="009D4AC4"/>
    <w:rsid w:val="009D5A03"/>
    <w:rsid w:val="009D6252"/>
    <w:rsid w:val="009D6642"/>
    <w:rsid w:val="009D709D"/>
    <w:rsid w:val="009D7BF1"/>
    <w:rsid w:val="009E04C6"/>
    <w:rsid w:val="009E0AA2"/>
    <w:rsid w:val="009E19CF"/>
    <w:rsid w:val="009E1D05"/>
    <w:rsid w:val="009E2C94"/>
    <w:rsid w:val="009E36C6"/>
    <w:rsid w:val="009E3A70"/>
    <w:rsid w:val="009E3C0B"/>
    <w:rsid w:val="009E3CA2"/>
    <w:rsid w:val="009E4BD4"/>
    <w:rsid w:val="009E5302"/>
    <w:rsid w:val="009E5BDE"/>
    <w:rsid w:val="009E6CF2"/>
    <w:rsid w:val="009E765A"/>
    <w:rsid w:val="009F01BD"/>
    <w:rsid w:val="009F0D28"/>
    <w:rsid w:val="009F12EF"/>
    <w:rsid w:val="009F20A0"/>
    <w:rsid w:val="009F246D"/>
    <w:rsid w:val="009F28CA"/>
    <w:rsid w:val="009F45C3"/>
    <w:rsid w:val="009F4EAC"/>
    <w:rsid w:val="009F5747"/>
    <w:rsid w:val="009F63A0"/>
    <w:rsid w:val="009F6CF1"/>
    <w:rsid w:val="009F73B8"/>
    <w:rsid w:val="009F790F"/>
    <w:rsid w:val="009F79FA"/>
    <w:rsid w:val="009F7AEC"/>
    <w:rsid w:val="00A002B2"/>
    <w:rsid w:val="00A00E0E"/>
    <w:rsid w:val="00A02F91"/>
    <w:rsid w:val="00A0366B"/>
    <w:rsid w:val="00A048E2"/>
    <w:rsid w:val="00A05035"/>
    <w:rsid w:val="00A0525B"/>
    <w:rsid w:val="00A05331"/>
    <w:rsid w:val="00A05A49"/>
    <w:rsid w:val="00A063D8"/>
    <w:rsid w:val="00A06C03"/>
    <w:rsid w:val="00A0747A"/>
    <w:rsid w:val="00A10A80"/>
    <w:rsid w:val="00A10CD0"/>
    <w:rsid w:val="00A10F79"/>
    <w:rsid w:val="00A1152C"/>
    <w:rsid w:val="00A130A4"/>
    <w:rsid w:val="00A1324C"/>
    <w:rsid w:val="00A1354C"/>
    <w:rsid w:val="00A13942"/>
    <w:rsid w:val="00A14300"/>
    <w:rsid w:val="00A145D0"/>
    <w:rsid w:val="00A15593"/>
    <w:rsid w:val="00A1587C"/>
    <w:rsid w:val="00A15EE7"/>
    <w:rsid w:val="00A16167"/>
    <w:rsid w:val="00A164D0"/>
    <w:rsid w:val="00A17198"/>
    <w:rsid w:val="00A17755"/>
    <w:rsid w:val="00A205D0"/>
    <w:rsid w:val="00A21920"/>
    <w:rsid w:val="00A22D50"/>
    <w:rsid w:val="00A23294"/>
    <w:rsid w:val="00A25727"/>
    <w:rsid w:val="00A26A41"/>
    <w:rsid w:val="00A26D38"/>
    <w:rsid w:val="00A272A0"/>
    <w:rsid w:val="00A27D46"/>
    <w:rsid w:val="00A30346"/>
    <w:rsid w:val="00A30402"/>
    <w:rsid w:val="00A30695"/>
    <w:rsid w:val="00A30FDD"/>
    <w:rsid w:val="00A328D9"/>
    <w:rsid w:val="00A32A3A"/>
    <w:rsid w:val="00A33118"/>
    <w:rsid w:val="00A33483"/>
    <w:rsid w:val="00A33CD9"/>
    <w:rsid w:val="00A33EFE"/>
    <w:rsid w:val="00A34A4A"/>
    <w:rsid w:val="00A36BED"/>
    <w:rsid w:val="00A36D9D"/>
    <w:rsid w:val="00A36E27"/>
    <w:rsid w:val="00A37215"/>
    <w:rsid w:val="00A37F36"/>
    <w:rsid w:val="00A408FF"/>
    <w:rsid w:val="00A40EA2"/>
    <w:rsid w:val="00A41368"/>
    <w:rsid w:val="00A41505"/>
    <w:rsid w:val="00A41CD5"/>
    <w:rsid w:val="00A4258A"/>
    <w:rsid w:val="00A42779"/>
    <w:rsid w:val="00A427DA"/>
    <w:rsid w:val="00A42940"/>
    <w:rsid w:val="00A43873"/>
    <w:rsid w:val="00A4393A"/>
    <w:rsid w:val="00A43F0E"/>
    <w:rsid w:val="00A43F5E"/>
    <w:rsid w:val="00A4522C"/>
    <w:rsid w:val="00A45B51"/>
    <w:rsid w:val="00A46DF4"/>
    <w:rsid w:val="00A47171"/>
    <w:rsid w:val="00A47AA8"/>
    <w:rsid w:val="00A47AB4"/>
    <w:rsid w:val="00A50099"/>
    <w:rsid w:val="00A51535"/>
    <w:rsid w:val="00A51779"/>
    <w:rsid w:val="00A51DCF"/>
    <w:rsid w:val="00A5286E"/>
    <w:rsid w:val="00A52CAE"/>
    <w:rsid w:val="00A54DB8"/>
    <w:rsid w:val="00A55385"/>
    <w:rsid w:val="00A553F8"/>
    <w:rsid w:val="00A55982"/>
    <w:rsid w:val="00A5644E"/>
    <w:rsid w:val="00A566BC"/>
    <w:rsid w:val="00A57821"/>
    <w:rsid w:val="00A57DE9"/>
    <w:rsid w:val="00A602D0"/>
    <w:rsid w:val="00A6072E"/>
    <w:rsid w:val="00A60730"/>
    <w:rsid w:val="00A6116A"/>
    <w:rsid w:val="00A61C29"/>
    <w:rsid w:val="00A61D3B"/>
    <w:rsid w:val="00A62627"/>
    <w:rsid w:val="00A62B23"/>
    <w:rsid w:val="00A62D61"/>
    <w:rsid w:val="00A63834"/>
    <w:rsid w:val="00A641F5"/>
    <w:rsid w:val="00A659FF"/>
    <w:rsid w:val="00A65B38"/>
    <w:rsid w:val="00A6616C"/>
    <w:rsid w:val="00A66A30"/>
    <w:rsid w:val="00A670B4"/>
    <w:rsid w:val="00A67B64"/>
    <w:rsid w:val="00A70076"/>
    <w:rsid w:val="00A7096D"/>
    <w:rsid w:val="00A70C83"/>
    <w:rsid w:val="00A727B5"/>
    <w:rsid w:val="00A727D3"/>
    <w:rsid w:val="00A72831"/>
    <w:rsid w:val="00A73F7B"/>
    <w:rsid w:val="00A74238"/>
    <w:rsid w:val="00A74350"/>
    <w:rsid w:val="00A75927"/>
    <w:rsid w:val="00A759B5"/>
    <w:rsid w:val="00A76220"/>
    <w:rsid w:val="00A762EA"/>
    <w:rsid w:val="00A76C77"/>
    <w:rsid w:val="00A76E19"/>
    <w:rsid w:val="00A773EC"/>
    <w:rsid w:val="00A83799"/>
    <w:rsid w:val="00A83919"/>
    <w:rsid w:val="00A83E4D"/>
    <w:rsid w:val="00A841BE"/>
    <w:rsid w:val="00A8471E"/>
    <w:rsid w:val="00A855BA"/>
    <w:rsid w:val="00A86760"/>
    <w:rsid w:val="00A86AB0"/>
    <w:rsid w:val="00A86CE0"/>
    <w:rsid w:val="00A87775"/>
    <w:rsid w:val="00A91295"/>
    <w:rsid w:val="00A918E2"/>
    <w:rsid w:val="00A92F05"/>
    <w:rsid w:val="00A943D3"/>
    <w:rsid w:val="00A9494C"/>
    <w:rsid w:val="00A94FC5"/>
    <w:rsid w:val="00A956A0"/>
    <w:rsid w:val="00A95A87"/>
    <w:rsid w:val="00A96257"/>
    <w:rsid w:val="00A96421"/>
    <w:rsid w:val="00AA006F"/>
    <w:rsid w:val="00AA024F"/>
    <w:rsid w:val="00AA05E5"/>
    <w:rsid w:val="00AA125E"/>
    <w:rsid w:val="00AA1446"/>
    <w:rsid w:val="00AA1AB7"/>
    <w:rsid w:val="00AA223D"/>
    <w:rsid w:val="00AA22C0"/>
    <w:rsid w:val="00AA5DB3"/>
    <w:rsid w:val="00AA6190"/>
    <w:rsid w:val="00AA6D0E"/>
    <w:rsid w:val="00AA708F"/>
    <w:rsid w:val="00AA7BDE"/>
    <w:rsid w:val="00AA7CE2"/>
    <w:rsid w:val="00AA7F79"/>
    <w:rsid w:val="00AB0EC1"/>
    <w:rsid w:val="00AB0EF8"/>
    <w:rsid w:val="00AB1A8B"/>
    <w:rsid w:val="00AB2116"/>
    <w:rsid w:val="00AB3452"/>
    <w:rsid w:val="00AB362E"/>
    <w:rsid w:val="00AB363D"/>
    <w:rsid w:val="00AB3E61"/>
    <w:rsid w:val="00AB42DE"/>
    <w:rsid w:val="00AB456A"/>
    <w:rsid w:val="00AB48AB"/>
    <w:rsid w:val="00AB542D"/>
    <w:rsid w:val="00AB5E9F"/>
    <w:rsid w:val="00AB63FD"/>
    <w:rsid w:val="00AB679C"/>
    <w:rsid w:val="00AB7D08"/>
    <w:rsid w:val="00AC08AE"/>
    <w:rsid w:val="00AC1259"/>
    <w:rsid w:val="00AC136B"/>
    <w:rsid w:val="00AC3263"/>
    <w:rsid w:val="00AC3644"/>
    <w:rsid w:val="00AC3A65"/>
    <w:rsid w:val="00AC3E52"/>
    <w:rsid w:val="00AC53B4"/>
    <w:rsid w:val="00AC54BE"/>
    <w:rsid w:val="00AC59A5"/>
    <w:rsid w:val="00AC677A"/>
    <w:rsid w:val="00AD343C"/>
    <w:rsid w:val="00AD3664"/>
    <w:rsid w:val="00AD3DB3"/>
    <w:rsid w:val="00AD3F3C"/>
    <w:rsid w:val="00AD42DD"/>
    <w:rsid w:val="00AD4631"/>
    <w:rsid w:val="00AD54B7"/>
    <w:rsid w:val="00AD55C0"/>
    <w:rsid w:val="00AD575B"/>
    <w:rsid w:val="00AD64B9"/>
    <w:rsid w:val="00AD64D8"/>
    <w:rsid w:val="00AD71FB"/>
    <w:rsid w:val="00AD7DF6"/>
    <w:rsid w:val="00AE0365"/>
    <w:rsid w:val="00AE0662"/>
    <w:rsid w:val="00AE09A2"/>
    <w:rsid w:val="00AE1677"/>
    <w:rsid w:val="00AE1B4C"/>
    <w:rsid w:val="00AE1EF0"/>
    <w:rsid w:val="00AE305A"/>
    <w:rsid w:val="00AE3A0E"/>
    <w:rsid w:val="00AE3D6E"/>
    <w:rsid w:val="00AE47B5"/>
    <w:rsid w:val="00AE4F11"/>
    <w:rsid w:val="00AE5113"/>
    <w:rsid w:val="00AE5CFE"/>
    <w:rsid w:val="00AE60E2"/>
    <w:rsid w:val="00AE6644"/>
    <w:rsid w:val="00AF01E1"/>
    <w:rsid w:val="00AF076D"/>
    <w:rsid w:val="00AF4AF2"/>
    <w:rsid w:val="00AF4C23"/>
    <w:rsid w:val="00AF58B0"/>
    <w:rsid w:val="00AF5B23"/>
    <w:rsid w:val="00AF6451"/>
    <w:rsid w:val="00AF659D"/>
    <w:rsid w:val="00AF6FC6"/>
    <w:rsid w:val="00B00656"/>
    <w:rsid w:val="00B00CCB"/>
    <w:rsid w:val="00B0187C"/>
    <w:rsid w:val="00B01AF2"/>
    <w:rsid w:val="00B03E1C"/>
    <w:rsid w:val="00B046F3"/>
    <w:rsid w:val="00B04719"/>
    <w:rsid w:val="00B0548B"/>
    <w:rsid w:val="00B0588F"/>
    <w:rsid w:val="00B059A5"/>
    <w:rsid w:val="00B07164"/>
    <w:rsid w:val="00B100F4"/>
    <w:rsid w:val="00B10657"/>
    <w:rsid w:val="00B106C1"/>
    <w:rsid w:val="00B11C6B"/>
    <w:rsid w:val="00B122CB"/>
    <w:rsid w:val="00B1351C"/>
    <w:rsid w:val="00B1450C"/>
    <w:rsid w:val="00B147A0"/>
    <w:rsid w:val="00B16751"/>
    <w:rsid w:val="00B172E7"/>
    <w:rsid w:val="00B17311"/>
    <w:rsid w:val="00B17411"/>
    <w:rsid w:val="00B17C2F"/>
    <w:rsid w:val="00B20100"/>
    <w:rsid w:val="00B20BF6"/>
    <w:rsid w:val="00B20D19"/>
    <w:rsid w:val="00B211B1"/>
    <w:rsid w:val="00B21239"/>
    <w:rsid w:val="00B21C9E"/>
    <w:rsid w:val="00B2207E"/>
    <w:rsid w:val="00B23636"/>
    <w:rsid w:val="00B23FD1"/>
    <w:rsid w:val="00B24120"/>
    <w:rsid w:val="00B243C6"/>
    <w:rsid w:val="00B279BB"/>
    <w:rsid w:val="00B304D3"/>
    <w:rsid w:val="00B31147"/>
    <w:rsid w:val="00B31EF8"/>
    <w:rsid w:val="00B32861"/>
    <w:rsid w:val="00B32A77"/>
    <w:rsid w:val="00B33939"/>
    <w:rsid w:val="00B33CF6"/>
    <w:rsid w:val="00B33F1F"/>
    <w:rsid w:val="00B34D04"/>
    <w:rsid w:val="00B35086"/>
    <w:rsid w:val="00B35873"/>
    <w:rsid w:val="00B35C30"/>
    <w:rsid w:val="00B366C5"/>
    <w:rsid w:val="00B36CA3"/>
    <w:rsid w:val="00B36EA0"/>
    <w:rsid w:val="00B370BC"/>
    <w:rsid w:val="00B371E6"/>
    <w:rsid w:val="00B40587"/>
    <w:rsid w:val="00B412BE"/>
    <w:rsid w:val="00B41694"/>
    <w:rsid w:val="00B41E60"/>
    <w:rsid w:val="00B426B1"/>
    <w:rsid w:val="00B42F82"/>
    <w:rsid w:val="00B43823"/>
    <w:rsid w:val="00B4490A"/>
    <w:rsid w:val="00B45678"/>
    <w:rsid w:val="00B45CDF"/>
    <w:rsid w:val="00B45EC6"/>
    <w:rsid w:val="00B465C2"/>
    <w:rsid w:val="00B46C5D"/>
    <w:rsid w:val="00B471AE"/>
    <w:rsid w:val="00B50A1C"/>
    <w:rsid w:val="00B51DBD"/>
    <w:rsid w:val="00B52426"/>
    <w:rsid w:val="00B531AC"/>
    <w:rsid w:val="00B53459"/>
    <w:rsid w:val="00B5391A"/>
    <w:rsid w:val="00B54169"/>
    <w:rsid w:val="00B54719"/>
    <w:rsid w:val="00B55651"/>
    <w:rsid w:val="00B55746"/>
    <w:rsid w:val="00B55BCE"/>
    <w:rsid w:val="00B57077"/>
    <w:rsid w:val="00B579E2"/>
    <w:rsid w:val="00B57FBC"/>
    <w:rsid w:val="00B606A8"/>
    <w:rsid w:val="00B60E57"/>
    <w:rsid w:val="00B6276D"/>
    <w:rsid w:val="00B62A71"/>
    <w:rsid w:val="00B62B3D"/>
    <w:rsid w:val="00B62F0F"/>
    <w:rsid w:val="00B64B11"/>
    <w:rsid w:val="00B64CCB"/>
    <w:rsid w:val="00B66342"/>
    <w:rsid w:val="00B66844"/>
    <w:rsid w:val="00B670F7"/>
    <w:rsid w:val="00B6793A"/>
    <w:rsid w:val="00B702D6"/>
    <w:rsid w:val="00B7068B"/>
    <w:rsid w:val="00B718D9"/>
    <w:rsid w:val="00B71C14"/>
    <w:rsid w:val="00B71DE2"/>
    <w:rsid w:val="00B724A9"/>
    <w:rsid w:val="00B72BE4"/>
    <w:rsid w:val="00B7487B"/>
    <w:rsid w:val="00B749B3"/>
    <w:rsid w:val="00B75D2B"/>
    <w:rsid w:val="00B7609E"/>
    <w:rsid w:val="00B7630D"/>
    <w:rsid w:val="00B76483"/>
    <w:rsid w:val="00B768A1"/>
    <w:rsid w:val="00B768DE"/>
    <w:rsid w:val="00B77242"/>
    <w:rsid w:val="00B77362"/>
    <w:rsid w:val="00B773FC"/>
    <w:rsid w:val="00B77DBC"/>
    <w:rsid w:val="00B80757"/>
    <w:rsid w:val="00B80BC1"/>
    <w:rsid w:val="00B80C24"/>
    <w:rsid w:val="00B814C0"/>
    <w:rsid w:val="00B81662"/>
    <w:rsid w:val="00B81C28"/>
    <w:rsid w:val="00B8204E"/>
    <w:rsid w:val="00B820A0"/>
    <w:rsid w:val="00B82B18"/>
    <w:rsid w:val="00B82C98"/>
    <w:rsid w:val="00B83C2E"/>
    <w:rsid w:val="00B83FD2"/>
    <w:rsid w:val="00B84360"/>
    <w:rsid w:val="00B8458E"/>
    <w:rsid w:val="00B84931"/>
    <w:rsid w:val="00B84AC3"/>
    <w:rsid w:val="00B853AB"/>
    <w:rsid w:val="00B85C43"/>
    <w:rsid w:val="00B85D20"/>
    <w:rsid w:val="00B86132"/>
    <w:rsid w:val="00B86288"/>
    <w:rsid w:val="00B87F3E"/>
    <w:rsid w:val="00B905B4"/>
    <w:rsid w:val="00B90B2F"/>
    <w:rsid w:val="00B90F42"/>
    <w:rsid w:val="00B91E93"/>
    <w:rsid w:val="00B92464"/>
    <w:rsid w:val="00B93209"/>
    <w:rsid w:val="00B937FC"/>
    <w:rsid w:val="00B95A54"/>
    <w:rsid w:val="00B97AFA"/>
    <w:rsid w:val="00B97EA8"/>
    <w:rsid w:val="00BA07B6"/>
    <w:rsid w:val="00BA08A9"/>
    <w:rsid w:val="00BA11CF"/>
    <w:rsid w:val="00BA180B"/>
    <w:rsid w:val="00BA1E11"/>
    <w:rsid w:val="00BA2D0E"/>
    <w:rsid w:val="00BA3ED3"/>
    <w:rsid w:val="00BA45E1"/>
    <w:rsid w:val="00BA4BDA"/>
    <w:rsid w:val="00BA530A"/>
    <w:rsid w:val="00BA6A6F"/>
    <w:rsid w:val="00BA7E54"/>
    <w:rsid w:val="00BB08E9"/>
    <w:rsid w:val="00BB1463"/>
    <w:rsid w:val="00BB1D41"/>
    <w:rsid w:val="00BB27F4"/>
    <w:rsid w:val="00BB34DA"/>
    <w:rsid w:val="00BB361F"/>
    <w:rsid w:val="00BB3939"/>
    <w:rsid w:val="00BB438A"/>
    <w:rsid w:val="00BB45D1"/>
    <w:rsid w:val="00BB4B00"/>
    <w:rsid w:val="00BB52E2"/>
    <w:rsid w:val="00BB5927"/>
    <w:rsid w:val="00BB5A69"/>
    <w:rsid w:val="00BB6A7C"/>
    <w:rsid w:val="00BC01C2"/>
    <w:rsid w:val="00BC1462"/>
    <w:rsid w:val="00BC37C5"/>
    <w:rsid w:val="00BC37D8"/>
    <w:rsid w:val="00BC3B8B"/>
    <w:rsid w:val="00BC3DD7"/>
    <w:rsid w:val="00BC3F30"/>
    <w:rsid w:val="00BC408D"/>
    <w:rsid w:val="00BC42F6"/>
    <w:rsid w:val="00BC473B"/>
    <w:rsid w:val="00BC49F6"/>
    <w:rsid w:val="00BC4A59"/>
    <w:rsid w:val="00BC57D9"/>
    <w:rsid w:val="00BC5B84"/>
    <w:rsid w:val="00BC5D82"/>
    <w:rsid w:val="00BC6B5F"/>
    <w:rsid w:val="00BC6FF0"/>
    <w:rsid w:val="00BC78A0"/>
    <w:rsid w:val="00BC7AA5"/>
    <w:rsid w:val="00BD072A"/>
    <w:rsid w:val="00BD0902"/>
    <w:rsid w:val="00BD0B10"/>
    <w:rsid w:val="00BD0C3C"/>
    <w:rsid w:val="00BD10F7"/>
    <w:rsid w:val="00BD3960"/>
    <w:rsid w:val="00BD3CCF"/>
    <w:rsid w:val="00BD444C"/>
    <w:rsid w:val="00BD4616"/>
    <w:rsid w:val="00BD547C"/>
    <w:rsid w:val="00BD5636"/>
    <w:rsid w:val="00BD5727"/>
    <w:rsid w:val="00BD5A74"/>
    <w:rsid w:val="00BD5D6B"/>
    <w:rsid w:val="00BD60AF"/>
    <w:rsid w:val="00BD63C1"/>
    <w:rsid w:val="00BD68A4"/>
    <w:rsid w:val="00BD6A51"/>
    <w:rsid w:val="00BD6C5B"/>
    <w:rsid w:val="00BD7311"/>
    <w:rsid w:val="00BE0CC1"/>
    <w:rsid w:val="00BE0FA7"/>
    <w:rsid w:val="00BE13C1"/>
    <w:rsid w:val="00BE1EA0"/>
    <w:rsid w:val="00BE2280"/>
    <w:rsid w:val="00BE32B7"/>
    <w:rsid w:val="00BE4659"/>
    <w:rsid w:val="00BE46C7"/>
    <w:rsid w:val="00BE4E49"/>
    <w:rsid w:val="00BE52F0"/>
    <w:rsid w:val="00BE7379"/>
    <w:rsid w:val="00BE739A"/>
    <w:rsid w:val="00BE7486"/>
    <w:rsid w:val="00BE7532"/>
    <w:rsid w:val="00BE7AB5"/>
    <w:rsid w:val="00BF0794"/>
    <w:rsid w:val="00BF0919"/>
    <w:rsid w:val="00BF09E9"/>
    <w:rsid w:val="00BF0B7A"/>
    <w:rsid w:val="00BF1158"/>
    <w:rsid w:val="00BF1BF5"/>
    <w:rsid w:val="00BF202D"/>
    <w:rsid w:val="00BF26E1"/>
    <w:rsid w:val="00BF290D"/>
    <w:rsid w:val="00BF2C73"/>
    <w:rsid w:val="00BF2D0D"/>
    <w:rsid w:val="00BF3252"/>
    <w:rsid w:val="00BF3D0F"/>
    <w:rsid w:val="00BF43F7"/>
    <w:rsid w:val="00BF6885"/>
    <w:rsid w:val="00BF694A"/>
    <w:rsid w:val="00BF6A96"/>
    <w:rsid w:val="00BF7476"/>
    <w:rsid w:val="00BF7B6E"/>
    <w:rsid w:val="00BF7C50"/>
    <w:rsid w:val="00C00172"/>
    <w:rsid w:val="00C00D32"/>
    <w:rsid w:val="00C023B7"/>
    <w:rsid w:val="00C029DA"/>
    <w:rsid w:val="00C02C76"/>
    <w:rsid w:val="00C0479B"/>
    <w:rsid w:val="00C06395"/>
    <w:rsid w:val="00C06F36"/>
    <w:rsid w:val="00C0739F"/>
    <w:rsid w:val="00C078C1"/>
    <w:rsid w:val="00C07B90"/>
    <w:rsid w:val="00C11E16"/>
    <w:rsid w:val="00C12BB2"/>
    <w:rsid w:val="00C12C9F"/>
    <w:rsid w:val="00C1336B"/>
    <w:rsid w:val="00C13DBA"/>
    <w:rsid w:val="00C153DF"/>
    <w:rsid w:val="00C15D00"/>
    <w:rsid w:val="00C15D49"/>
    <w:rsid w:val="00C15F17"/>
    <w:rsid w:val="00C16593"/>
    <w:rsid w:val="00C16B3C"/>
    <w:rsid w:val="00C173F4"/>
    <w:rsid w:val="00C205F0"/>
    <w:rsid w:val="00C20650"/>
    <w:rsid w:val="00C20F7F"/>
    <w:rsid w:val="00C217F3"/>
    <w:rsid w:val="00C22463"/>
    <w:rsid w:val="00C22494"/>
    <w:rsid w:val="00C225B3"/>
    <w:rsid w:val="00C23441"/>
    <w:rsid w:val="00C239D3"/>
    <w:rsid w:val="00C24CE4"/>
    <w:rsid w:val="00C26539"/>
    <w:rsid w:val="00C26E49"/>
    <w:rsid w:val="00C27160"/>
    <w:rsid w:val="00C27373"/>
    <w:rsid w:val="00C27C88"/>
    <w:rsid w:val="00C300F1"/>
    <w:rsid w:val="00C328A6"/>
    <w:rsid w:val="00C32D80"/>
    <w:rsid w:val="00C3559D"/>
    <w:rsid w:val="00C3585F"/>
    <w:rsid w:val="00C36D66"/>
    <w:rsid w:val="00C36EDA"/>
    <w:rsid w:val="00C374F1"/>
    <w:rsid w:val="00C37B44"/>
    <w:rsid w:val="00C37F54"/>
    <w:rsid w:val="00C4126A"/>
    <w:rsid w:val="00C41EB9"/>
    <w:rsid w:val="00C42C73"/>
    <w:rsid w:val="00C443EE"/>
    <w:rsid w:val="00C45507"/>
    <w:rsid w:val="00C45EBE"/>
    <w:rsid w:val="00C46EB0"/>
    <w:rsid w:val="00C472F6"/>
    <w:rsid w:val="00C5065D"/>
    <w:rsid w:val="00C509FE"/>
    <w:rsid w:val="00C51059"/>
    <w:rsid w:val="00C527BE"/>
    <w:rsid w:val="00C534D1"/>
    <w:rsid w:val="00C53EA3"/>
    <w:rsid w:val="00C54B35"/>
    <w:rsid w:val="00C560F4"/>
    <w:rsid w:val="00C563DC"/>
    <w:rsid w:val="00C570DF"/>
    <w:rsid w:val="00C576AB"/>
    <w:rsid w:val="00C57AC4"/>
    <w:rsid w:val="00C604FF"/>
    <w:rsid w:val="00C60615"/>
    <w:rsid w:val="00C6130A"/>
    <w:rsid w:val="00C6144C"/>
    <w:rsid w:val="00C61808"/>
    <w:rsid w:val="00C61D32"/>
    <w:rsid w:val="00C63AB2"/>
    <w:rsid w:val="00C63B93"/>
    <w:rsid w:val="00C63C91"/>
    <w:rsid w:val="00C63ED2"/>
    <w:rsid w:val="00C64040"/>
    <w:rsid w:val="00C65A8C"/>
    <w:rsid w:val="00C6679E"/>
    <w:rsid w:val="00C674CE"/>
    <w:rsid w:val="00C6772E"/>
    <w:rsid w:val="00C67C90"/>
    <w:rsid w:val="00C703A8"/>
    <w:rsid w:val="00C70C02"/>
    <w:rsid w:val="00C70EA6"/>
    <w:rsid w:val="00C71FA9"/>
    <w:rsid w:val="00C73944"/>
    <w:rsid w:val="00C73A42"/>
    <w:rsid w:val="00C743FA"/>
    <w:rsid w:val="00C745D4"/>
    <w:rsid w:val="00C74891"/>
    <w:rsid w:val="00C74F6E"/>
    <w:rsid w:val="00C75B77"/>
    <w:rsid w:val="00C76B7D"/>
    <w:rsid w:val="00C77370"/>
    <w:rsid w:val="00C805BA"/>
    <w:rsid w:val="00C80C9E"/>
    <w:rsid w:val="00C81B25"/>
    <w:rsid w:val="00C828E8"/>
    <w:rsid w:val="00C828FD"/>
    <w:rsid w:val="00C83D2F"/>
    <w:rsid w:val="00C83DDD"/>
    <w:rsid w:val="00C844B4"/>
    <w:rsid w:val="00C84B06"/>
    <w:rsid w:val="00C84CBC"/>
    <w:rsid w:val="00C85147"/>
    <w:rsid w:val="00C85252"/>
    <w:rsid w:val="00C85CAE"/>
    <w:rsid w:val="00C86E2D"/>
    <w:rsid w:val="00C91A2E"/>
    <w:rsid w:val="00C91A56"/>
    <w:rsid w:val="00C91CD2"/>
    <w:rsid w:val="00C923A5"/>
    <w:rsid w:val="00C93637"/>
    <w:rsid w:val="00C94853"/>
    <w:rsid w:val="00C95073"/>
    <w:rsid w:val="00C95C0B"/>
    <w:rsid w:val="00C96833"/>
    <w:rsid w:val="00C978E2"/>
    <w:rsid w:val="00CA0673"/>
    <w:rsid w:val="00CA21DF"/>
    <w:rsid w:val="00CA2F11"/>
    <w:rsid w:val="00CA300B"/>
    <w:rsid w:val="00CA3AE5"/>
    <w:rsid w:val="00CA3B8F"/>
    <w:rsid w:val="00CA446A"/>
    <w:rsid w:val="00CA46B4"/>
    <w:rsid w:val="00CA4814"/>
    <w:rsid w:val="00CA4D10"/>
    <w:rsid w:val="00CA6456"/>
    <w:rsid w:val="00CA6507"/>
    <w:rsid w:val="00CA6C90"/>
    <w:rsid w:val="00CA7120"/>
    <w:rsid w:val="00CA77FF"/>
    <w:rsid w:val="00CB0664"/>
    <w:rsid w:val="00CB18E1"/>
    <w:rsid w:val="00CB2A9E"/>
    <w:rsid w:val="00CB2E26"/>
    <w:rsid w:val="00CB30D8"/>
    <w:rsid w:val="00CB4E4F"/>
    <w:rsid w:val="00CB5B8F"/>
    <w:rsid w:val="00CB6FC9"/>
    <w:rsid w:val="00CB7BB6"/>
    <w:rsid w:val="00CB7FED"/>
    <w:rsid w:val="00CC1092"/>
    <w:rsid w:val="00CC1CEE"/>
    <w:rsid w:val="00CC22C9"/>
    <w:rsid w:val="00CC25EC"/>
    <w:rsid w:val="00CC2D22"/>
    <w:rsid w:val="00CC3257"/>
    <w:rsid w:val="00CC39A1"/>
    <w:rsid w:val="00CC4341"/>
    <w:rsid w:val="00CC49D0"/>
    <w:rsid w:val="00CC51A2"/>
    <w:rsid w:val="00CC552C"/>
    <w:rsid w:val="00CC59FF"/>
    <w:rsid w:val="00CC6C85"/>
    <w:rsid w:val="00CC6DE9"/>
    <w:rsid w:val="00CC7FBE"/>
    <w:rsid w:val="00CD099E"/>
    <w:rsid w:val="00CD17F8"/>
    <w:rsid w:val="00CD3DAC"/>
    <w:rsid w:val="00CD3EAB"/>
    <w:rsid w:val="00CD43F7"/>
    <w:rsid w:val="00CD49AB"/>
    <w:rsid w:val="00CD50A9"/>
    <w:rsid w:val="00CD57CA"/>
    <w:rsid w:val="00CD6F4B"/>
    <w:rsid w:val="00CD7551"/>
    <w:rsid w:val="00CD7850"/>
    <w:rsid w:val="00CE0658"/>
    <w:rsid w:val="00CE273A"/>
    <w:rsid w:val="00CE2AFF"/>
    <w:rsid w:val="00CE2CC3"/>
    <w:rsid w:val="00CE407E"/>
    <w:rsid w:val="00CE4693"/>
    <w:rsid w:val="00CE4CF0"/>
    <w:rsid w:val="00CE558A"/>
    <w:rsid w:val="00CE5E1E"/>
    <w:rsid w:val="00CE6B70"/>
    <w:rsid w:val="00CE6B97"/>
    <w:rsid w:val="00CE76BD"/>
    <w:rsid w:val="00CE7FC2"/>
    <w:rsid w:val="00CF0245"/>
    <w:rsid w:val="00CF0A4E"/>
    <w:rsid w:val="00CF0F17"/>
    <w:rsid w:val="00CF1143"/>
    <w:rsid w:val="00CF1447"/>
    <w:rsid w:val="00CF36AB"/>
    <w:rsid w:val="00CF39AB"/>
    <w:rsid w:val="00CF4208"/>
    <w:rsid w:val="00CF47B2"/>
    <w:rsid w:val="00CF4A90"/>
    <w:rsid w:val="00CF5076"/>
    <w:rsid w:val="00CF5DDC"/>
    <w:rsid w:val="00CF69A2"/>
    <w:rsid w:val="00CF6DEC"/>
    <w:rsid w:val="00CF71CE"/>
    <w:rsid w:val="00CF72B0"/>
    <w:rsid w:val="00CF7B3A"/>
    <w:rsid w:val="00CF7DB6"/>
    <w:rsid w:val="00D01173"/>
    <w:rsid w:val="00D01275"/>
    <w:rsid w:val="00D01B36"/>
    <w:rsid w:val="00D033D9"/>
    <w:rsid w:val="00D04341"/>
    <w:rsid w:val="00D05B2B"/>
    <w:rsid w:val="00D05B55"/>
    <w:rsid w:val="00D06761"/>
    <w:rsid w:val="00D10114"/>
    <w:rsid w:val="00D109BA"/>
    <w:rsid w:val="00D11298"/>
    <w:rsid w:val="00D116C2"/>
    <w:rsid w:val="00D116FA"/>
    <w:rsid w:val="00D1193F"/>
    <w:rsid w:val="00D11E5C"/>
    <w:rsid w:val="00D11F9F"/>
    <w:rsid w:val="00D12851"/>
    <w:rsid w:val="00D12D6D"/>
    <w:rsid w:val="00D13C34"/>
    <w:rsid w:val="00D13ECB"/>
    <w:rsid w:val="00D146D7"/>
    <w:rsid w:val="00D14D53"/>
    <w:rsid w:val="00D15EC7"/>
    <w:rsid w:val="00D16115"/>
    <w:rsid w:val="00D163F7"/>
    <w:rsid w:val="00D16701"/>
    <w:rsid w:val="00D173B5"/>
    <w:rsid w:val="00D17446"/>
    <w:rsid w:val="00D176E2"/>
    <w:rsid w:val="00D17DB6"/>
    <w:rsid w:val="00D20B4D"/>
    <w:rsid w:val="00D20F11"/>
    <w:rsid w:val="00D20F85"/>
    <w:rsid w:val="00D21BD2"/>
    <w:rsid w:val="00D22420"/>
    <w:rsid w:val="00D224A0"/>
    <w:rsid w:val="00D22B42"/>
    <w:rsid w:val="00D2318C"/>
    <w:rsid w:val="00D23448"/>
    <w:rsid w:val="00D24813"/>
    <w:rsid w:val="00D248F0"/>
    <w:rsid w:val="00D25074"/>
    <w:rsid w:val="00D2566F"/>
    <w:rsid w:val="00D25CC6"/>
    <w:rsid w:val="00D2622E"/>
    <w:rsid w:val="00D26851"/>
    <w:rsid w:val="00D26A6F"/>
    <w:rsid w:val="00D26ECB"/>
    <w:rsid w:val="00D27891"/>
    <w:rsid w:val="00D308C9"/>
    <w:rsid w:val="00D3091A"/>
    <w:rsid w:val="00D309A6"/>
    <w:rsid w:val="00D31D8A"/>
    <w:rsid w:val="00D31E19"/>
    <w:rsid w:val="00D320F8"/>
    <w:rsid w:val="00D32FB9"/>
    <w:rsid w:val="00D334AD"/>
    <w:rsid w:val="00D336C4"/>
    <w:rsid w:val="00D339CF"/>
    <w:rsid w:val="00D33BFD"/>
    <w:rsid w:val="00D34A89"/>
    <w:rsid w:val="00D34F39"/>
    <w:rsid w:val="00D35486"/>
    <w:rsid w:val="00D355C8"/>
    <w:rsid w:val="00D35D7E"/>
    <w:rsid w:val="00D35E07"/>
    <w:rsid w:val="00D361FF"/>
    <w:rsid w:val="00D40539"/>
    <w:rsid w:val="00D405ED"/>
    <w:rsid w:val="00D41A00"/>
    <w:rsid w:val="00D433D5"/>
    <w:rsid w:val="00D44D2A"/>
    <w:rsid w:val="00D45515"/>
    <w:rsid w:val="00D472EB"/>
    <w:rsid w:val="00D475B5"/>
    <w:rsid w:val="00D47B28"/>
    <w:rsid w:val="00D47FCC"/>
    <w:rsid w:val="00D50CD5"/>
    <w:rsid w:val="00D515E7"/>
    <w:rsid w:val="00D51F38"/>
    <w:rsid w:val="00D5235D"/>
    <w:rsid w:val="00D52517"/>
    <w:rsid w:val="00D529A1"/>
    <w:rsid w:val="00D53451"/>
    <w:rsid w:val="00D540A1"/>
    <w:rsid w:val="00D57E82"/>
    <w:rsid w:val="00D618AC"/>
    <w:rsid w:val="00D62112"/>
    <w:rsid w:val="00D62345"/>
    <w:rsid w:val="00D62C47"/>
    <w:rsid w:val="00D63096"/>
    <w:rsid w:val="00D6339C"/>
    <w:rsid w:val="00D63FF4"/>
    <w:rsid w:val="00D64197"/>
    <w:rsid w:val="00D65304"/>
    <w:rsid w:val="00D653E5"/>
    <w:rsid w:val="00D66ACA"/>
    <w:rsid w:val="00D66B27"/>
    <w:rsid w:val="00D67BCC"/>
    <w:rsid w:val="00D718C1"/>
    <w:rsid w:val="00D724EA"/>
    <w:rsid w:val="00D725AB"/>
    <w:rsid w:val="00D7290F"/>
    <w:rsid w:val="00D7299C"/>
    <w:rsid w:val="00D731C0"/>
    <w:rsid w:val="00D73633"/>
    <w:rsid w:val="00D73695"/>
    <w:rsid w:val="00D74D54"/>
    <w:rsid w:val="00D75B68"/>
    <w:rsid w:val="00D75C91"/>
    <w:rsid w:val="00D764DD"/>
    <w:rsid w:val="00D7666E"/>
    <w:rsid w:val="00D76715"/>
    <w:rsid w:val="00D76A61"/>
    <w:rsid w:val="00D770C3"/>
    <w:rsid w:val="00D772FF"/>
    <w:rsid w:val="00D77417"/>
    <w:rsid w:val="00D776C5"/>
    <w:rsid w:val="00D80EF0"/>
    <w:rsid w:val="00D83128"/>
    <w:rsid w:val="00D832B4"/>
    <w:rsid w:val="00D83869"/>
    <w:rsid w:val="00D840B1"/>
    <w:rsid w:val="00D84BDF"/>
    <w:rsid w:val="00D853C0"/>
    <w:rsid w:val="00D85594"/>
    <w:rsid w:val="00D85BE0"/>
    <w:rsid w:val="00D8639E"/>
    <w:rsid w:val="00D874E5"/>
    <w:rsid w:val="00D87A23"/>
    <w:rsid w:val="00D906D3"/>
    <w:rsid w:val="00D91099"/>
    <w:rsid w:val="00D914EF"/>
    <w:rsid w:val="00D91817"/>
    <w:rsid w:val="00D91907"/>
    <w:rsid w:val="00D92E24"/>
    <w:rsid w:val="00D94344"/>
    <w:rsid w:val="00D952B3"/>
    <w:rsid w:val="00D95AD6"/>
    <w:rsid w:val="00D95BF4"/>
    <w:rsid w:val="00D95DE2"/>
    <w:rsid w:val="00D95F48"/>
    <w:rsid w:val="00D961C8"/>
    <w:rsid w:val="00D9664E"/>
    <w:rsid w:val="00D96CE2"/>
    <w:rsid w:val="00D96CFD"/>
    <w:rsid w:val="00D96F83"/>
    <w:rsid w:val="00DA027E"/>
    <w:rsid w:val="00DA092C"/>
    <w:rsid w:val="00DA09B1"/>
    <w:rsid w:val="00DA2227"/>
    <w:rsid w:val="00DA3935"/>
    <w:rsid w:val="00DA4838"/>
    <w:rsid w:val="00DA4BB5"/>
    <w:rsid w:val="00DA53E7"/>
    <w:rsid w:val="00DA555B"/>
    <w:rsid w:val="00DA56C5"/>
    <w:rsid w:val="00DA5B5C"/>
    <w:rsid w:val="00DA5C61"/>
    <w:rsid w:val="00DA5D5D"/>
    <w:rsid w:val="00DA63EC"/>
    <w:rsid w:val="00DA640A"/>
    <w:rsid w:val="00DB116F"/>
    <w:rsid w:val="00DB1383"/>
    <w:rsid w:val="00DB190F"/>
    <w:rsid w:val="00DB1B2F"/>
    <w:rsid w:val="00DB2631"/>
    <w:rsid w:val="00DB35EE"/>
    <w:rsid w:val="00DB3682"/>
    <w:rsid w:val="00DB3CD2"/>
    <w:rsid w:val="00DB455F"/>
    <w:rsid w:val="00DB45D0"/>
    <w:rsid w:val="00DB4C02"/>
    <w:rsid w:val="00DB4C57"/>
    <w:rsid w:val="00DB51C3"/>
    <w:rsid w:val="00DB5B20"/>
    <w:rsid w:val="00DB5F48"/>
    <w:rsid w:val="00DB61EA"/>
    <w:rsid w:val="00DB652C"/>
    <w:rsid w:val="00DB725D"/>
    <w:rsid w:val="00DB7669"/>
    <w:rsid w:val="00DC101E"/>
    <w:rsid w:val="00DC1682"/>
    <w:rsid w:val="00DC1B97"/>
    <w:rsid w:val="00DC1BEF"/>
    <w:rsid w:val="00DC2AE4"/>
    <w:rsid w:val="00DC31E1"/>
    <w:rsid w:val="00DC3355"/>
    <w:rsid w:val="00DC3B97"/>
    <w:rsid w:val="00DC4751"/>
    <w:rsid w:val="00DC55AD"/>
    <w:rsid w:val="00DC59A8"/>
    <w:rsid w:val="00DC613F"/>
    <w:rsid w:val="00DC6BFB"/>
    <w:rsid w:val="00DC76C2"/>
    <w:rsid w:val="00DD0052"/>
    <w:rsid w:val="00DD05E9"/>
    <w:rsid w:val="00DD0C81"/>
    <w:rsid w:val="00DD1249"/>
    <w:rsid w:val="00DD1ED0"/>
    <w:rsid w:val="00DD25F0"/>
    <w:rsid w:val="00DD267F"/>
    <w:rsid w:val="00DD3C15"/>
    <w:rsid w:val="00DD4479"/>
    <w:rsid w:val="00DD4746"/>
    <w:rsid w:val="00DD47EA"/>
    <w:rsid w:val="00DD4906"/>
    <w:rsid w:val="00DD4AB6"/>
    <w:rsid w:val="00DD4BEF"/>
    <w:rsid w:val="00DD531F"/>
    <w:rsid w:val="00DD569F"/>
    <w:rsid w:val="00DD5B9B"/>
    <w:rsid w:val="00DD5F7B"/>
    <w:rsid w:val="00DD63BF"/>
    <w:rsid w:val="00DD63CC"/>
    <w:rsid w:val="00DD655D"/>
    <w:rsid w:val="00DD6BA4"/>
    <w:rsid w:val="00DD7277"/>
    <w:rsid w:val="00DD774A"/>
    <w:rsid w:val="00DD7CB0"/>
    <w:rsid w:val="00DD7FAA"/>
    <w:rsid w:val="00DE1C4B"/>
    <w:rsid w:val="00DE1D2E"/>
    <w:rsid w:val="00DE2C96"/>
    <w:rsid w:val="00DE2E83"/>
    <w:rsid w:val="00DE3636"/>
    <w:rsid w:val="00DE3949"/>
    <w:rsid w:val="00DE3D7F"/>
    <w:rsid w:val="00DE4D90"/>
    <w:rsid w:val="00DE52E9"/>
    <w:rsid w:val="00DE622E"/>
    <w:rsid w:val="00DE6365"/>
    <w:rsid w:val="00DE6A54"/>
    <w:rsid w:val="00DE6AEE"/>
    <w:rsid w:val="00DE6F3A"/>
    <w:rsid w:val="00DE70CB"/>
    <w:rsid w:val="00DF1507"/>
    <w:rsid w:val="00DF2604"/>
    <w:rsid w:val="00DF28BE"/>
    <w:rsid w:val="00DF290F"/>
    <w:rsid w:val="00DF2B7D"/>
    <w:rsid w:val="00DF3727"/>
    <w:rsid w:val="00DF37AD"/>
    <w:rsid w:val="00DF3984"/>
    <w:rsid w:val="00DF3F1A"/>
    <w:rsid w:val="00DF502A"/>
    <w:rsid w:val="00DF637B"/>
    <w:rsid w:val="00DF6600"/>
    <w:rsid w:val="00DF691B"/>
    <w:rsid w:val="00DF6DA8"/>
    <w:rsid w:val="00E00189"/>
    <w:rsid w:val="00E01CF8"/>
    <w:rsid w:val="00E030CF"/>
    <w:rsid w:val="00E0388A"/>
    <w:rsid w:val="00E03B11"/>
    <w:rsid w:val="00E0549B"/>
    <w:rsid w:val="00E05B71"/>
    <w:rsid w:val="00E0656A"/>
    <w:rsid w:val="00E0754A"/>
    <w:rsid w:val="00E07A38"/>
    <w:rsid w:val="00E106CB"/>
    <w:rsid w:val="00E10CB3"/>
    <w:rsid w:val="00E10DAE"/>
    <w:rsid w:val="00E11091"/>
    <w:rsid w:val="00E129F1"/>
    <w:rsid w:val="00E13BBC"/>
    <w:rsid w:val="00E143A0"/>
    <w:rsid w:val="00E145A4"/>
    <w:rsid w:val="00E14814"/>
    <w:rsid w:val="00E14AED"/>
    <w:rsid w:val="00E15389"/>
    <w:rsid w:val="00E1542B"/>
    <w:rsid w:val="00E15930"/>
    <w:rsid w:val="00E15956"/>
    <w:rsid w:val="00E15B83"/>
    <w:rsid w:val="00E1632D"/>
    <w:rsid w:val="00E164B5"/>
    <w:rsid w:val="00E16DDF"/>
    <w:rsid w:val="00E1703F"/>
    <w:rsid w:val="00E21156"/>
    <w:rsid w:val="00E21269"/>
    <w:rsid w:val="00E21B0F"/>
    <w:rsid w:val="00E220A1"/>
    <w:rsid w:val="00E2289A"/>
    <w:rsid w:val="00E23172"/>
    <w:rsid w:val="00E243BF"/>
    <w:rsid w:val="00E2614B"/>
    <w:rsid w:val="00E26225"/>
    <w:rsid w:val="00E26C3F"/>
    <w:rsid w:val="00E27622"/>
    <w:rsid w:val="00E27961"/>
    <w:rsid w:val="00E27FA0"/>
    <w:rsid w:val="00E31A48"/>
    <w:rsid w:val="00E32090"/>
    <w:rsid w:val="00E32655"/>
    <w:rsid w:val="00E337E0"/>
    <w:rsid w:val="00E33A4E"/>
    <w:rsid w:val="00E33BD2"/>
    <w:rsid w:val="00E33FD0"/>
    <w:rsid w:val="00E34077"/>
    <w:rsid w:val="00E3447D"/>
    <w:rsid w:val="00E40F5C"/>
    <w:rsid w:val="00E4212C"/>
    <w:rsid w:val="00E42759"/>
    <w:rsid w:val="00E42A37"/>
    <w:rsid w:val="00E439A7"/>
    <w:rsid w:val="00E44DEF"/>
    <w:rsid w:val="00E44F04"/>
    <w:rsid w:val="00E44FA3"/>
    <w:rsid w:val="00E45807"/>
    <w:rsid w:val="00E45F58"/>
    <w:rsid w:val="00E46B4C"/>
    <w:rsid w:val="00E47037"/>
    <w:rsid w:val="00E476D5"/>
    <w:rsid w:val="00E502DC"/>
    <w:rsid w:val="00E508F8"/>
    <w:rsid w:val="00E50CCB"/>
    <w:rsid w:val="00E5126C"/>
    <w:rsid w:val="00E51270"/>
    <w:rsid w:val="00E5152D"/>
    <w:rsid w:val="00E517DE"/>
    <w:rsid w:val="00E518EA"/>
    <w:rsid w:val="00E51B4B"/>
    <w:rsid w:val="00E51C87"/>
    <w:rsid w:val="00E51D6A"/>
    <w:rsid w:val="00E51FA8"/>
    <w:rsid w:val="00E526DD"/>
    <w:rsid w:val="00E529A4"/>
    <w:rsid w:val="00E52A99"/>
    <w:rsid w:val="00E52C54"/>
    <w:rsid w:val="00E52F76"/>
    <w:rsid w:val="00E5386D"/>
    <w:rsid w:val="00E55852"/>
    <w:rsid w:val="00E55E6B"/>
    <w:rsid w:val="00E55FE9"/>
    <w:rsid w:val="00E57639"/>
    <w:rsid w:val="00E57DC3"/>
    <w:rsid w:val="00E60100"/>
    <w:rsid w:val="00E61DA5"/>
    <w:rsid w:val="00E63813"/>
    <w:rsid w:val="00E6397A"/>
    <w:rsid w:val="00E63A19"/>
    <w:rsid w:val="00E641B4"/>
    <w:rsid w:val="00E65675"/>
    <w:rsid w:val="00E6683B"/>
    <w:rsid w:val="00E66938"/>
    <w:rsid w:val="00E6693B"/>
    <w:rsid w:val="00E66C53"/>
    <w:rsid w:val="00E67435"/>
    <w:rsid w:val="00E70134"/>
    <w:rsid w:val="00E71BAA"/>
    <w:rsid w:val="00E72673"/>
    <w:rsid w:val="00E738E2"/>
    <w:rsid w:val="00E73A05"/>
    <w:rsid w:val="00E73D67"/>
    <w:rsid w:val="00E748F6"/>
    <w:rsid w:val="00E74A30"/>
    <w:rsid w:val="00E75881"/>
    <w:rsid w:val="00E77279"/>
    <w:rsid w:val="00E777DD"/>
    <w:rsid w:val="00E77FC4"/>
    <w:rsid w:val="00E80007"/>
    <w:rsid w:val="00E80932"/>
    <w:rsid w:val="00E80DE6"/>
    <w:rsid w:val="00E80F72"/>
    <w:rsid w:val="00E824FC"/>
    <w:rsid w:val="00E83414"/>
    <w:rsid w:val="00E83A23"/>
    <w:rsid w:val="00E846E9"/>
    <w:rsid w:val="00E84F79"/>
    <w:rsid w:val="00E851E0"/>
    <w:rsid w:val="00E8578C"/>
    <w:rsid w:val="00E85ED3"/>
    <w:rsid w:val="00E85F5B"/>
    <w:rsid w:val="00E861AD"/>
    <w:rsid w:val="00E867AF"/>
    <w:rsid w:val="00E86D36"/>
    <w:rsid w:val="00E9006A"/>
    <w:rsid w:val="00E9097F"/>
    <w:rsid w:val="00E911C5"/>
    <w:rsid w:val="00E91208"/>
    <w:rsid w:val="00E915D0"/>
    <w:rsid w:val="00E91C4C"/>
    <w:rsid w:val="00E91C55"/>
    <w:rsid w:val="00E92D63"/>
    <w:rsid w:val="00E93665"/>
    <w:rsid w:val="00E93B7E"/>
    <w:rsid w:val="00E9464C"/>
    <w:rsid w:val="00E95081"/>
    <w:rsid w:val="00E95BA0"/>
    <w:rsid w:val="00E96C23"/>
    <w:rsid w:val="00E97202"/>
    <w:rsid w:val="00E972D4"/>
    <w:rsid w:val="00E97FF8"/>
    <w:rsid w:val="00EA03B6"/>
    <w:rsid w:val="00EA07A2"/>
    <w:rsid w:val="00EA09E7"/>
    <w:rsid w:val="00EA0D85"/>
    <w:rsid w:val="00EA1A28"/>
    <w:rsid w:val="00EA233A"/>
    <w:rsid w:val="00EA372F"/>
    <w:rsid w:val="00EA509A"/>
    <w:rsid w:val="00EA5CED"/>
    <w:rsid w:val="00EA6155"/>
    <w:rsid w:val="00EA62D1"/>
    <w:rsid w:val="00EA6951"/>
    <w:rsid w:val="00EA6B9F"/>
    <w:rsid w:val="00EA71A0"/>
    <w:rsid w:val="00EA7AC0"/>
    <w:rsid w:val="00EB1672"/>
    <w:rsid w:val="00EB1EBB"/>
    <w:rsid w:val="00EB32C2"/>
    <w:rsid w:val="00EB341A"/>
    <w:rsid w:val="00EB3E8E"/>
    <w:rsid w:val="00EB6791"/>
    <w:rsid w:val="00EB6D2F"/>
    <w:rsid w:val="00EB74A0"/>
    <w:rsid w:val="00EC00A1"/>
    <w:rsid w:val="00EC03AC"/>
    <w:rsid w:val="00EC0DA3"/>
    <w:rsid w:val="00EC1493"/>
    <w:rsid w:val="00EC1E9F"/>
    <w:rsid w:val="00EC251E"/>
    <w:rsid w:val="00EC2854"/>
    <w:rsid w:val="00EC29BD"/>
    <w:rsid w:val="00EC2AAC"/>
    <w:rsid w:val="00EC38E4"/>
    <w:rsid w:val="00EC3BB8"/>
    <w:rsid w:val="00EC59C2"/>
    <w:rsid w:val="00EC6035"/>
    <w:rsid w:val="00EC727C"/>
    <w:rsid w:val="00EC79B7"/>
    <w:rsid w:val="00ED06EF"/>
    <w:rsid w:val="00ED129D"/>
    <w:rsid w:val="00ED1A43"/>
    <w:rsid w:val="00ED1BDF"/>
    <w:rsid w:val="00ED3363"/>
    <w:rsid w:val="00ED452F"/>
    <w:rsid w:val="00ED4C0B"/>
    <w:rsid w:val="00ED572A"/>
    <w:rsid w:val="00EE042B"/>
    <w:rsid w:val="00EE1477"/>
    <w:rsid w:val="00EE17AC"/>
    <w:rsid w:val="00EE1AF6"/>
    <w:rsid w:val="00EE26C4"/>
    <w:rsid w:val="00EE2763"/>
    <w:rsid w:val="00EE3837"/>
    <w:rsid w:val="00EE3B05"/>
    <w:rsid w:val="00EE56B7"/>
    <w:rsid w:val="00EE5D43"/>
    <w:rsid w:val="00EE632B"/>
    <w:rsid w:val="00EE6AF5"/>
    <w:rsid w:val="00EF008C"/>
    <w:rsid w:val="00EF015D"/>
    <w:rsid w:val="00EF0729"/>
    <w:rsid w:val="00EF0C07"/>
    <w:rsid w:val="00EF279A"/>
    <w:rsid w:val="00EF2AEE"/>
    <w:rsid w:val="00EF2F46"/>
    <w:rsid w:val="00EF3603"/>
    <w:rsid w:val="00EF3F05"/>
    <w:rsid w:val="00EF3FD9"/>
    <w:rsid w:val="00EF4DFB"/>
    <w:rsid w:val="00EF50E9"/>
    <w:rsid w:val="00EF60FF"/>
    <w:rsid w:val="00EF7095"/>
    <w:rsid w:val="00EF7196"/>
    <w:rsid w:val="00EF724A"/>
    <w:rsid w:val="00EF7E30"/>
    <w:rsid w:val="00F003B7"/>
    <w:rsid w:val="00F00904"/>
    <w:rsid w:val="00F009FA"/>
    <w:rsid w:val="00F011C8"/>
    <w:rsid w:val="00F012A8"/>
    <w:rsid w:val="00F0349D"/>
    <w:rsid w:val="00F03BB6"/>
    <w:rsid w:val="00F046EE"/>
    <w:rsid w:val="00F04A9C"/>
    <w:rsid w:val="00F05776"/>
    <w:rsid w:val="00F06D02"/>
    <w:rsid w:val="00F07938"/>
    <w:rsid w:val="00F07973"/>
    <w:rsid w:val="00F07CEC"/>
    <w:rsid w:val="00F100F1"/>
    <w:rsid w:val="00F103EE"/>
    <w:rsid w:val="00F10BE7"/>
    <w:rsid w:val="00F10C50"/>
    <w:rsid w:val="00F126F4"/>
    <w:rsid w:val="00F135A1"/>
    <w:rsid w:val="00F13CA8"/>
    <w:rsid w:val="00F14094"/>
    <w:rsid w:val="00F1423B"/>
    <w:rsid w:val="00F147B1"/>
    <w:rsid w:val="00F15709"/>
    <w:rsid w:val="00F15E4D"/>
    <w:rsid w:val="00F16298"/>
    <w:rsid w:val="00F163A9"/>
    <w:rsid w:val="00F1769C"/>
    <w:rsid w:val="00F17864"/>
    <w:rsid w:val="00F20145"/>
    <w:rsid w:val="00F201E9"/>
    <w:rsid w:val="00F203DF"/>
    <w:rsid w:val="00F20669"/>
    <w:rsid w:val="00F20843"/>
    <w:rsid w:val="00F20E71"/>
    <w:rsid w:val="00F2121B"/>
    <w:rsid w:val="00F221AA"/>
    <w:rsid w:val="00F22F95"/>
    <w:rsid w:val="00F23858"/>
    <w:rsid w:val="00F23B3A"/>
    <w:rsid w:val="00F24310"/>
    <w:rsid w:val="00F245C1"/>
    <w:rsid w:val="00F25027"/>
    <w:rsid w:val="00F25606"/>
    <w:rsid w:val="00F25829"/>
    <w:rsid w:val="00F25A24"/>
    <w:rsid w:val="00F25CFE"/>
    <w:rsid w:val="00F2608C"/>
    <w:rsid w:val="00F26217"/>
    <w:rsid w:val="00F2629E"/>
    <w:rsid w:val="00F26C49"/>
    <w:rsid w:val="00F27248"/>
    <w:rsid w:val="00F2739D"/>
    <w:rsid w:val="00F276EA"/>
    <w:rsid w:val="00F27970"/>
    <w:rsid w:val="00F30801"/>
    <w:rsid w:val="00F30AAF"/>
    <w:rsid w:val="00F30B89"/>
    <w:rsid w:val="00F30E5A"/>
    <w:rsid w:val="00F313AE"/>
    <w:rsid w:val="00F323DC"/>
    <w:rsid w:val="00F32EE4"/>
    <w:rsid w:val="00F32F83"/>
    <w:rsid w:val="00F332E3"/>
    <w:rsid w:val="00F334BD"/>
    <w:rsid w:val="00F34235"/>
    <w:rsid w:val="00F34709"/>
    <w:rsid w:val="00F34A5F"/>
    <w:rsid w:val="00F35C5A"/>
    <w:rsid w:val="00F35F89"/>
    <w:rsid w:val="00F36444"/>
    <w:rsid w:val="00F37269"/>
    <w:rsid w:val="00F37925"/>
    <w:rsid w:val="00F37B03"/>
    <w:rsid w:val="00F37C30"/>
    <w:rsid w:val="00F40738"/>
    <w:rsid w:val="00F40859"/>
    <w:rsid w:val="00F41A0B"/>
    <w:rsid w:val="00F41ADD"/>
    <w:rsid w:val="00F42D5F"/>
    <w:rsid w:val="00F4391C"/>
    <w:rsid w:val="00F43D33"/>
    <w:rsid w:val="00F441F2"/>
    <w:rsid w:val="00F44BB2"/>
    <w:rsid w:val="00F45428"/>
    <w:rsid w:val="00F4542A"/>
    <w:rsid w:val="00F460C3"/>
    <w:rsid w:val="00F46368"/>
    <w:rsid w:val="00F46877"/>
    <w:rsid w:val="00F46FBE"/>
    <w:rsid w:val="00F5049E"/>
    <w:rsid w:val="00F508BE"/>
    <w:rsid w:val="00F50C68"/>
    <w:rsid w:val="00F510D8"/>
    <w:rsid w:val="00F51FB0"/>
    <w:rsid w:val="00F530EB"/>
    <w:rsid w:val="00F53F5A"/>
    <w:rsid w:val="00F5532C"/>
    <w:rsid w:val="00F55547"/>
    <w:rsid w:val="00F55C71"/>
    <w:rsid w:val="00F56241"/>
    <w:rsid w:val="00F562C1"/>
    <w:rsid w:val="00F56F2A"/>
    <w:rsid w:val="00F57B2C"/>
    <w:rsid w:val="00F57C0C"/>
    <w:rsid w:val="00F60837"/>
    <w:rsid w:val="00F60D27"/>
    <w:rsid w:val="00F60E18"/>
    <w:rsid w:val="00F60F93"/>
    <w:rsid w:val="00F61138"/>
    <w:rsid w:val="00F61752"/>
    <w:rsid w:val="00F61F16"/>
    <w:rsid w:val="00F62982"/>
    <w:rsid w:val="00F62EBA"/>
    <w:rsid w:val="00F63417"/>
    <w:rsid w:val="00F63625"/>
    <w:rsid w:val="00F64B5E"/>
    <w:rsid w:val="00F64BB1"/>
    <w:rsid w:val="00F64F44"/>
    <w:rsid w:val="00F64F4F"/>
    <w:rsid w:val="00F64F61"/>
    <w:rsid w:val="00F65441"/>
    <w:rsid w:val="00F65733"/>
    <w:rsid w:val="00F6595F"/>
    <w:rsid w:val="00F65D97"/>
    <w:rsid w:val="00F669E0"/>
    <w:rsid w:val="00F6780C"/>
    <w:rsid w:val="00F70111"/>
    <w:rsid w:val="00F705F2"/>
    <w:rsid w:val="00F70BB7"/>
    <w:rsid w:val="00F71173"/>
    <w:rsid w:val="00F715C6"/>
    <w:rsid w:val="00F717FE"/>
    <w:rsid w:val="00F71919"/>
    <w:rsid w:val="00F71A1C"/>
    <w:rsid w:val="00F7281F"/>
    <w:rsid w:val="00F72C71"/>
    <w:rsid w:val="00F74A62"/>
    <w:rsid w:val="00F75404"/>
    <w:rsid w:val="00F76072"/>
    <w:rsid w:val="00F77773"/>
    <w:rsid w:val="00F77A5A"/>
    <w:rsid w:val="00F77FD5"/>
    <w:rsid w:val="00F80027"/>
    <w:rsid w:val="00F8012B"/>
    <w:rsid w:val="00F80486"/>
    <w:rsid w:val="00F80F0C"/>
    <w:rsid w:val="00F8141D"/>
    <w:rsid w:val="00F8205B"/>
    <w:rsid w:val="00F837B7"/>
    <w:rsid w:val="00F83AF1"/>
    <w:rsid w:val="00F84698"/>
    <w:rsid w:val="00F84B42"/>
    <w:rsid w:val="00F85347"/>
    <w:rsid w:val="00F858DA"/>
    <w:rsid w:val="00F85CCF"/>
    <w:rsid w:val="00F85EC2"/>
    <w:rsid w:val="00F864B8"/>
    <w:rsid w:val="00F86B59"/>
    <w:rsid w:val="00F86C03"/>
    <w:rsid w:val="00F8707E"/>
    <w:rsid w:val="00F874C2"/>
    <w:rsid w:val="00F87734"/>
    <w:rsid w:val="00F87EBE"/>
    <w:rsid w:val="00F90642"/>
    <w:rsid w:val="00F90741"/>
    <w:rsid w:val="00F90857"/>
    <w:rsid w:val="00F920C3"/>
    <w:rsid w:val="00F931B2"/>
    <w:rsid w:val="00F9331F"/>
    <w:rsid w:val="00F9391C"/>
    <w:rsid w:val="00F9437F"/>
    <w:rsid w:val="00F962DB"/>
    <w:rsid w:val="00F97417"/>
    <w:rsid w:val="00F979B9"/>
    <w:rsid w:val="00FA12F1"/>
    <w:rsid w:val="00FA1DCD"/>
    <w:rsid w:val="00FA257B"/>
    <w:rsid w:val="00FA311E"/>
    <w:rsid w:val="00FA553E"/>
    <w:rsid w:val="00FA567A"/>
    <w:rsid w:val="00FA5AB7"/>
    <w:rsid w:val="00FA6137"/>
    <w:rsid w:val="00FA6419"/>
    <w:rsid w:val="00FA684A"/>
    <w:rsid w:val="00FA6910"/>
    <w:rsid w:val="00FA6D9C"/>
    <w:rsid w:val="00FA71D3"/>
    <w:rsid w:val="00FA761E"/>
    <w:rsid w:val="00FB092C"/>
    <w:rsid w:val="00FB0C39"/>
    <w:rsid w:val="00FB0E48"/>
    <w:rsid w:val="00FB10A1"/>
    <w:rsid w:val="00FB10E8"/>
    <w:rsid w:val="00FB2AF4"/>
    <w:rsid w:val="00FB2D41"/>
    <w:rsid w:val="00FB30DF"/>
    <w:rsid w:val="00FB39F1"/>
    <w:rsid w:val="00FB42A1"/>
    <w:rsid w:val="00FB4998"/>
    <w:rsid w:val="00FB5B61"/>
    <w:rsid w:val="00FB5F06"/>
    <w:rsid w:val="00FB6324"/>
    <w:rsid w:val="00FB6772"/>
    <w:rsid w:val="00FB78B8"/>
    <w:rsid w:val="00FB7B1E"/>
    <w:rsid w:val="00FC0285"/>
    <w:rsid w:val="00FC10F3"/>
    <w:rsid w:val="00FC1C43"/>
    <w:rsid w:val="00FC1D34"/>
    <w:rsid w:val="00FC22D4"/>
    <w:rsid w:val="00FC260C"/>
    <w:rsid w:val="00FC2780"/>
    <w:rsid w:val="00FC29DC"/>
    <w:rsid w:val="00FC2C3E"/>
    <w:rsid w:val="00FC3740"/>
    <w:rsid w:val="00FC39C5"/>
    <w:rsid w:val="00FC3AEF"/>
    <w:rsid w:val="00FC3C92"/>
    <w:rsid w:val="00FC493A"/>
    <w:rsid w:val="00FC4BBE"/>
    <w:rsid w:val="00FC4BC3"/>
    <w:rsid w:val="00FC4F32"/>
    <w:rsid w:val="00FC545C"/>
    <w:rsid w:val="00FC55B2"/>
    <w:rsid w:val="00FC5EC6"/>
    <w:rsid w:val="00FC605F"/>
    <w:rsid w:val="00FC62CF"/>
    <w:rsid w:val="00FC6737"/>
    <w:rsid w:val="00FC6C35"/>
    <w:rsid w:val="00FC6F59"/>
    <w:rsid w:val="00FC716E"/>
    <w:rsid w:val="00FC7192"/>
    <w:rsid w:val="00FC71C6"/>
    <w:rsid w:val="00FC784D"/>
    <w:rsid w:val="00FC7DBC"/>
    <w:rsid w:val="00FC7F74"/>
    <w:rsid w:val="00FD00D7"/>
    <w:rsid w:val="00FD0912"/>
    <w:rsid w:val="00FD17D6"/>
    <w:rsid w:val="00FD3872"/>
    <w:rsid w:val="00FD39A6"/>
    <w:rsid w:val="00FD439E"/>
    <w:rsid w:val="00FD486E"/>
    <w:rsid w:val="00FD4EE1"/>
    <w:rsid w:val="00FD5B64"/>
    <w:rsid w:val="00FD63AC"/>
    <w:rsid w:val="00FD6597"/>
    <w:rsid w:val="00FD6FC6"/>
    <w:rsid w:val="00FD7DA2"/>
    <w:rsid w:val="00FE01AC"/>
    <w:rsid w:val="00FE03FC"/>
    <w:rsid w:val="00FE04D1"/>
    <w:rsid w:val="00FE219D"/>
    <w:rsid w:val="00FE2B0A"/>
    <w:rsid w:val="00FE4B6D"/>
    <w:rsid w:val="00FE4E0F"/>
    <w:rsid w:val="00FE5840"/>
    <w:rsid w:val="00FE5AF2"/>
    <w:rsid w:val="00FE667D"/>
    <w:rsid w:val="00FE6D7D"/>
    <w:rsid w:val="00FE7A83"/>
    <w:rsid w:val="00FF0B6F"/>
    <w:rsid w:val="00FF1450"/>
    <w:rsid w:val="00FF16C3"/>
    <w:rsid w:val="00FF1790"/>
    <w:rsid w:val="00FF1C08"/>
    <w:rsid w:val="00FF4110"/>
    <w:rsid w:val="00FF4F64"/>
    <w:rsid w:val="00FF5074"/>
    <w:rsid w:val="00FF5F99"/>
    <w:rsid w:val="00FF61F8"/>
    <w:rsid w:val="00FF6BAE"/>
    <w:rsid w:val="00FF7177"/>
    <w:rsid w:val="00FF7B81"/>
    <w:rsid w:val="016043AA"/>
    <w:rsid w:val="01785B98"/>
    <w:rsid w:val="018C33F1"/>
    <w:rsid w:val="019E4ED3"/>
    <w:rsid w:val="01B97F5E"/>
    <w:rsid w:val="01CB2A7B"/>
    <w:rsid w:val="01DF79C5"/>
    <w:rsid w:val="02072A78"/>
    <w:rsid w:val="0213141D"/>
    <w:rsid w:val="02247ACE"/>
    <w:rsid w:val="028265A2"/>
    <w:rsid w:val="02B7624C"/>
    <w:rsid w:val="02BA3F8E"/>
    <w:rsid w:val="02C10FFE"/>
    <w:rsid w:val="02C941D1"/>
    <w:rsid w:val="02E1151B"/>
    <w:rsid w:val="02EF1E8A"/>
    <w:rsid w:val="02F474A0"/>
    <w:rsid w:val="02F54FC6"/>
    <w:rsid w:val="02F70D3E"/>
    <w:rsid w:val="02FE2801"/>
    <w:rsid w:val="03164F8E"/>
    <w:rsid w:val="032D29B2"/>
    <w:rsid w:val="03362040"/>
    <w:rsid w:val="034D095E"/>
    <w:rsid w:val="035E0DBD"/>
    <w:rsid w:val="03710AF1"/>
    <w:rsid w:val="037C1244"/>
    <w:rsid w:val="039B3DC0"/>
    <w:rsid w:val="03B60BF9"/>
    <w:rsid w:val="03CE7CF1"/>
    <w:rsid w:val="03CF5817"/>
    <w:rsid w:val="03F92894"/>
    <w:rsid w:val="04082AD7"/>
    <w:rsid w:val="04357D70"/>
    <w:rsid w:val="04402271"/>
    <w:rsid w:val="045126D0"/>
    <w:rsid w:val="04610B65"/>
    <w:rsid w:val="04697A1A"/>
    <w:rsid w:val="049031F8"/>
    <w:rsid w:val="04F27A0F"/>
    <w:rsid w:val="050277A1"/>
    <w:rsid w:val="053578FC"/>
    <w:rsid w:val="05482F5D"/>
    <w:rsid w:val="055661F0"/>
    <w:rsid w:val="056B1570"/>
    <w:rsid w:val="05726DA2"/>
    <w:rsid w:val="05917228"/>
    <w:rsid w:val="05A36F5B"/>
    <w:rsid w:val="05AF2477"/>
    <w:rsid w:val="05D11D1B"/>
    <w:rsid w:val="05F23A3F"/>
    <w:rsid w:val="05F477B7"/>
    <w:rsid w:val="05FD2B10"/>
    <w:rsid w:val="0624009C"/>
    <w:rsid w:val="06587D46"/>
    <w:rsid w:val="067D5AF4"/>
    <w:rsid w:val="06936FD0"/>
    <w:rsid w:val="069D7E4F"/>
    <w:rsid w:val="06E45A7E"/>
    <w:rsid w:val="06FC2DC7"/>
    <w:rsid w:val="070B125C"/>
    <w:rsid w:val="071963AC"/>
    <w:rsid w:val="07213011"/>
    <w:rsid w:val="074D53D1"/>
    <w:rsid w:val="075203AA"/>
    <w:rsid w:val="07610E7C"/>
    <w:rsid w:val="077E558A"/>
    <w:rsid w:val="077E5A16"/>
    <w:rsid w:val="078443B5"/>
    <w:rsid w:val="078B7CA7"/>
    <w:rsid w:val="079A613C"/>
    <w:rsid w:val="079C2D8A"/>
    <w:rsid w:val="07C5140B"/>
    <w:rsid w:val="07E37AE3"/>
    <w:rsid w:val="07ED0962"/>
    <w:rsid w:val="08204893"/>
    <w:rsid w:val="08275C22"/>
    <w:rsid w:val="087150EF"/>
    <w:rsid w:val="088272FC"/>
    <w:rsid w:val="08A76D63"/>
    <w:rsid w:val="08B96F5C"/>
    <w:rsid w:val="08BA4CE8"/>
    <w:rsid w:val="08C6543B"/>
    <w:rsid w:val="08E9737B"/>
    <w:rsid w:val="08FD2E27"/>
    <w:rsid w:val="09151F1E"/>
    <w:rsid w:val="093F343F"/>
    <w:rsid w:val="093F6F9B"/>
    <w:rsid w:val="0955033B"/>
    <w:rsid w:val="095962AF"/>
    <w:rsid w:val="098826F0"/>
    <w:rsid w:val="09B554AF"/>
    <w:rsid w:val="09F14739"/>
    <w:rsid w:val="09F77876"/>
    <w:rsid w:val="0A083831"/>
    <w:rsid w:val="0A0F4BBF"/>
    <w:rsid w:val="0A171CC6"/>
    <w:rsid w:val="0A187F18"/>
    <w:rsid w:val="0A285C81"/>
    <w:rsid w:val="0A4C5E14"/>
    <w:rsid w:val="0A621193"/>
    <w:rsid w:val="0AC534D0"/>
    <w:rsid w:val="0AF049F1"/>
    <w:rsid w:val="0B077F8D"/>
    <w:rsid w:val="0B1306DF"/>
    <w:rsid w:val="0B534F80"/>
    <w:rsid w:val="0B550CF8"/>
    <w:rsid w:val="0B6158EF"/>
    <w:rsid w:val="0B835865"/>
    <w:rsid w:val="0B995089"/>
    <w:rsid w:val="0C2F6D4B"/>
    <w:rsid w:val="0CC06645"/>
    <w:rsid w:val="0CDD0FA5"/>
    <w:rsid w:val="0D0352B5"/>
    <w:rsid w:val="0D0B5B12"/>
    <w:rsid w:val="0D186481"/>
    <w:rsid w:val="0D455E38"/>
    <w:rsid w:val="0D5D3E94"/>
    <w:rsid w:val="0D71793F"/>
    <w:rsid w:val="0D7D0092"/>
    <w:rsid w:val="0D827674"/>
    <w:rsid w:val="0DC65EDD"/>
    <w:rsid w:val="0DD56120"/>
    <w:rsid w:val="0DDE4FD5"/>
    <w:rsid w:val="0E5E73AB"/>
    <w:rsid w:val="0E6179B4"/>
    <w:rsid w:val="0E666D78"/>
    <w:rsid w:val="0E6A6868"/>
    <w:rsid w:val="0EB126E9"/>
    <w:rsid w:val="0EB21FBD"/>
    <w:rsid w:val="0EC51CF1"/>
    <w:rsid w:val="0EC73CBB"/>
    <w:rsid w:val="0EDB59B8"/>
    <w:rsid w:val="0EE4486D"/>
    <w:rsid w:val="0F026AA1"/>
    <w:rsid w:val="0F144A26"/>
    <w:rsid w:val="0F2033CB"/>
    <w:rsid w:val="0F2A5FF8"/>
    <w:rsid w:val="0F3A3342"/>
    <w:rsid w:val="0F661726"/>
    <w:rsid w:val="0F933B9D"/>
    <w:rsid w:val="0F98738A"/>
    <w:rsid w:val="0FD61CDB"/>
    <w:rsid w:val="0FE443F8"/>
    <w:rsid w:val="10125409"/>
    <w:rsid w:val="10401F77"/>
    <w:rsid w:val="1045758D"/>
    <w:rsid w:val="104B26C9"/>
    <w:rsid w:val="104F3F68"/>
    <w:rsid w:val="10533EA5"/>
    <w:rsid w:val="10A06571"/>
    <w:rsid w:val="10B77D5F"/>
    <w:rsid w:val="10C34956"/>
    <w:rsid w:val="10D97CD5"/>
    <w:rsid w:val="10E36DA6"/>
    <w:rsid w:val="10E70644"/>
    <w:rsid w:val="10F16DCD"/>
    <w:rsid w:val="10F863AD"/>
    <w:rsid w:val="11050ACA"/>
    <w:rsid w:val="11292A0B"/>
    <w:rsid w:val="114A472F"/>
    <w:rsid w:val="118A0FD0"/>
    <w:rsid w:val="11B12A00"/>
    <w:rsid w:val="11B83D8F"/>
    <w:rsid w:val="11C10E95"/>
    <w:rsid w:val="11E06E41"/>
    <w:rsid w:val="11E60706"/>
    <w:rsid w:val="11EE155E"/>
    <w:rsid w:val="11F03528"/>
    <w:rsid w:val="12072620"/>
    <w:rsid w:val="12096398"/>
    <w:rsid w:val="12400576"/>
    <w:rsid w:val="12865C3B"/>
    <w:rsid w:val="1288550F"/>
    <w:rsid w:val="129C0FBA"/>
    <w:rsid w:val="12CA5B28"/>
    <w:rsid w:val="12FB03D7"/>
    <w:rsid w:val="133D454B"/>
    <w:rsid w:val="139D4FEA"/>
    <w:rsid w:val="13E0137B"/>
    <w:rsid w:val="13F050F5"/>
    <w:rsid w:val="140212F1"/>
    <w:rsid w:val="1424570B"/>
    <w:rsid w:val="14267EC2"/>
    <w:rsid w:val="143376FC"/>
    <w:rsid w:val="147C10A3"/>
    <w:rsid w:val="14883B63"/>
    <w:rsid w:val="149208C7"/>
    <w:rsid w:val="14B24AC5"/>
    <w:rsid w:val="14C50C9C"/>
    <w:rsid w:val="14CF38C9"/>
    <w:rsid w:val="14D62EA9"/>
    <w:rsid w:val="14DC5FE6"/>
    <w:rsid w:val="15325C06"/>
    <w:rsid w:val="154C4F1A"/>
    <w:rsid w:val="156503BC"/>
    <w:rsid w:val="15724254"/>
    <w:rsid w:val="15907FDC"/>
    <w:rsid w:val="15B462D2"/>
    <w:rsid w:val="15BD5E17"/>
    <w:rsid w:val="15CA5E3E"/>
    <w:rsid w:val="15D236D8"/>
    <w:rsid w:val="164107F7"/>
    <w:rsid w:val="164C2CF7"/>
    <w:rsid w:val="166242C9"/>
    <w:rsid w:val="166B7621"/>
    <w:rsid w:val="168406E3"/>
    <w:rsid w:val="16A9014A"/>
    <w:rsid w:val="16C15493"/>
    <w:rsid w:val="16CA259A"/>
    <w:rsid w:val="16CB6312"/>
    <w:rsid w:val="17342109"/>
    <w:rsid w:val="17822E75"/>
    <w:rsid w:val="178A7F7B"/>
    <w:rsid w:val="178D1819"/>
    <w:rsid w:val="17C52D61"/>
    <w:rsid w:val="17DF2075"/>
    <w:rsid w:val="17E86A50"/>
    <w:rsid w:val="17EA0A1A"/>
    <w:rsid w:val="182061EA"/>
    <w:rsid w:val="182E6B59"/>
    <w:rsid w:val="18383533"/>
    <w:rsid w:val="183F48C2"/>
    <w:rsid w:val="189D5A8C"/>
    <w:rsid w:val="18BA4890"/>
    <w:rsid w:val="18CB084B"/>
    <w:rsid w:val="18D019BE"/>
    <w:rsid w:val="18FA6A3B"/>
    <w:rsid w:val="18FF4051"/>
    <w:rsid w:val="191E6BCD"/>
    <w:rsid w:val="193C6C51"/>
    <w:rsid w:val="1940412B"/>
    <w:rsid w:val="194859F8"/>
    <w:rsid w:val="19573E8D"/>
    <w:rsid w:val="196728EA"/>
    <w:rsid w:val="198C7FDB"/>
    <w:rsid w:val="199E1ABC"/>
    <w:rsid w:val="19B1359D"/>
    <w:rsid w:val="1A077661"/>
    <w:rsid w:val="1A1F0E4F"/>
    <w:rsid w:val="1A295829"/>
    <w:rsid w:val="1A4E703E"/>
    <w:rsid w:val="1A5605E9"/>
    <w:rsid w:val="1A6A0D62"/>
    <w:rsid w:val="1A7237CD"/>
    <w:rsid w:val="1A7D7923"/>
    <w:rsid w:val="1A903AFB"/>
    <w:rsid w:val="1AA72BF2"/>
    <w:rsid w:val="1ABD2416"/>
    <w:rsid w:val="1AC63078"/>
    <w:rsid w:val="1B5E59A7"/>
    <w:rsid w:val="1B8151F1"/>
    <w:rsid w:val="1B860A5A"/>
    <w:rsid w:val="1B9273FE"/>
    <w:rsid w:val="1BA55384"/>
    <w:rsid w:val="1BA64C58"/>
    <w:rsid w:val="1BB47375"/>
    <w:rsid w:val="1BD143CB"/>
    <w:rsid w:val="1C0025BA"/>
    <w:rsid w:val="1C0E2F29"/>
    <w:rsid w:val="1C1E6EE4"/>
    <w:rsid w:val="1C200EAE"/>
    <w:rsid w:val="1C450915"/>
    <w:rsid w:val="1C705992"/>
    <w:rsid w:val="1C8B27CB"/>
    <w:rsid w:val="1C961170"/>
    <w:rsid w:val="1CC47A8B"/>
    <w:rsid w:val="1D036806"/>
    <w:rsid w:val="1D6372A4"/>
    <w:rsid w:val="1D7C2114"/>
    <w:rsid w:val="1D8042E2"/>
    <w:rsid w:val="1DDC7057"/>
    <w:rsid w:val="1DE71C83"/>
    <w:rsid w:val="1E012619"/>
    <w:rsid w:val="1E1B36DB"/>
    <w:rsid w:val="1E1E766F"/>
    <w:rsid w:val="1E2C7696"/>
    <w:rsid w:val="1E2E2E6B"/>
    <w:rsid w:val="1E37603B"/>
    <w:rsid w:val="1E480248"/>
    <w:rsid w:val="1E4A0464"/>
    <w:rsid w:val="1E4C1AE7"/>
    <w:rsid w:val="1E4E3AB1"/>
    <w:rsid w:val="1E635082"/>
    <w:rsid w:val="1E696C13"/>
    <w:rsid w:val="1E960FB4"/>
    <w:rsid w:val="1E9811D0"/>
    <w:rsid w:val="1F0C571A"/>
    <w:rsid w:val="1F170346"/>
    <w:rsid w:val="1F2B2044"/>
    <w:rsid w:val="1F5C3FAB"/>
    <w:rsid w:val="1F5F1CED"/>
    <w:rsid w:val="1F7F5EEC"/>
    <w:rsid w:val="1FBE07C2"/>
    <w:rsid w:val="1FC97167"/>
    <w:rsid w:val="1FD60202"/>
    <w:rsid w:val="1FFB7C68"/>
    <w:rsid w:val="20111F20"/>
    <w:rsid w:val="20176124"/>
    <w:rsid w:val="203767C6"/>
    <w:rsid w:val="2059498F"/>
    <w:rsid w:val="206155F1"/>
    <w:rsid w:val="206566C3"/>
    <w:rsid w:val="2091237A"/>
    <w:rsid w:val="20F46465"/>
    <w:rsid w:val="215D04AF"/>
    <w:rsid w:val="21747CD2"/>
    <w:rsid w:val="21780E44"/>
    <w:rsid w:val="218872DA"/>
    <w:rsid w:val="21A47E8B"/>
    <w:rsid w:val="21AC5151"/>
    <w:rsid w:val="21AD6D40"/>
    <w:rsid w:val="21C347B6"/>
    <w:rsid w:val="21C7347B"/>
    <w:rsid w:val="220821C8"/>
    <w:rsid w:val="220B7F0B"/>
    <w:rsid w:val="22237CF1"/>
    <w:rsid w:val="22396826"/>
    <w:rsid w:val="226A69DF"/>
    <w:rsid w:val="2277734E"/>
    <w:rsid w:val="22A16179"/>
    <w:rsid w:val="22E36792"/>
    <w:rsid w:val="22FB7F7F"/>
    <w:rsid w:val="231B779A"/>
    <w:rsid w:val="23250B58"/>
    <w:rsid w:val="233F7E6C"/>
    <w:rsid w:val="23425BAE"/>
    <w:rsid w:val="236E0751"/>
    <w:rsid w:val="23735D67"/>
    <w:rsid w:val="23A10B26"/>
    <w:rsid w:val="2419690F"/>
    <w:rsid w:val="2452597D"/>
    <w:rsid w:val="248D10AB"/>
    <w:rsid w:val="24AF1021"/>
    <w:rsid w:val="24AF2DCF"/>
    <w:rsid w:val="24F66C50"/>
    <w:rsid w:val="25137802"/>
    <w:rsid w:val="25461985"/>
    <w:rsid w:val="256242E5"/>
    <w:rsid w:val="25657932"/>
    <w:rsid w:val="25777D91"/>
    <w:rsid w:val="25983863"/>
    <w:rsid w:val="259A3A7F"/>
    <w:rsid w:val="259B1380"/>
    <w:rsid w:val="25AF5626"/>
    <w:rsid w:val="25BC1C48"/>
    <w:rsid w:val="25BF7042"/>
    <w:rsid w:val="25DE38B7"/>
    <w:rsid w:val="25E60A73"/>
    <w:rsid w:val="25F52A64"/>
    <w:rsid w:val="260B2287"/>
    <w:rsid w:val="260E7FC9"/>
    <w:rsid w:val="267A740D"/>
    <w:rsid w:val="26B41329"/>
    <w:rsid w:val="26BE72FA"/>
    <w:rsid w:val="26C16DEA"/>
    <w:rsid w:val="26C568DA"/>
    <w:rsid w:val="270C62B7"/>
    <w:rsid w:val="274C2B57"/>
    <w:rsid w:val="27826579"/>
    <w:rsid w:val="27AC7A9A"/>
    <w:rsid w:val="27BD1CA7"/>
    <w:rsid w:val="27BD3A55"/>
    <w:rsid w:val="27C81177"/>
    <w:rsid w:val="280262A6"/>
    <w:rsid w:val="28041684"/>
    <w:rsid w:val="28194FE3"/>
    <w:rsid w:val="28237D5C"/>
    <w:rsid w:val="282A4D2A"/>
    <w:rsid w:val="284063F2"/>
    <w:rsid w:val="284101E2"/>
    <w:rsid w:val="28844573"/>
    <w:rsid w:val="28BE7A85"/>
    <w:rsid w:val="28C72DDD"/>
    <w:rsid w:val="292C2C40"/>
    <w:rsid w:val="2934651F"/>
    <w:rsid w:val="294543F2"/>
    <w:rsid w:val="29455D79"/>
    <w:rsid w:val="294C6E3F"/>
    <w:rsid w:val="297445E7"/>
    <w:rsid w:val="297612A4"/>
    <w:rsid w:val="29787C34"/>
    <w:rsid w:val="29C94933"/>
    <w:rsid w:val="29D3130E"/>
    <w:rsid w:val="29D67050"/>
    <w:rsid w:val="29D82DC8"/>
    <w:rsid w:val="29D84B76"/>
    <w:rsid w:val="29F3375E"/>
    <w:rsid w:val="2A383867"/>
    <w:rsid w:val="2A4D10C0"/>
    <w:rsid w:val="2A5306A1"/>
    <w:rsid w:val="2A691C72"/>
    <w:rsid w:val="2A704DAF"/>
    <w:rsid w:val="2A77438F"/>
    <w:rsid w:val="2AA1765E"/>
    <w:rsid w:val="2AA35184"/>
    <w:rsid w:val="2AFF25E0"/>
    <w:rsid w:val="2B02634F"/>
    <w:rsid w:val="2B065713"/>
    <w:rsid w:val="2B1442F6"/>
    <w:rsid w:val="2B41674B"/>
    <w:rsid w:val="2B54022C"/>
    <w:rsid w:val="2B844FB6"/>
    <w:rsid w:val="2BAA42F0"/>
    <w:rsid w:val="2BC03B14"/>
    <w:rsid w:val="2BC37160"/>
    <w:rsid w:val="2BCA4992"/>
    <w:rsid w:val="2BD31A99"/>
    <w:rsid w:val="2BE55328"/>
    <w:rsid w:val="2C027C88"/>
    <w:rsid w:val="2C077995"/>
    <w:rsid w:val="2C0F5857"/>
    <w:rsid w:val="2C1A76C8"/>
    <w:rsid w:val="2C2303EF"/>
    <w:rsid w:val="2C5F50DB"/>
    <w:rsid w:val="2C681672"/>
    <w:rsid w:val="2C6D38ED"/>
    <w:rsid w:val="2C8763E0"/>
    <w:rsid w:val="2CF021D7"/>
    <w:rsid w:val="2D225776"/>
    <w:rsid w:val="2D297497"/>
    <w:rsid w:val="2D6055AE"/>
    <w:rsid w:val="2D60735C"/>
    <w:rsid w:val="2D776454"/>
    <w:rsid w:val="2D872B3B"/>
    <w:rsid w:val="2D8A43D9"/>
    <w:rsid w:val="2D986AF6"/>
    <w:rsid w:val="2DC378EB"/>
    <w:rsid w:val="2E2465DC"/>
    <w:rsid w:val="2E4B1DBB"/>
    <w:rsid w:val="2E586286"/>
    <w:rsid w:val="2E6E1D6B"/>
    <w:rsid w:val="2E821554"/>
    <w:rsid w:val="2E980D78"/>
    <w:rsid w:val="2EDA313F"/>
    <w:rsid w:val="2EEE2746"/>
    <w:rsid w:val="2EEE392F"/>
    <w:rsid w:val="2F1E74CF"/>
    <w:rsid w:val="2F260132"/>
    <w:rsid w:val="2F4800A8"/>
    <w:rsid w:val="2F6A2714"/>
    <w:rsid w:val="2F6C023B"/>
    <w:rsid w:val="2F7964B4"/>
    <w:rsid w:val="2FE9188B"/>
    <w:rsid w:val="2FED29FE"/>
    <w:rsid w:val="2FEE6EA1"/>
    <w:rsid w:val="307153DD"/>
    <w:rsid w:val="307A0735"/>
    <w:rsid w:val="307F3F9D"/>
    <w:rsid w:val="308B0B94"/>
    <w:rsid w:val="308B46F0"/>
    <w:rsid w:val="30C1142B"/>
    <w:rsid w:val="30CB2D3F"/>
    <w:rsid w:val="30CD2F5B"/>
    <w:rsid w:val="312D39F9"/>
    <w:rsid w:val="314825E1"/>
    <w:rsid w:val="314F1BC2"/>
    <w:rsid w:val="31975317"/>
    <w:rsid w:val="31BD75C8"/>
    <w:rsid w:val="31C205E6"/>
    <w:rsid w:val="31E80E0B"/>
    <w:rsid w:val="31F04FA4"/>
    <w:rsid w:val="322272D6"/>
    <w:rsid w:val="324A4137"/>
    <w:rsid w:val="325F4087"/>
    <w:rsid w:val="32A55811"/>
    <w:rsid w:val="330111BC"/>
    <w:rsid w:val="332B5D17"/>
    <w:rsid w:val="33590AD6"/>
    <w:rsid w:val="335C4122"/>
    <w:rsid w:val="337771AE"/>
    <w:rsid w:val="338673F1"/>
    <w:rsid w:val="33923FE8"/>
    <w:rsid w:val="33930EF5"/>
    <w:rsid w:val="339B77EA"/>
    <w:rsid w:val="33A1668A"/>
    <w:rsid w:val="33F151B2"/>
    <w:rsid w:val="33FC76B3"/>
    <w:rsid w:val="340D7B12"/>
    <w:rsid w:val="340F73E6"/>
    <w:rsid w:val="344352E2"/>
    <w:rsid w:val="34592D57"/>
    <w:rsid w:val="345D63A4"/>
    <w:rsid w:val="347656B7"/>
    <w:rsid w:val="347D07F4"/>
    <w:rsid w:val="34833930"/>
    <w:rsid w:val="34C77CC1"/>
    <w:rsid w:val="34F0546A"/>
    <w:rsid w:val="34F767F8"/>
    <w:rsid w:val="351F5D4F"/>
    <w:rsid w:val="35262C3A"/>
    <w:rsid w:val="353C420B"/>
    <w:rsid w:val="35472BB0"/>
    <w:rsid w:val="355157DD"/>
    <w:rsid w:val="35643762"/>
    <w:rsid w:val="35775243"/>
    <w:rsid w:val="35AD5109"/>
    <w:rsid w:val="35B20971"/>
    <w:rsid w:val="35BB5A78"/>
    <w:rsid w:val="35BE10C4"/>
    <w:rsid w:val="35D703D8"/>
    <w:rsid w:val="35D95EFE"/>
    <w:rsid w:val="35DF628C"/>
    <w:rsid w:val="36323860"/>
    <w:rsid w:val="36401AD9"/>
    <w:rsid w:val="3659703F"/>
    <w:rsid w:val="36811BDB"/>
    <w:rsid w:val="36E27034"/>
    <w:rsid w:val="36EC7EB3"/>
    <w:rsid w:val="36FF3742"/>
    <w:rsid w:val="37054AD1"/>
    <w:rsid w:val="3709636F"/>
    <w:rsid w:val="370C2303"/>
    <w:rsid w:val="370E607B"/>
    <w:rsid w:val="37182A56"/>
    <w:rsid w:val="374970B3"/>
    <w:rsid w:val="375C43D4"/>
    <w:rsid w:val="37D03331"/>
    <w:rsid w:val="383C2774"/>
    <w:rsid w:val="384F24A7"/>
    <w:rsid w:val="387B47CC"/>
    <w:rsid w:val="39047736"/>
    <w:rsid w:val="390908A8"/>
    <w:rsid w:val="391D4354"/>
    <w:rsid w:val="39203E44"/>
    <w:rsid w:val="392C0A3B"/>
    <w:rsid w:val="3934169D"/>
    <w:rsid w:val="397A3554"/>
    <w:rsid w:val="39BC1DBE"/>
    <w:rsid w:val="3A606BEE"/>
    <w:rsid w:val="3A63223A"/>
    <w:rsid w:val="3A804B9A"/>
    <w:rsid w:val="3A83468A"/>
    <w:rsid w:val="3A86417A"/>
    <w:rsid w:val="3A8B353F"/>
    <w:rsid w:val="3A914FF9"/>
    <w:rsid w:val="3A916DA7"/>
    <w:rsid w:val="3AAD1707"/>
    <w:rsid w:val="3ABC194A"/>
    <w:rsid w:val="3AEE41FA"/>
    <w:rsid w:val="3B023801"/>
    <w:rsid w:val="3B194FEF"/>
    <w:rsid w:val="3B1F0857"/>
    <w:rsid w:val="3B3360B0"/>
    <w:rsid w:val="3B364677"/>
    <w:rsid w:val="3B585B17"/>
    <w:rsid w:val="3B7B35B3"/>
    <w:rsid w:val="3B8701AA"/>
    <w:rsid w:val="3B8D4B00"/>
    <w:rsid w:val="3B9500CD"/>
    <w:rsid w:val="3C027831"/>
    <w:rsid w:val="3C634773"/>
    <w:rsid w:val="3C683B38"/>
    <w:rsid w:val="3C6D114E"/>
    <w:rsid w:val="3CB21257"/>
    <w:rsid w:val="3CB274A9"/>
    <w:rsid w:val="3CBB635D"/>
    <w:rsid w:val="3D202664"/>
    <w:rsid w:val="3D347EBE"/>
    <w:rsid w:val="3D5347E8"/>
    <w:rsid w:val="3D803103"/>
    <w:rsid w:val="3D891FB8"/>
    <w:rsid w:val="3DB01584"/>
    <w:rsid w:val="3DBA6615"/>
    <w:rsid w:val="3DD27E02"/>
    <w:rsid w:val="3DDA0A65"/>
    <w:rsid w:val="3DEB4A20"/>
    <w:rsid w:val="3DEC2546"/>
    <w:rsid w:val="3DF008AB"/>
    <w:rsid w:val="3DF15DAF"/>
    <w:rsid w:val="3DFF04CC"/>
    <w:rsid w:val="3E3C7E3C"/>
    <w:rsid w:val="3E410AE4"/>
    <w:rsid w:val="3E491747"/>
    <w:rsid w:val="3E4E4FAF"/>
    <w:rsid w:val="3E570308"/>
    <w:rsid w:val="3E7569E0"/>
    <w:rsid w:val="3E7A3FF6"/>
    <w:rsid w:val="3E815385"/>
    <w:rsid w:val="3E860BED"/>
    <w:rsid w:val="3EA42E21"/>
    <w:rsid w:val="3EA66B99"/>
    <w:rsid w:val="3EB47508"/>
    <w:rsid w:val="3EDB2CE7"/>
    <w:rsid w:val="3EFE69D5"/>
    <w:rsid w:val="3F057D64"/>
    <w:rsid w:val="3F1C50AD"/>
    <w:rsid w:val="3F5B7984"/>
    <w:rsid w:val="3F874C1D"/>
    <w:rsid w:val="3F9B2476"/>
    <w:rsid w:val="3FA330D9"/>
    <w:rsid w:val="3FAF7CCF"/>
    <w:rsid w:val="3FEF631E"/>
    <w:rsid w:val="3FFB2F15"/>
    <w:rsid w:val="40181D19"/>
    <w:rsid w:val="40324B88"/>
    <w:rsid w:val="40436D96"/>
    <w:rsid w:val="40503261"/>
    <w:rsid w:val="40583EC3"/>
    <w:rsid w:val="405D772B"/>
    <w:rsid w:val="407056B1"/>
    <w:rsid w:val="407E7DCE"/>
    <w:rsid w:val="409018AF"/>
    <w:rsid w:val="409C64A6"/>
    <w:rsid w:val="40C94DC1"/>
    <w:rsid w:val="40CF0629"/>
    <w:rsid w:val="40E13EB9"/>
    <w:rsid w:val="40F956A6"/>
    <w:rsid w:val="41083B3B"/>
    <w:rsid w:val="41121CED"/>
    <w:rsid w:val="411E6EBB"/>
    <w:rsid w:val="41320BB8"/>
    <w:rsid w:val="413466DE"/>
    <w:rsid w:val="41807B75"/>
    <w:rsid w:val="41A5138A"/>
    <w:rsid w:val="41C77552"/>
    <w:rsid w:val="41CE08E1"/>
    <w:rsid w:val="41DB4DAC"/>
    <w:rsid w:val="41E00396"/>
    <w:rsid w:val="41F06AA9"/>
    <w:rsid w:val="42024A2E"/>
    <w:rsid w:val="421F113C"/>
    <w:rsid w:val="425132C0"/>
    <w:rsid w:val="426138DE"/>
    <w:rsid w:val="429D02B3"/>
    <w:rsid w:val="42A653BA"/>
    <w:rsid w:val="42B21FB1"/>
    <w:rsid w:val="42BC698B"/>
    <w:rsid w:val="42D55C9F"/>
    <w:rsid w:val="42DF08CC"/>
    <w:rsid w:val="430D368B"/>
    <w:rsid w:val="430F11B1"/>
    <w:rsid w:val="43426F59"/>
    <w:rsid w:val="43432C09"/>
    <w:rsid w:val="43707776"/>
    <w:rsid w:val="43747266"/>
    <w:rsid w:val="43803E5D"/>
    <w:rsid w:val="43947908"/>
    <w:rsid w:val="4416656F"/>
    <w:rsid w:val="44352E99"/>
    <w:rsid w:val="44426106"/>
    <w:rsid w:val="44586B88"/>
    <w:rsid w:val="446C618F"/>
    <w:rsid w:val="4484172B"/>
    <w:rsid w:val="44A91191"/>
    <w:rsid w:val="44D04970"/>
    <w:rsid w:val="44FE772F"/>
    <w:rsid w:val="450308A1"/>
    <w:rsid w:val="450E36D3"/>
    <w:rsid w:val="45603F46"/>
    <w:rsid w:val="45682DFA"/>
    <w:rsid w:val="45A1630C"/>
    <w:rsid w:val="46153D24"/>
    <w:rsid w:val="462C207A"/>
    <w:rsid w:val="462F3918"/>
    <w:rsid w:val="464E1FF0"/>
    <w:rsid w:val="465670F7"/>
    <w:rsid w:val="46690BD8"/>
    <w:rsid w:val="467B090B"/>
    <w:rsid w:val="46853538"/>
    <w:rsid w:val="4690085B"/>
    <w:rsid w:val="4698326B"/>
    <w:rsid w:val="46A75BA4"/>
    <w:rsid w:val="46CC1167"/>
    <w:rsid w:val="46D324F5"/>
    <w:rsid w:val="46E12E64"/>
    <w:rsid w:val="46FC7C9E"/>
    <w:rsid w:val="472D60AA"/>
    <w:rsid w:val="474358CD"/>
    <w:rsid w:val="474927B8"/>
    <w:rsid w:val="47541888"/>
    <w:rsid w:val="477B5067"/>
    <w:rsid w:val="478832E0"/>
    <w:rsid w:val="47C02A7A"/>
    <w:rsid w:val="47F24BFD"/>
    <w:rsid w:val="47FB61A8"/>
    <w:rsid w:val="48054931"/>
    <w:rsid w:val="480A0199"/>
    <w:rsid w:val="480D1A37"/>
    <w:rsid w:val="48651873"/>
    <w:rsid w:val="489C786B"/>
    <w:rsid w:val="48BC5937"/>
    <w:rsid w:val="48DA5DBD"/>
    <w:rsid w:val="48E64762"/>
    <w:rsid w:val="48E704DA"/>
    <w:rsid w:val="496A2251"/>
    <w:rsid w:val="496E2E6D"/>
    <w:rsid w:val="49BE748D"/>
    <w:rsid w:val="49C425C9"/>
    <w:rsid w:val="49CD147E"/>
    <w:rsid w:val="4A01737A"/>
    <w:rsid w:val="4A0F1A96"/>
    <w:rsid w:val="4A143551"/>
    <w:rsid w:val="4A296BD1"/>
    <w:rsid w:val="4A314103"/>
    <w:rsid w:val="4A36362E"/>
    <w:rsid w:val="4A804742"/>
    <w:rsid w:val="4A805944"/>
    <w:rsid w:val="4A8204BA"/>
    <w:rsid w:val="4AA76173"/>
    <w:rsid w:val="4AE922E8"/>
    <w:rsid w:val="4AF64A04"/>
    <w:rsid w:val="4AFB026D"/>
    <w:rsid w:val="4AFB201B"/>
    <w:rsid w:val="4B013AD5"/>
    <w:rsid w:val="4B074E64"/>
    <w:rsid w:val="4B182BCD"/>
    <w:rsid w:val="4B3043BA"/>
    <w:rsid w:val="4B3C2D5F"/>
    <w:rsid w:val="4B661B8A"/>
    <w:rsid w:val="4BB328F5"/>
    <w:rsid w:val="4BC62629"/>
    <w:rsid w:val="4BDA4326"/>
    <w:rsid w:val="4BE32F97"/>
    <w:rsid w:val="4BF93AFD"/>
    <w:rsid w:val="4BF947AC"/>
    <w:rsid w:val="4BFF5B3B"/>
    <w:rsid w:val="4C0373D9"/>
    <w:rsid w:val="4C0B2731"/>
    <w:rsid w:val="4C175AA8"/>
    <w:rsid w:val="4C312198"/>
    <w:rsid w:val="4C3457BF"/>
    <w:rsid w:val="4C7D362F"/>
    <w:rsid w:val="4CCC1EC1"/>
    <w:rsid w:val="4CE70AA9"/>
    <w:rsid w:val="4D1473C4"/>
    <w:rsid w:val="4D155616"/>
    <w:rsid w:val="4D245859"/>
    <w:rsid w:val="4D3A32CE"/>
    <w:rsid w:val="4D8B3B2A"/>
    <w:rsid w:val="4D9C7AE5"/>
    <w:rsid w:val="4DB36BDD"/>
    <w:rsid w:val="4DBD7A5B"/>
    <w:rsid w:val="4DC25072"/>
    <w:rsid w:val="4DCB3F26"/>
    <w:rsid w:val="4DDD3C5A"/>
    <w:rsid w:val="4DF01BDF"/>
    <w:rsid w:val="4DF55447"/>
    <w:rsid w:val="4DF72F6D"/>
    <w:rsid w:val="4E0A0EF3"/>
    <w:rsid w:val="4E21623C"/>
    <w:rsid w:val="4E265601"/>
    <w:rsid w:val="4E402B66"/>
    <w:rsid w:val="4E456A4C"/>
    <w:rsid w:val="4E61488B"/>
    <w:rsid w:val="4E6B74B7"/>
    <w:rsid w:val="4E933360"/>
    <w:rsid w:val="4E9C58C3"/>
    <w:rsid w:val="4EB1136E"/>
    <w:rsid w:val="4ECA68D4"/>
    <w:rsid w:val="4F035942"/>
    <w:rsid w:val="4F400944"/>
    <w:rsid w:val="4F4246BC"/>
    <w:rsid w:val="4F4B17C3"/>
    <w:rsid w:val="4F4F0B87"/>
    <w:rsid w:val="4F616B49"/>
    <w:rsid w:val="4F7F146C"/>
    <w:rsid w:val="4F8B1BBF"/>
    <w:rsid w:val="4FE94B38"/>
    <w:rsid w:val="4FED03D5"/>
    <w:rsid w:val="50985B4F"/>
    <w:rsid w:val="510A2FB8"/>
    <w:rsid w:val="51136310"/>
    <w:rsid w:val="51402E7D"/>
    <w:rsid w:val="514364CA"/>
    <w:rsid w:val="515B7CB7"/>
    <w:rsid w:val="516A3A56"/>
    <w:rsid w:val="51711289"/>
    <w:rsid w:val="51842D6A"/>
    <w:rsid w:val="51981AD3"/>
    <w:rsid w:val="51B66C9C"/>
    <w:rsid w:val="51C92E73"/>
    <w:rsid w:val="51D27F79"/>
    <w:rsid w:val="521F2A93"/>
    <w:rsid w:val="523522B6"/>
    <w:rsid w:val="525A7F6F"/>
    <w:rsid w:val="526130AB"/>
    <w:rsid w:val="5277467D"/>
    <w:rsid w:val="52990A97"/>
    <w:rsid w:val="529B480F"/>
    <w:rsid w:val="52A94E8E"/>
    <w:rsid w:val="52E57838"/>
    <w:rsid w:val="52F24078"/>
    <w:rsid w:val="52FE47AC"/>
    <w:rsid w:val="532B1A20"/>
    <w:rsid w:val="53422EDD"/>
    <w:rsid w:val="53690469"/>
    <w:rsid w:val="537B1F4B"/>
    <w:rsid w:val="538035C5"/>
    <w:rsid w:val="53B611D5"/>
    <w:rsid w:val="53D043DD"/>
    <w:rsid w:val="53F1045F"/>
    <w:rsid w:val="5402266C"/>
    <w:rsid w:val="543F566E"/>
    <w:rsid w:val="54694D2D"/>
    <w:rsid w:val="546B1FBF"/>
    <w:rsid w:val="54703A7A"/>
    <w:rsid w:val="54882B71"/>
    <w:rsid w:val="549332C4"/>
    <w:rsid w:val="549A4653"/>
    <w:rsid w:val="549B36D9"/>
    <w:rsid w:val="54B020C8"/>
    <w:rsid w:val="54F00716"/>
    <w:rsid w:val="54F41FB5"/>
    <w:rsid w:val="550D3076"/>
    <w:rsid w:val="55144405"/>
    <w:rsid w:val="55197C6D"/>
    <w:rsid w:val="55593B0E"/>
    <w:rsid w:val="55B21931"/>
    <w:rsid w:val="55BB2AD2"/>
    <w:rsid w:val="55D122F6"/>
    <w:rsid w:val="55DB4F23"/>
    <w:rsid w:val="55F83D27"/>
    <w:rsid w:val="563C1E65"/>
    <w:rsid w:val="56665134"/>
    <w:rsid w:val="567A298E"/>
    <w:rsid w:val="56B063AF"/>
    <w:rsid w:val="56B51C18"/>
    <w:rsid w:val="56C854A7"/>
    <w:rsid w:val="56C87B9D"/>
    <w:rsid w:val="56CB31E9"/>
    <w:rsid w:val="56CF0F2B"/>
    <w:rsid w:val="56DC53F6"/>
    <w:rsid w:val="56ED7603"/>
    <w:rsid w:val="56F00EA2"/>
    <w:rsid w:val="56F91B04"/>
    <w:rsid w:val="571E77BD"/>
    <w:rsid w:val="579B705F"/>
    <w:rsid w:val="57B0086C"/>
    <w:rsid w:val="57B41ECF"/>
    <w:rsid w:val="57D12A81"/>
    <w:rsid w:val="57DA6296"/>
    <w:rsid w:val="57E92957"/>
    <w:rsid w:val="581C03F5"/>
    <w:rsid w:val="58226E39"/>
    <w:rsid w:val="58311772"/>
    <w:rsid w:val="58586CFE"/>
    <w:rsid w:val="58726012"/>
    <w:rsid w:val="58733B38"/>
    <w:rsid w:val="589E6E07"/>
    <w:rsid w:val="58A261CC"/>
    <w:rsid w:val="58AB1524"/>
    <w:rsid w:val="58E16CF4"/>
    <w:rsid w:val="58E223C6"/>
    <w:rsid w:val="58E3481A"/>
    <w:rsid w:val="590A624B"/>
    <w:rsid w:val="590B3D71"/>
    <w:rsid w:val="590F4873"/>
    <w:rsid w:val="59372DB8"/>
    <w:rsid w:val="59835FFD"/>
    <w:rsid w:val="59973856"/>
    <w:rsid w:val="59A55F73"/>
    <w:rsid w:val="59DE1485"/>
    <w:rsid w:val="5A160C1F"/>
    <w:rsid w:val="5A250E62"/>
    <w:rsid w:val="5A2E41BB"/>
    <w:rsid w:val="5A8E4C59"/>
    <w:rsid w:val="5A9658BC"/>
    <w:rsid w:val="5AA63F89"/>
    <w:rsid w:val="5AAE4299"/>
    <w:rsid w:val="5ADA7E9F"/>
    <w:rsid w:val="5B3C46B5"/>
    <w:rsid w:val="5B3E042E"/>
    <w:rsid w:val="5BAA7871"/>
    <w:rsid w:val="5BEC1C38"/>
    <w:rsid w:val="5C427AAA"/>
    <w:rsid w:val="5C4E644E"/>
    <w:rsid w:val="5C5C2FCC"/>
    <w:rsid w:val="5C9418A6"/>
    <w:rsid w:val="5C9C3F6E"/>
    <w:rsid w:val="5CA249EC"/>
    <w:rsid w:val="5CB07109"/>
    <w:rsid w:val="5CCD386E"/>
    <w:rsid w:val="5D0C5B6F"/>
    <w:rsid w:val="5D137698"/>
    <w:rsid w:val="5D215911"/>
    <w:rsid w:val="5D235B2D"/>
    <w:rsid w:val="5D2D2508"/>
    <w:rsid w:val="5D414205"/>
    <w:rsid w:val="5D69550A"/>
    <w:rsid w:val="5D9702C9"/>
    <w:rsid w:val="5DAF1585"/>
    <w:rsid w:val="5DBC7D30"/>
    <w:rsid w:val="5DCA41FA"/>
    <w:rsid w:val="5DD24E5D"/>
    <w:rsid w:val="5DE64CEC"/>
    <w:rsid w:val="5DE66B5A"/>
    <w:rsid w:val="5DF41277"/>
    <w:rsid w:val="5E012496"/>
    <w:rsid w:val="5E337FF2"/>
    <w:rsid w:val="5E916AC6"/>
    <w:rsid w:val="5E9F5687"/>
    <w:rsid w:val="5ED15115"/>
    <w:rsid w:val="5EE412EC"/>
    <w:rsid w:val="5EEE3F19"/>
    <w:rsid w:val="5F1B3B3F"/>
    <w:rsid w:val="5F337B7D"/>
    <w:rsid w:val="5F412CC2"/>
    <w:rsid w:val="5F463D55"/>
    <w:rsid w:val="5F4D6E91"/>
    <w:rsid w:val="5F93061C"/>
    <w:rsid w:val="5FB05672"/>
    <w:rsid w:val="5FE036E7"/>
    <w:rsid w:val="5FF05A6E"/>
    <w:rsid w:val="5FF76DFD"/>
    <w:rsid w:val="6008725C"/>
    <w:rsid w:val="602A0F80"/>
    <w:rsid w:val="6051475F"/>
    <w:rsid w:val="60681AA9"/>
    <w:rsid w:val="6074044E"/>
    <w:rsid w:val="60A76A75"/>
    <w:rsid w:val="60AF592A"/>
    <w:rsid w:val="60B91E33"/>
    <w:rsid w:val="60BA3D9B"/>
    <w:rsid w:val="60C2565D"/>
    <w:rsid w:val="60C846E2"/>
    <w:rsid w:val="61021EFD"/>
    <w:rsid w:val="61251748"/>
    <w:rsid w:val="61471767"/>
    <w:rsid w:val="617C55DA"/>
    <w:rsid w:val="61AB60F1"/>
    <w:rsid w:val="61BF4FE1"/>
    <w:rsid w:val="61E433B1"/>
    <w:rsid w:val="61EA4375"/>
    <w:rsid w:val="61FA4982"/>
    <w:rsid w:val="620D2908"/>
    <w:rsid w:val="629D0130"/>
    <w:rsid w:val="62B62320"/>
    <w:rsid w:val="62CF5E0F"/>
    <w:rsid w:val="62D6719E"/>
    <w:rsid w:val="62EC6305"/>
    <w:rsid w:val="62F15D85"/>
    <w:rsid w:val="630C2BBF"/>
    <w:rsid w:val="630F26B0"/>
    <w:rsid w:val="631877B6"/>
    <w:rsid w:val="632E6FDA"/>
    <w:rsid w:val="63491A70"/>
    <w:rsid w:val="636B1FDC"/>
    <w:rsid w:val="636F36FE"/>
    <w:rsid w:val="63770981"/>
    <w:rsid w:val="639A641D"/>
    <w:rsid w:val="63CD05A1"/>
    <w:rsid w:val="63DF6526"/>
    <w:rsid w:val="645C7B76"/>
    <w:rsid w:val="6461518D"/>
    <w:rsid w:val="646A5DEF"/>
    <w:rsid w:val="6477675E"/>
    <w:rsid w:val="64836EB1"/>
    <w:rsid w:val="64A357A5"/>
    <w:rsid w:val="64FD6C64"/>
    <w:rsid w:val="650F4BE9"/>
    <w:rsid w:val="651A5A67"/>
    <w:rsid w:val="65271F32"/>
    <w:rsid w:val="656960A7"/>
    <w:rsid w:val="658B0713"/>
    <w:rsid w:val="663E5786"/>
    <w:rsid w:val="66430FCE"/>
    <w:rsid w:val="66BC2B4E"/>
    <w:rsid w:val="66D86932"/>
    <w:rsid w:val="66DB4D83"/>
    <w:rsid w:val="66DD4F9F"/>
    <w:rsid w:val="66EF082E"/>
    <w:rsid w:val="670448A9"/>
    <w:rsid w:val="6739419F"/>
    <w:rsid w:val="674A015A"/>
    <w:rsid w:val="6759039D"/>
    <w:rsid w:val="676F7BC1"/>
    <w:rsid w:val="67762CFD"/>
    <w:rsid w:val="67801DCE"/>
    <w:rsid w:val="67A21D44"/>
    <w:rsid w:val="67B33F51"/>
    <w:rsid w:val="67CF2790"/>
    <w:rsid w:val="67D16185"/>
    <w:rsid w:val="67DA328C"/>
    <w:rsid w:val="68021DC2"/>
    <w:rsid w:val="68264723"/>
    <w:rsid w:val="6841155D"/>
    <w:rsid w:val="68476448"/>
    <w:rsid w:val="6848469A"/>
    <w:rsid w:val="686F60CA"/>
    <w:rsid w:val="68725BBA"/>
    <w:rsid w:val="68774F7F"/>
    <w:rsid w:val="688B4586"/>
    <w:rsid w:val="688D2E59"/>
    <w:rsid w:val="68953657"/>
    <w:rsid w:val="68994EF5"/>
    <w:rsid w:val="68C53F3C"/>
    <w:rsid w:val="68E65C61"/>
    <w:rsid w:val="691E189E"/>
    <w:rsid w:val="693410C2"/>
    <w:rsid w:val="69913E1E"/>
    <w:rsid w:val="69BD10B7"/>
    <w:rsid w:val="69C53AC8"/>
    <w:rsid w:val="69C623CD"/>
    <w:rsid w:val="69F12B0F"/>
    <w:rsid w:val="6A06480C"/>
    <w:rsid w:val="6A4946F9"/>
    <w:rsid w:val="6A570BC4"/>
    <w:rsid w:val="6A723C50"/>
    <w:rsid w:val="6AAF6C52"/>
    <w:rsid w:val="6AC50223"/>
    <w:rsid w:val="6AEF704E"/>
    <w:rsid w:val="6AF03F38"/>
    <w:rsid w:val="6AFE7291"/>
    <w:rsid w:val="6B0B19AE"/>
    <w:rsid w:val="6B191F64"/>
    <w:rsid w:val="6B19231D"/>
    <w:rsid w:val="6B2E62E4"/>
    <w:rsid w:val="6B39651C"/>
    <w:rsid w:val="6B43383E"/>
    <w:rsid w:val="6B476E8A"/>
    <w:rsid w:val="6B5C220A"/>
    <w:rsid w:val="6B7632CC"/>
    <w:rsid w:val="6B851761"/>
    <w:rsid w:val="6BAF2C82"/>
    <w:rsid w:val="6BC8789F"/>
    <w:rsid w:val="6BD83F86"/>
    <w:rsid w:val="6BDB75D3"/>
    <w:rsid w:val="6C021003"/>
    <w:rsid w:val="6C103720"/>
    <w:rsid w:val="6C172D01"/>
    <w:rsid w:val="6C4258A4"/>
    <w:rsid w:val="6C880625"/>
    <w:rsid w:val="6CAD5413"/>
    <w:rsid w:val="6CC853BF"/>
    <w:rsid w:val="6CCB3AEB"/>
    <w:rsid w:val="6CED3A62"/>
    <w:rsid w:val="6CFE5C6F"/>
    <w:rsid w:val="6D0D7C60"/>
    <w:rsid w:val="6D2154B9"/>
    <w:rsid w:val="6D277236"/>
    <w:rsid w:val="6D9C0FE4"/>
    <w:rsid w:val="6DB93944"/>
    <w:rsid w:val="6DC36570"/>
    <w:rsid w:val="6DE704B1"/>
    <w:rsid w:val="6DF720D3"/>
    <w:rsid w:val="6E05302D"/>
    <w:rsid w:val="6E0C7F17"/>
    <w:rsid w:val="6E0E1EE1"/>
    <w:rsid w:val="6E8201DA"/>
    <w:rsid w:val="6E9C129B"/>
    <w:rsid w:val="6E9D3265"/>
    <w:rsid w:val="6EA445F4"/>
    <w:rsid w:val="6EED7D49"/>
    <w:rsid w:val="6F0D2199"/>
    <w:rsid w:val="6F152DFC"/>
    <w:rsid w:val="6F4D4C8B"/>
    <w:rsid w:val="6F775864"/>
    <w:rsid w:val="6F9208F0"/>
    <w:rsid w:val="6F9D176F"/>
    <w:rsid w:val="6FA32AFD"/>
    <w:rsid w:val="6FC0720B"/>
    <w:rsid w:val="6FC211D5"/>
    <w:rsid w:val="6FCD1928"/>
    <w:rsid w:val="6FEC0000"/>
    <w:rsid w:val="70187047"/>
    <w:rsid w:val="701F03D6"/>
    <w:rsid w:val="70673B2B"/>
    <w:rsid w:val="707029DF"/>
    <w:rsid w:val="70965B09"/>
    <w:rsid w:val="70967F6C"/>
    <w:rsid w:val="70BF5715"/>
    <w:rsid w:val="70C20D61"/>
    <w:rsid w:val="70E4517B"/>
    <w:rsid w:val="70FD7FEB"/>
    <w:rsid w:val="7113780F"/>
    <w:rsid w:val="711E1E29"/>
    <w:rsid w:val="71670D3E"/>
    <w:rsid w:val="71724535"/>
    <w:rsid w:val="71834994"/>
    <w:rsid w:val="71866233"/>
    <w:rsid w:val="718F3339"/>
    <w:rsid w:val="71BF0399"/>
    <w:rsid w:val="71CD00E1"/>
    <w:rsid w:val="71DB032D"/>
    <w:rsid w:val="71DE1BCB"/>
    <w:rsid w:val="71E03B95"/>
    <w:rsid w:val="71E80C9B"/>
    <w:rsid w:val="7205184D"/>
    <w:rsid w:val="72121874"/>
    <w:rsid w:val="722577FA"/>
    <w:rsid w:val="722E4900"/>
    <w:rsid w:val="725D51E5"/>
    <w:rsid w:val="727B566C"/>
    <w:rsid w:val="72824C4C"/>
    <w:rsid w:val="7285473C"/>
    <w:rsid w:val="72916C3D"/>
    <w:rsid w:val="72AC3A77"/>
    <w:rsid w:val="72BB3CBA"/>
    <w:rsid w:val="72C15778"/>
    <w:rsid w:val="72D60AF4"/>
    <w:rsid w:val="72EE22E1"/>
    <w:rsid w:val="72F84F0E"/>
    <w:rsid w:val="73045661"/>
    <w:rsid w:val="731735E6"/>
    <w:rsid w:val="733C129F"/>
    <w:rsid w:val="738D38A8"/>
    <w:rsid w:val="73AE011D"/>
    <w:rsid w:val="73D43285"/>
    <w:rsid w:val="743957DE"/>
    <w:rsid w:val="74424693"/>
    <w:rsid w:val="745D771F"/>
    <w:rsid w:val="749B3DA3"/>
    <w:rsid w:val="74B83297"/>
    <w:rsid w:val="75023E22"/>
    <w:rsid w:val="752244C4"/>
    <w:rsid w:val="75306BE1"/>
    <w:rsid w:val="75382127"/>
    <w:rsid w:val="754C6AAA"/>
    <w:rsid w:val="7557416E"/>
    <w:rsid w:val="75610B49"/>
    <w:rsid w:val="75693EA1"/>
    <w:rsid w:val="758D193E"/>
    <w:rsid w:val="75AA6994"/>
    <w:rsid w:val="75BF7F65"/>
    <w:rsid w:val="75DF5F11"/>
    <w:rsid w:val="761B33ED"/>
    <w:rsid w:val="7630676D"/>
    <w:rsid w:val="7662646A"/>
    <w:rsid w:val="766A1C7F"/>
    <w:rsid w:val="76740D50"/>
    <w:rsid w:val="76D8308D"/>
    <w:rsid w:val="76EC6B38"/>
    <w:rsid w:val="772C5186"/>
    <w:rsid w:val="77470212"/>
    <w:rsid w:val="77962542"/>
    <w:rsid w:val="779C230C"/>
    <w:rsid w:val="78191BAF"/>
    <w:rsid w:val="781B64F8"/>
    <w:rsid w:val="782D7408"/>
    <w:rsid w:val="784B5AE0"/>
    <w:rsid w:val="78B96EEE"/>
    <w:rsid w:val="78C0202A"/>
    <w:rsid w:val="78C80EDF"/>
    <w:rsid w:val="78C935D5"/>
    <w:rsid w:val="78C95383"/>
    <w:rsid w:val="78E026CC"/>
    <w:rsid w:val="78E57CE3"/>
    <w:rsid w:val="790A7749"/>
    <w:rsid w:val="790C526F"/>
    <w:rsid w:val="79132AA2"/>
    <w:rsid w:val="79386064"/>
    <w:rsid w:val="79660E24"/>
    <w:rsid w:val="798219D5"/>
    <w:rsid w:val="79A731EA"/>
    <w:rsid w:val="79AE27CB"/>
    <w:rsid w:val="79C43D9C"/>
    <w:rsid w:val="79CC49FF"/>
    <w:rsid w:val="79D57D57"/>
    <w:rsid w:val="79DA711C"/>
    <w:rsid w:val="7A04063C"/>
    <w:rsid w:val="7A2465E9"/>
    <w:rsid w:val="7A3A405E"/>
    <w:rsid w:val="7A3F3423"/>
    <w:rsid w:val="7A603AC5"/>
    <w:rsid w:val="7A6335B5"/>
    <w:rsid w:val="7A65732D"/>
    <w:rsid w:val="7A70182E"/>
    <w:rsid w:val="7A8F7F06"/>
    <w:rsid w:val="7AC35E02"/>
    <w:rsid w:val="7ACB4CB6"/>
    <w:rsid w:val="7ACE4ED2"/>
    <w:rsid w:val="7AD26045"/>
    <w:rsid w:val="7AD579F5"/>
    <w:rsid w:val="7AF80AF5"/>
    <w:rsid w:val="7AF83CFD"/>
    <w:rsid w:val="7AF95CC7"/>
    <w:rsid w:val="7B25086A"/>
    <w:rsid w:val="7B252618"/>
    <w:rsid w:val="7B2B67C9"/>
    <w:rsid w:val="7B4707E1"/>
    <w:rsid w:val="7B6049FC"/>
    <w:rsid w:val="7B821819"/>
    <w:rsid w:val="7B9652C4"/>
    <w:rsid w:val="7BAC4AE8"/>
    <w:rsid w:val="7BB10350"/>
    <w:rsid w:val="7BB3231A"/>
    <w:rsid w:val="7BB40833"/>
    <w:rsid w:val="7BC10593"/>
    <w:rsid w:val="7BD36518"/>
    <w:rsid w:val="7BE20509"/>
    <w:rsid w:val="7BEB3862"/>
    <w:rsid w:val="7C0B5CB2"/>
    <w:rsid w:val="7C3A6597"/>
    <w:rsid w:val="7C484810"/>
    <w:rsid w:val="7C541407"/>
    <w:rsid w:val="7C776EA4"/>
    <w:rsid w:val="7C792C1C"/>
    <w:rsid w:val="7C7E0232"/>
    <w:rsid w:val="7CBB76D8"/>
    <w:rsid w:val="7CCF6CE0"/>
    <w:rsid w:val="7CD73DE6"/>
    <w:rsid w:val="7CDE5175"/>
    <w:rsid w:val="7D0C3A90"/>
    <w:rsid w:val="7D0F532E"/>
    <w:rsid w:val="7D3E3E65"/>
    <w:rsid w:val="7D44147C"/>
    <w:rsid w:val="7D472D1A"/>
    <w:rsid w:val="7D4E40A8"/>
    <w:rsid w:val="7D52346D"/>
    <w:rsid w:val="7D5E0064"/>
    <w:rsid w:val="7DA243F4"/>
    <w:rsid w:val="7E0354DB"/>
    <w:rsid w:val="7E17396B"/>
    <w:rsid w:val="7E1C7D03"/>
    <w:rsid w:val="7E221091"/>
    <w:rsid w:val="7E260B81"/>
    <w:rsid w:val="7E3D753D"/>
    <w:rsid w:val="7E5252A6"/>
    <w:rsid w:val="7E525E1A"/>
    <w:rsid w:val="7E6671D0"/>
    <w:rsid w:val="7E755665"/>
    <w:rsid w:val="7E786F03"/>
    <w:rsid w:val="7E8A7362"/>
    <w:rsid w:val="7E8B6C36"/>
    <w:rsid w:val="7E9C52E7"/>
    <w:rsid w:val="7EA67F14"/>
    <w:rsid w:val="7ED16169"/>
    <w:rsid w:val="7EDB7BBE"/>
    <w:rsid w:val="7F0C754E"/>
    <w:rsid w:val="7F2F7211"/>
    <w:rsid w:val="7F376DBE"/>
    <w:rsid w:val="7F3E639F"/>
    <w:rsid w:val="7F4219EB"/>
    <w:rsid w:val="7F45772D"/>
    <w:rsid w:val="7F475253"/>
    <w:rsid w:val="7F4A4D43"/>
    <w:rsid w:val="7F590AE3"/>
    <w:rsid w:val="7F78540D"/>
    <w:rsid w:val="7F911521"/>
    <w:rsid w:val="7FAE0E2E"/>
    <w:rsid w:val="7FAF4BA7"/>
    <w:rsid w:val="7FB36445"/>
    <w:rsid w:val="7FC93EBA"/>
    <w:rsid w:val="7FF76C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1"/>
    <w:unhideWhenUsed/>
    <w:qFormat/>
    <w:uiPriority w:val="99"/>
    <w:pPr>
      <w:jc w:val="left"/>
    </w:pPr>
  </w:style>
  <w:style w:type="paragraph" w:styleId="3">
    <w:name w:val="Body Text"/>
    <w:basedOn w:val="1"/>
    <w:link w:val="26"/>
    <w:qFormat/>
    <w:uiPriority w:val="1"/>
    <w:pPr>
      <w:autoSpaceDE w:val="0"/>
      <w:autoSpaceDN w:val="0"/>
      <w:adjustRightInd w:val="0"/>
      <w:ind w:left="320"/>
      <w:jc w:val="left"/>
    </w:pPr>
    <w:rPr>
      <w:rFonts w:ascii="宋体" w:hAnsi="Times New Roman" w:eastAsia="宋体" w:cs="宋体"/>
      <w:kern w:val="0"/>
      <w:sz w:val="24"/>
      <w:szCs w:val="24"/>
    </w:rPr>
  </w:style>
  <w:style w:type="paragraph" w:styleId="4">
    <w:name w:val="Body Text Indent"/>
    <w:basedOn w:val="1"/>
    <w:link w:val="27"/>
    <w:semiHidden/>
    <w:unhideWhenUsed/>
    <w:qFormat/>
    <w:uiPriority w:val="99"/>
    <w:pPr>
      <w:spacing w:after="120"/>
      <w:ind w:left="420" w:leftChars="200"/>
    </w:pPr>
  </w:style>
  <w:style w:type="paragraph" w:styleId="5">
    <w:name w:val="Balloon Text"/>
    <w:basedOn w:val="1"/>
    <w:link w:val="19"/>
    <w:semiHidden/>
    <w:unhideWhenUsed/>
    <w:qFormat/>
    <w:uiPriority w:val="99"/>
    <w:rPr>
      <w:sz w:val="18"/>
      <w:szCs w:val="18"/>
    </w:rPr>
  </w:style>
  <w:style w:type="paragraph" w:styleId="6">
    <w:name w:val="footer"/>
    <w:basedOn w:val="1"/>
    <w:link w:val="18"/>
    <w:unhideWhenUsed/>
    <w:qFormat/>
    <w:uiPriority w:val="99"/>
    <w:pPr>
      <w:tabs>
        <w:tab w:val="center" w:pos="4153"/>
        <w:tab w:val="right" w:pos="8306"/>
      </w:tabs>
      <w:snapToGrid w:val="0"/>
      <w:jc w:val="left"/>
    </w:pPr>
    <w:rPr>
      <w:sz w:val="18"/>
      <w:szCs w:val="18"/>
    </w:rPr>
  </w:style>
  <w:style w:type="paragraph" w:styleId="7">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Autospacing="1" w:afterAutospacing="1"/>
      <w:jc w:val="left"/>
    </w:pPr>
    <w:rPr>
      <w:rFonts w:cs="Times New Roman"/>
      <w:kern w:val="0"/>
      <w:sz w:val="24"/>
    </w:rPr>
  </w:style>
  <w:style w:type="paragraph" w:styleId="9">
    <w:name w:val="annotation subject"/>
    <w:basedOn w:val="2"/>
    <w:next w:val="2"/>
    <w:link w:val="22"/>
    <w:semiHidden/>
    <w:unhideWhenUsed/>
    <w:qFormat/>
    <w:uiPriority w:val="99"/>
    <w:rPr>
      <w:b/>
      <w:bCs/>
    </w:rPr>
  </w:style>
  <w:style w:type="paragraph" w:styleId="10">
    <w:name w:val="Body Text First Indent 2"/>
    <w:basedOn w:val="4"/>
    <w:link w:val="28"/>
    <w:semiHidden/>
    <w:unhideWhenUsed/>
    <w:qFormat/>
    <w:uiPriority w:val="99"/>
    <w:pPr>
      <w:ind w:firstLine="420" w:firstLineChars="200"/>
    </w:p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22"/>
    <w:rPr>
      <w:b/>
    </w:rPr>
  </w:style>
  <w:style w:type="character" w:styleId="15">
    <w:name w:val="annotation reference"/>
    <w:basedOn w:val="13"/>
    <w:semiHidden/>
    <w:unhideWhenUsed/>
    <w:qFormat/>
    <w:uiPriority w:val="99"/>
    <w:rPr>
      <w:sz w:val="21"/>
      <w:szCs w:val="21"/>
    </w:rPr>
  </w:style>
  <w:style w:type="paragraph" w:styleId="16">
    <w:name w:val="List Paragraph"/>
    <w:basedOn w:val="1"/>
    <w:qFormat/>
    <w:uiPriority w:val="34"/>
    <w:pPr>
      <w:ind w:firstLine="420" w:firstLineChars="200"/>
    </w:pPr>
  </w:style>
  <w:style w:type="character" w:customStyle="1" w:styleId="17">
    <w:name w:val="页眉 字符"/>
    <w:basedOn w:val="13"/>
    <w:link w:val="7"/>
    <w:qFormat/>
    <w:uiPriority w:val="99"/>
    <w:rPr>
      <w:sz w:val="18"/>
      <w:szCs w:val="18"/>
    </w:rPr>
  </w:style>
  <w:style w:type="character" w:customStyle="1" w:styleId="18">
    <w:name w:val="页脚 字符"/>
    <w:basedOn w:val="13"/>
    <w:link w:val="6"/>
    <w:qFormat/>
    <w:uiPriority w:val="99"/>
    <w:rPr>
      <w:sz w:val="18"/>
      <w:szCs w:val="18"/>
    </w:rPr>
  </w:style>
  <w:style w:type="character" w:customStyle="1" w:styleId="19">
    <w:name w:val="批注框文本 字符"/>
    <w:basedOn w:val="13"/>
    <w:link w:val="5"/>
    <w:semiHidden/>
    <w:qFormat/>
    <w:uiPriority w:val="99"/>
    <w:rPr>
      <w:sz w:val="18"/>
      <w:szCs w:val="18"/>
    </w:rPr>
  </w:style>
  <w:style w:type="paragraph" w:customStyle="1" w:styleId="20">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21">
    <w:name w:val="批注文字 字符"/>
    <w:basedOn w:val="13"/>
    <w:link w:val="2"/>
    <w:qFormat/>
    <w:uiPriority w:val="99"/>
  </w:style>
  <w:style w:type="character" w:customStyle="1" w:styleId="22">
    <w:name w:val="批注主题 字符"/>
    <w:basedOn w:val="21"/>
    <w:link w:val="9"/>
    <w:semiHidden/>
    <w:qFormat/>
    <w:uiPriority w:val="99"/>
    <w:rPr>
      <w:b/>
      <w:bCs/>
    </w:rPr>
  </w:style>
  <w:style w:type="paragraph" w:styleId="23">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24">
    <w:name w:val="_Style 6"/>
    <w:basedOn w:val="1"/>
    <w:qFormat/>
    <w:uiPriority w:val="34"/>
    <w:pPr>
      <w:ind w:firstLine="420" w:firstLineChars="200"/>
    </w:pPr>
    <w:rPr>
      <w:rFonts w:ascii="Calibri" w:hAnsi="Calibri" w:eastAsia="宋体" w:cs="Times New Roman"/>
    </w:rPr>
  </w:style>
  <w:style w:type="character" w:customStyle="1" w:styleId="25">
    <w:name w:val="highlight"/>
    <w:basedOn w:val="13"/>
    <w:qFormat/>
    <w:uiPriority w:val="0"/>
  </w:style>
  <w:style w:type="character" w:customStyle="1" w:styleId="26">
    <w:name w:val="正文文本 字符"/>
    <w:basedOn w:val="13"/>
    <w:link w:val="3"/>
    <w:qFormat/>
    <w:uiPriority w:val="1"/>
    <w:rPr>
      <w:rFonts w:ascii="宋体" w:hAnsi="Times New Roman" w:eastAsia="宋体" w:cs="宋体"/>
      <w:kern w:val="0"/>
      <w:sz w:val="24"/>
      <w:szCs w:val="24"/>
    </w:rPr>
  </w:style>
  <w:style w:type="character" w:customStyle="1" w:styleId="27">
    <w:name w:val="正文文本缩进 字符"/>
    <w:basedOn w:val="13"/>
    <w:link w:val="4"/>
    <w:semiHidden/>
    <w:qFormat/>
    <w:uiPriority w:val="99"/>
  </w:style>
  <w:style w:type="character" w:customStyle="1" w:styleId="28">
    <w:name w:val="正文文本首行缩进 2 字符"/>
    <w:basedOn w:val="27"/>
    <w:link w:val="10"/>
    <w:semiHidden/>
    <w:qFormat/>
    <w:uiPriority w:val="99"/>
  </w:style>
  <w:style w:type="paragraph" w:customStyle="1" w:styleId="29">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30">
    <w:name w:val="修订3"/>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31">
    <w:name w:val="修订4"/>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32">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C7B170-1DD8-40F9-A602-725EEAD5F36C}">
  <ds:schemaRefs/>
</ds:datastoreItem>
</file>

<file path=docProps/app.xml><?xml version="1.0" encoding="utf-8"?>
<Properties xmlns="http://schemas.openxmlformats.org/officeDocument/2006/extended-properties" xmlns:vt="http://schemas.openxmlformats.org/officeDocument/2006/docPropsVTypes">
  <Template>Normal</Template>
  <Pages>5</Pages>
  <Words>3255</Words>
  <Characters>3316</Characters>
  <Lines>79</Lines>
  <Paragraphs>62</Paragraphs>
  <TotalTime>2097</TotalTime>
  <ScaleCrop>false</ScaleCrop>
  <LinksUpToDate>false</LinksUpToDate>
  <CharactersWithSpaces>3403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2023-10-31T07:56:00Z</dcterms:created>
  <dc:creator>李 子波</dc:creator>
  <cp:lastModifiedBy>董泽艳</cp:lastModifiedBy>
  <cp:lastPrinted>2024-07-12T01:43:00Z</cp:lastPrinted>
  <dcterms:modified xsi:type="dcterms:W3CDTF">2026-10-14T07:02:48Z</dcterms:modified>
  <cp:revision>2235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3F4B1498DD7C45E0937F0E0C18DC0E9A_13</vt:lpwstr>
  </property>
  <property fmtid="{D5CDD505-2E9C-101B-9397-08002B2CF9AE}" pid="4" name="KSOTemplateDocerSaveRecord">
    <vt:lpwstr>eyJoZGlkIjoiOGMwODc5MzkzMDM1OTM0MjlmZjVmNDc3MzFiMWE4MmIiLCJ1c2VySWQiOiI2NDQ5ODQ1MjQifQ==</vt:lpwstr>
  </property>
</Properties>
</file>