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173FD" w14:textId="15A6481F" w:rsidR="00453654" w:rsidRDefault="00000000">
      <w:pPr>
        <w:jc w:val="left"/>
        <w:rPr>
          <w:rFonts w:ascii="宋体" w:hAnsi="宋体" w:hint="eastAsia"/>
          <w:sz w:val="24"/>
          <w:szCs w:val="24"/>
        </w:rPr>
      </w:pPr>
      <w:r>
        <w:rPr>
          <w:rFonts w:ascii="宋体" w:hAnsi="宋体" w:hint="eastAsia"/>
          <w:sz w:val="24"/>
          <w:szCs w:val="24"/>
        </w:rPr>
        <w:t>证券代码：</w:t>
      </w:r>
      <w:r>
        <w:rPr>
          <w:rFonts w:ascii="宋体" w:hAnsi="宋体"/>
          <w:sz w:val="24"/>
          <w:szCs w:val="24"/>
        </w:rPr>
        <w:t>603262</w:t>
      </w:r>
      <w:r>
        <w:rPr>
          <w:rFonts w:ascii="宋体" w:hAnsi="宋体" w:hint="eastAsia"/>
          <w:sz w:val="24"/>
          <w:szCs w:val="24"/>
        </w:rPr>
        <w:t xml:space="preserve">                      </w:t>
      </w:r>
      <w:r>
        <w:rPr>
          <w:rFonts w:ascii="宋体" w:hAnsi="宋体"/>
          <w:sz w:val="24"/>
          <w:szCs w:val="24"/>
        </w:rPr>
        <w:t xml:space="preserve">     </w:t>
      </w:r>
      <w:r w:rsidR="003226E2">
        <w:rPr>
          <w:rFonts w:ascii="宋体" w:hAnsi="宋体" w:hint="eastAsia"/>
          <w:sz w:val="24"/>
          <w:szCs w:val="24"/>
        </w:rPr>
        <w:t xml:space="preserve">        </w:t>
      </w:r>
      <w:r>
        <w:rPr>
          <w:rFonts w:ascii="宋体" w:hAnsi="宋体" w:hint="eastAsia"/>
          <w:sz w:val="24"/>
          <w:szCs w:val="24"/>
        </w:rPr>
        <w:t>公司简称：</w:t>
      </w:r>
      <w:r>
        <w:rPr>
          <w:rFonts w:ascii="宋体" w:hAnsi="宋体"/>
          <w:sz w:val="24"/>
          <w:szCs w:val="24"/>
        </w:rPr>
        <w:t>技源集团</w:t>
      </w:r>
    </w:p>
    <w:p w14:paraId="79BBAA37" w14:textId="77777777" w:rsidR="00453654" w:rsidRDefault="00000000">
      <w:pPr>
        <w:jc w:val="center"/>
        <w:rPr>
          <w:rFonts w:ascii="黑体" w:eastAsia="黑体" w:hAnsi="黑体" w:hint="eastAsia"/>
          <w:sz w:val="36"/>
          <w:szCs w:val="36"/>
        </w:rPr>
      </w:pPr>
      <w:r>
        <w:rPr>
          <w:rFonts w:ascii="黑体" w:eastAsia="黑体" w:hAnsi="黑体" w:hint="eastAsia"/>
          <w:sz w:val="36"/>
          <w:szCs w:val="36"/>
        </w:rPr>
        <w:t>技源集团股份有限公司</w:t>
      </w:r>
    </w:p>
    <w:p w14:paraId="2F7E032E" w14:textId="77777777" w:rsidR="00453654" w:rsidRDefault="00000000">
      <w:pPr>
        <w:jc w:val="center"/>
        <w:rPr>
          <w:rFonts w:ascii="黑体" w:eastAsia="黑体" w:hAnsi="黑体" w:hint="eastAsia"/>
          <w:sz w:val="36"/>
          <w:szCs w:val="36"/>
        </w:rPr>
      </w:pPr>
      <w:r>
        <w:rPr>
          <w:rFonts w:ascii="黑体" w:eastAsia="黑体" w:hAnsi="黑体" w:hint="eastAsia"/>
          <w:sz w:val="36"/>
          <w:szCs w:val="36"/>
        </w:rPr>
        <w:t>投资者关系活动记录表</w:t>
      </w:r>
    </w:p>
    <w:p w14:paraId="6EF9D045" w14:textId="46E7A774" w:rsidR="00453654" w:rsidRDefault="00453654" w:rsidP="003226E2">
      <w:pPr>
        <w:ind w:right="1680"/>
        <w:rPr>
          <w:rFonts w:ascii="黑体" w:eastAsia="黑体" w:hAnsi="黑体" w:hint="eastAsia"/>
          <w:sz w:val="24"/>
          <w:szCs w:val="24"/>
        </w:rPr>
      </w:pPr>
    </w:p>
    <w:tbl>
      <w:tblPr>
        <w:tblStyle w:val="a4"/>
        <w:tblW w:w="8717" w:type="dxa"/>
        <w:tblLook w:val="04A0" w:firstRow="1" w:lastRow="0" w:firstColumn="1" w:lastColumn="0" w:noHBand="0" w:noVBand="1"/>
      </w:tblPr>
      <w:tblGrid>
        <w:gridCol w:w="1526"/>
        <w:gridCol w:w="7191"/>
      </w:tblGrid>
      <w:tr w:rsidR="00453654" w14:paraId="42B4D004" w14:textId="77777777">
        <w:trPr>
          <w:trHeight w:val="838"/>
        </w:trPr>
        <w:tc>
          <w:tcPr>
            <w:tcW w:w="1526" w:type="dxa"/>
            <w:vAlign w:val="center"/>
          </w:tcPr>
          <w:p w14:paraId="00B7E686" w14:textId="77777777" w:rsidR="00453654" w:rsidRDefault="00000000">
            <w:pPr>
              <w:rPr>
                <w:sz w:val="24"/>
                <w:szCs w:val="24"/>
              </w:rPr>
            </w:pPr>
            <w:r>
              <w:rPr>
                <w:rFonts w:hint="eastAsia"/>
                <w:sz w:val="24"/>
                <w:szCs w:val="24"/>
              </w:rPr>
              <w:t>投资者关系活动类别</w:t>
            </w:r>
          </w:p>
        </w:tc>
        <w:tc>
          <w:tcPr>
            <w:tcW w:w="7191" w:type="dxa"/>
            <w:vAlign w:val="center"/>
          </w:tcPr>
          <w:p w14:paraId="2A13551C" w14:textId="77777777" w:rsidR="00453654" w:rsidRDefault="00000000">
            <w:pPr>
              <w:spacing w:line="360" w:lineRule="auto"/>
              <w:rPr>
                <w:sz w:val="24"/>
                <w:szCs w:val="24"/>
              </w:rPr>
            </w:pPr>
            <w:r>
              <w:rPr>
                <w:rFonts w:ascii="宋体" w:hAnsi="宋体" w:cs="宋体" w:hint="eastAsia"/>
                <w:sz w:val="24"/>
                <w:szCs w:val="24"/>
              </w:rPr>
              <w:t>业绩说明会</w:t>
            </w:r>
          </w:p>
        </w:tc>
      </w:tr>
      <w:tr w:rsidR="00453654" w14:paraId="1D35E458" w14:textId="77777777">
        <w:trPr>
          <w:trHeight w:val="838"/>
        </w:trPr>
        <w:tc>
          <w:tcPr>
            <w:tcW w:w="1526" w:type="dxa"/>
            <w:vAlign w:val="center"/>
          </w:tcPr>
          <w:p w14:paraId="2D9CFB50" w14:textId="77777777" w:rsidR="00453654" w:rsidRDefault="00000000">
            <w:pPr>
              <w:rPr>
                <w:sz w:val="24"/>
                <w:szCs w:val="24"/>
              </w:rPr>
            </w:pPr>
            <w:r>
              <w:rPr>
                <w:rFonts w:hint="eastAsia"/>
                <w:sz w:val="24"/>
                <w:szCs w:val="24"/>
              </w:rPr>
              <w:t>活动主题</w:t>
            </w:r>
          </w:p>
        </w:tc>
        <w:tc>
          <w:tcPr>
            <w:tcW w:w="7191" w:type="dxa"/>
            <w:vAlign w:val="center"/>
          </w:tcPr>
          <w:p w14:paraId="7A6203BA" w14:textId="77777777" w:rsidR="00453654" w:rsidRDefault="00000000">
            <w:pPr>
              <w:rPr>
                <w:sz w:val="24"/>
                <w:szCs w:val="24"/>
              </w:rPr>
            </w:pPr>
            <w:r>
              <w:rPr>
                <w:rFonts w:ascii="宋体" w:hAnsi="宋体" w:cs="宋体" w:hint="eastAsia"/>
                <w:bCs/>
                <w:iCs/>
                <w:color w:val="000000"/>
                <w:sz w:val="24"/>
                <w:lang w:val="en-GB"/>
              </w:rPr>
              <w:t>技源集团2026年半年度业绩说明会</w:t>
            </w:r>
          </w:p>
        </w:tc>
      </w:tr>
      <w:tr w:rsidR="00453654" w14:paraId="0129157B" w14:textId="77777777">
        <w:trPr>
          <w:trHeight w:val="799"/>
        </w:trPr>
        <w:tc>
          <w:tcPr>
            <w:tcW w:w="1526" w:type="dxa"/>
            <w:vAlign w:val="center"/>
          </w:tcPr>
          <w:p w14:paraId="3785BB7E" w14:textId="77777777" w:rsidR="00453654" w:rsidRDefault="00000000">
            <w:pPr>
              <w:rPr>
                <w:sz w:val="24"/>
                <w:szCs w:val="24"/>
              </w:rPr>
            </w:pPr>
            <w:r>
              <w:rPr>
                <w:rFonts w:hint="eastAsia"/>
                <w:sz w:val="24"/>
                <w:szCs w:val="24"/>
              </w:rPr>
              <w:t>时间</w:t>
            </w:r>
          </w:p>
        </w:tc>
        <w:tc>
          <w:tcPr>
            <w:tcW w:w="7191" w:type="dxa"/>
            <w:vAlign w:val="center"/>
          </w:tcPr>
          <w:p w14:paraId="20769B1B" w14:textId="020838A0" w:rsidR="00453654" w:rsidRDefault="00000000">
            <w:pPr>
              <w:rPr>
                <w:sz w:val="24"/>
                <w:szCs w:val="24"/>
              </w:rPr>
            </w:pPr>
            <w:r>
              <w:rPr>
                <w:rFonts w:ascii="宋体" w:hAnsi="宋体" w:cs="宋体" w:hint="eastAsia"/>
                <w:bCs/>
                <w:iCs/>
                <w:color w:val="000000"/>
                <w:sz w:val="24"/>
              </w:rPr>
              <w:t>2026-10-15 15:00-16:00</w:t>
            </w:r>
          </w:p>
        </w:tc>
      </w:tr>
      <w:tr w:rsidR="00453654" w14:paraId="5B4256E7" w14:textId="77777777" w:rsidTr="003226E2">
        <w:trPr>
          <w:trHeight w:val="838"/>
        </w:trPr>
        <w:tc>
          <w:tcPr>
            <w:tcW w:w="1526" w:type="dxa"/>
            <w:vAlign w:val="center"/>
          </w:tcPr>
          <w:p w14:paraId="2029CBC7" w14:textId="77777777" w:rsidR="00453654" w:rsidRDefault="00000000">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vAlign w:val="center"/>
          </w:tcPr>
          <w:p w14:paraId="7E7B5EB1" w14:textId="77777777" w:rsidR="00453654" w:rsidRDefault="00000000" w:rsidP="003226E2">
            <w:pPr>
              <w:rPr>
                <w:rFonts w:ascii="宋体" w:hAnsi="宋体" w:hint="eastAsia"/>
                <w:bCs/>
                <w:sz w:val="24"/>
              </w:rPr>
            </w:pPr>
            <w:r>
              <w:rPr>
                <w:rFonts w:ascii="宋体" w:hAnsi="宋体" w:hint="eastAsia"/>
                <w:bCs/>
                <w:sz w:val="24"/>
              </w:rPr>
              <w:t xml:space="preserve">上证路演中心 </w:t>
            </w:r>
            <w:hyperlink r:id="rId6" w:history="1">
              <w:r w:rsidR="00453654">
                <w:rPr>
                  <w:rStyle w:val="a5"/>
                  <w:rFonts w:ascii="宋体" w:hAnsi="宋体" w:hint="eastAsia"/>
                  <w:bCs/>
                  <w:sz w:val="24"/>
                </w:rPr>
                <w:t>https://roadshow.sseinfo.com</w:t>
              </w:r>
            </w:hyperlink>
          </w:p>
          <w:p w14:paraId="5DECA9FE" w14:textId="77777777" w:rsidR="00453654" w:rsidRDefault="00000000" w:rsidP="003226E2">
            <w:pPr>
              <w:rPr>
                <w:sz w:val="24"/>
                <w:szCs w:val="24"/>
              </w:rPr>
            </w:pPr>
            <w:r>
              <w:rPr>
                <w:rFonts w:ascii="宋体" w:hAnsi="宋体" w:hint="eastAsia"/>
                <w:bCs/>
                <w:sz w:val="24"/>
              </w:rPr>
              <w:t>网络文字互动</w:t>
            </w:r>
          </w:p>
        </w:tc>
      </w:tr>
      <w:tr w:rsidR="00453654" w14:paraId="542F0441" w14:textId="77777777">
        <w:trPr>
          <w:trHeight w:val="838"/>
        </w:trPr>
        <w:tc>
          <w:tcPr>
            <w:tcW w:w="1526" w:type="dxa"/>
            <w:vAlign w:val="center"/>
          </w:tcPr>
          <w:p w14:paraId="1B0CCFC2" w14:textId="77777777" w:rsidR="00453654" w:rsidRDefault="00000000">
            <w:pPr>
              <w:rPr>
                <w:sz w:val="24"/>
                <w:szCs w:val="24"/>
              </w:rPr>
            </w:pPr>
            <w:r>
              <w:rPr>
                <w:rFonts w:hint="eastAsia"/>
                <w:sz w:val="24"/>
                <w:szCs w:val="24"/>
              </w:rPr>
              <w:t>参会人员</w:t>
            </w:r>
          </w:p>
        </w:tc>
        <w:tc>
          <w:tcPr>
            <w:tcW w:w="7191" w:type="dxa"/>
            <w:vAlign w:val="center"/>
          </w:tcPr>
          <w:p w14:paraId="5ED37191" w14:textId="77777777" w:rsidR="003226E2" w:rsidRDefault="003226E2">
            <w:pPr>
              <w:spacing w:line="360" w:lineRule="auto"/>
              <w:rPr>
                <w:rFonts w:ascii="宋体" w:hAnsi="宋体" w:cs="宋体"/>
                <w:sz w:val="24"/>
                <w:szCs w:val="24"/>
              </w:rPr>
            </w:pPr>
            <w:r>
              <w:rPr>
                <w:rFonts w:ascii="宋体" w:hAnsi="宋体" w:cs="宋体" w:hint="eastAsia"/>
                <w:sz w:val="24"/>
                <w:szCs w:val="24"/>
              </w:rPr>
              <w:t>董事长：周京石</w:t>
            </w:r>
          </w:p>
          <w:p w14:paraId="77777180" w14:textId="09AD77A4" w:rsidR="003226E2" w:rsidRDefault="003226E2">
            <w:pPr>
              <w:spacing w:line="360" w:lineRule="auto"/>
              <w:rPr>
                <w:rFonts w:ascii="宋体" w:hAnsi="宋体" w:cs="宋体"/>
                <w:sz w:val="24"/>
                <w:szCs w:val="24"/>
              </w:rPr>
            </w:pPr>
            <w:r>
              <w:rPr>
                <w:rFonts w:ascii="宋体" w:hAnsi="宋体" w:cs="宋体" w:hint="eastAsia"/>
                <w:sz w:val="24"/>
                <w:szCs w:val="24"/>
              </w:rPr>
              <w:t>董事、总经理：龙玲</w:t>
            </w:r>
          </w:p>
          <w:p w14:paraId="0ADEE8E6" w14:textId="77777777" w:rsidR="003226E2" w:rsidRDefault="00000000">
            <w:pPr>
              <w:spacing w:line="360" w:lineRule="auto"/>
              <w:rPr>
                <w:rFonts w:ascii="宋体" w:hAnsi="宋体" w:cs="宋体"/>
                <w:sz w:val="24"/>
                <w:szCs w:val="24"/>
              </w:rPr>
            </w:pPr>
            <w:r>
              <w:rPr>
                <w:rFonts w:ascii="宋体" w:hAnsi="宋体" w:cs="宋体" w:hint="eastAsia"/>
                <w:sz w:val="24"/>
                <w:szCs w:val="24"/>
              </w:rPr>
              <w:t>职工董事、财务总监、董事会秘书：汪燕</w:t>
            </w:r>
          </w:p>
          <w:p w14:paraId="558B1845" w14:textId="71DEC956" w:rsidR="00453654" w:rsidRDefault="00000000">
            <w:pPr>
              <w:spacing w:line="360" w:lineRule="auto"/>
              <w:rPr>
                <w:sz w:val="24"/>
                <w:szCs w:val="24"/>
              </w:rPr>
            </w:pPr>
            <w:r>
              <w:rPr>
                <w:rFonts w:ascii="宋体" w:hAnsi="宋体" w:cs="宋体" w:hint="eastAsia"/>
                <w:sz w:val="24"/>
                <w:szCs w:val="24"/>
              </w:rPr>
              <w:t>独立董事：李国范</w:t>
            </w:r>
          </w:p>
        </w:tc>
      </w:tr>
      <w:tr w:rsidR="00453654" w14:paraId="778BC89A" w14:textId="77777777">
        <w:trPr>
          <w:trHeight w:val="557"/>
        </w:trPr>
        <w:tc>
          <w:tcPr>
            <w:tcW w:w="1526" w:type="dxa"/>
            <w:vAlign w:val="center"/>
          </w:tcPr>
          <w:p w14:paraId="2AC30EC0" w14:textId="77777777" w:rsidR="00453654" w:rsidRDefault="00000000">
            <w:pPr>
              <w:rPr>
                <w:sz w:val="24"/>
                <w:szCs w:val="24"/>
              </w:rPr>
            </w:pPr>
            <w:r>
              <w:rPr>
                <w:rFonts w:hint="eastAsia"/>
                <w:sz w:val="24"/>
                <w:szCs w:val="24"/>
              </w:rPr>
              <w:t>投资者关系活动主要内容介绍</w:t>
            </w:r>
          </w:p>
        </w:tc>
        <w:tc>
          <w:tcPr>
            <w:tcW w:w="7191" w:type="dxa"/>
          </w:tcPr>
          <w:p w14:paraId="2C136225" w14:textId="26682153" w:rsidR="00453654" w:rsidRDefault="00000000" w:rsidP="003226E2">
            <w:pPr>
              <w:spacing w:line="360" w:lineRule="auto"/>
            </w:pPr>
            <w:r>
              <w:rPr>
                <w:rFonts w:ascii="宋体"/>
                <w:sz w:val="24"/>
              </w:rPr>
              <w:t>1、139*****462问技源集团职工董事、财务总监、董事会秘书汪燕：在国内保健食品、膳食补充剂市场有哪些具体的拓展规划？</w:t>
            </w:r>
          </w:p>
          <w:p w14:paraId="2B17B2B7" w14:textId="0F8136ED" w:rsidR="003226E2" w:rsidRDefault="00000000" w:rsidP="003226E2">
            <w:pPr>
              <w:spacing w:line="360" w:lineRule="auto"/>
              <w:rPr>
                <w:rFonts w:ascii="宋体"/>
                <w:sz w:val="24"/>
              </w:rPr>
            </w:pPr>
            <w:r>
              <w:rPr>
                <w:rFonts w:ascii="宋体"/>
                <w:sz w:val="24"/>
              </w:rPr>
              <w:t>答</w:t>
            </w:r>
            <w:r w:rsidR="009F646B">
              <w:rPr>
                <w:rFonts w:ascii="宋体" w:hint="eastAsia"/>
                <w:sz w:val="24"/>
              </w:rPr>
              <w:t>：</w:t>
            </w:r>
          </w:p>
          <w:p w14:paraId="4EAD0DA1" w14:textId="05DA4663" w:rsidR="003226E2" w:rsidRDefault="00000000" w:rsidP="003226E2">
            <w:pPr>
              <w:spacing w:line="360" w:lineRule="auto"/>
              <w:ind w:firstLineChars="200" w:firstLine="480"/>
              <w:rPr>
                <w:rFonts w:ascii="宋体"/>
                <w:sz w:val="24"/>
              </w:rPr>
            </w:pPr>
            <w:r>
              <w:rPr>
                <w:rFonts w:ascii="宋体"/>
                <w:sz w:val="24"/>
              </w:rPr>
              <w:t>尊敬的投资者：您好。感谢您的提问。</w:t>
            </w:r>
          </w:p>
          <w:p w14:paraId="05663A7D" w14:textId="0FB7CC39" w:rsidR="003226E2" w:rsidRDefault="00000000" w:rsidP="003226E2">
            <w:pPr>
              <w:spacing w:line="360" w:lineRule="auto"/>
              <w:ind w:firstLine="480"/>
              <w:rPr>
                <w:rFonts w:ascii="宋体"/>
                <w:sz w:val="24"/>
              </w:rPr>
            </w:pPr>
            <w:r>
              <w:rPr>
                <w:rFonts w:ascii="宋体"/>
                <w:sz w:val="24"/>
              </w:rPr>
              <w:t>公司看好国内市场的发展空间和增长潜力。从终端消费者需求来看，与社会老龄化、体重管理等相关的营养健康需求持续增长，公司也将相应加大以肌肉健康、行动力健康等营养补充剂解决方案为代表的业务拓展力度。从客户开发与服务来看，除营养补充剂品牌客户外，公司还将积极开发和服务食品饮料类品牌客户，挖掘功能性食品领域及其他能够将公司的创新能力、解决方案与食品饮料产品相结合的市场机会。</w:t>
            </w:r>
          </w:p>
          <w:p w14:paraId="7EA8DDC9" w14:textId="21CB0AB3" w:rsidR="00453654" w:rsidRDefault="00000000" w:rsidP="003226E2">
            <w:pPr>
              <w:spacing w:line="360" w:lineRule="auto"/>
              <w:ind w:firstLine="480"/>
              <w:rPr>
                <w:rFonts w:ascii="宋体"/>
                <w:sz w:val="24"/>
              </w:rPr>
            </w:pPr>
            <w:r>
              <w:rPr>
                <w:rFonts w:ascii="宋体"/>
                <w:sz w:val="24"/>
              </w:rPr>
              <w:t>在个性化精准营养方面，国内市场是公司的主要目标市场之一。2026年，公司个性化精准营养业务正式迈入全球商业化元年。目前，该业务已覆盖美国、澳大利亚及中国国内市场。报告期内，公司已</w:t>
            </w:r>
            <w:r>
              <w:rPr>
                <w:rFonts w:ascii="宋体"/>
                <w:sz w:val="24"/>
              </w:rPr>
              <w:lastRenderedPageBreak/>
              <w:t>完成上述三个市场专属生产线的部署，各市场均有一条生产线建成并投入运营，标志着公司个性化精准营养业务已初步形成覆盖三大市场的全球交付能力。</w:t>
            </w:r>
          </w:p>
          <w:p w14:paraId="2F5158A3" w14:textId="77777777" w:rsidR="00453654" w:rsidRDefault="00000000" w:rsidP="003226E2">
            <w:pPr>
              <w:spacing w:line="360" w:lineRule="auto"/>
            </w:pPr>
            <w:r>
              <w:rPr>
                <w:rFonts w:ascii="宋体"/>
                <w:sz w:val="24"/>
              </w:rPr>
              <w:t>2、139*****462问技源集团职工董事、财务总监、董事会秘书汪燕：上半年公司营收、净利润同比下滑，主要受海外需求和汇兑损失拖累，请问管理层对北美、欧洲主要客户下半年的订单回暖有怎样的判断？</w:t>
            </w:r>
          </w:p>
          <w:p w14:paraId="4B55E4BA" w14:textId="77777777" w:rsidR="003226E2" w:rsidRDefault="00000000" w:rsidP="003226E2">
            <w:pPr>
              <w:spacing w:line="360" w:lineRule="auto"/>
              <w:rPr>
                <w:rFonts w:ascii="宋体"/>
                <w:sz w:val="24"/>
              </w:rPr>
            </w:pPr>
            <w:r>
              <w:rPr>
                <w:rFonts w:ascii="宋体"/>
                <w:sz w:val="24"/>
              </w:rPr>
              <w:t>答</w:t>
            </w:r>
            <w:r w:rsidR="003226E2">
              <w:rPr>
                <w:rFonts w:ascii="宋体" w:hint="eastAsia"/>
                <w:sz w:val="24"/>
              </w:rPr>
              <w:t>：</w:t>
            </w:r>
          </w:p>
          <w:p w14:paraId="53423B69" w14:textId="77777777" w:rsidR="003226E2" w:rsidRDefault="00000000" w:rsidP="003226E2">
            <w:pPr>
              <w:spacing w:line="360" w:lineRule="auto"/>
              <w:ind w:firstLineChars="200" w:firstLine="480"/>
              <w:rPr>
                <w:rFonts w:ascii="宋体"/>
                <w:sz w:val="24"/>
              </w:rPr>
            </w:pPr>
            <w:r>
              <w:rPr>
                <w:rFonts w:ascii="宋体"/>
                <w:sz w:val="24"/>
              </w:rPr>
              <w:t>尊敬的投资者</w:t>
            </w:r>
            <w:r w:rsidR="003226E2">
              <w:rPr>
                <w:rFonts w:ascii="宋体" w:hint="eastAsia"/>
                <w:sz w:val="24"/>
              </w:rPr>
              <w:t>：</w:t>
            </w:r>
            <w:r>
              <w:rPr>
                <w:rFonts w:ascii="宋体"/>
                <w:sz w:val="24"/>
              </w:rPr>
              <w:t>您好。感谢您的提问。</w:t>
            </w:r>
          </w:p>
          <w:p w14:paraId="68F23EE5" w14:textId="3DCC5E39" w:rsidR="003226E2" w:rsidRDefault="00000000" w:rsidP="003226E2">
            <w:pPr>
              <w:spacing w:line="360" w:lineRule="auto"/>
              <w:ind w:firstLineChars="200" w:firstLine="480"/>
              <w:rPr>
                <w:rFonts w:ascii="宋体"/>
                <w:sz w:val="24"/>
              </w:rPr>
            </w:pPr>
            <w:r>
              <w:rPr>
                <w:rFonts w:ascii="宋体"/>
                <w:sz w:val="24"/>
              </w:rPr>
              <w:t>2026年1-6月，公司实现营业收入51,475.78万元，同比减少8.57%，净利润7,403.69万元，同比减少24.60%。分季度看，2026年第二季度实现营业收入27,467.81万元，较第一季度环比增长14.41%。分产品大类看，营养原料销售收入为36,682.68万元，同比减少6.02%；营养制剂销售收入为14,722.86万元，同比减少14.13%。</w:t>
            </w:r>
          </w:p>
          <w:p w14:paraId="25FFE107" w14:textId="77777777" w:rsidR="003226E2" w:rsidRDefault="00000000" w:rsidP="003226E2">
            <w:pPr>
              <w:spacing w:line="360" w:lineRule="auto"/>
              <w:ind w:firstLineChars="200" w:firstLine="480"/>
              <w:rPr>
                <w:rFonts w:ascii="宋体"/>
                <w:sz w:val="24"/>
              </w:rPr>
            </w:pPr>
            <w:r>
              <w:rPr>
                <w:rFonts w:ascii="宋体"/>
                <w:sz w:val="24"/>
              </w:rPr>
              <w:t>报告期内，某北美客户备货节奏的变化是导致氨糖和硫酸软骨素销售收入同比下降的重要原因。但从整个美洲区域来看，剔除由公司总部直管的两家客户后，来自其他美洲区域客户的销售收入同比实现较大幅度增长。其中，北美仍是全球营养补充剂市场的桥头堡和风向标，与公司的发展战略和竞争优势契合度较高，公司对在北美市场的发展前景抱有信心。</w:t>
            </w:r>
          </w:p>
          <w:p w14:paraId="5EC23F5A" w14:textId="4405F5EA" w:rsidR="00453654" w:rsidRDefault="00000000" w:rsidP="003226E2">
            <w:pPr>
              <w:spacing w:line="360" w:lineRule="auto"/>
              <w:ind w:firstLineChars="200" w:firstLine="480"/>
              <w:rPr>
                <w:rFonts w:ascii="宋体"/>
                <w:sz w:val="24"/>
              </w:rPr>
            </w:pPr>
            <w:r>
              <w:rPr>
                <w:rFonts w:ascii="宋体"/>
                <w:sz w:val="24"/>
              </w:rPr>
              <w:t>报告期内营养制剂业务的收入波动主要集中于欧洲市场。一方面，受部分北欧客户自身经营因素影响，相关营养制剂销售收入同比有所下降；另一方面，部分欧洲客户及其相关业务与公司未来战略方向的契合度较低，公司已主动逐步减少资源投入，以推动业务结构向更高质量方向转型。欧洲业务尽管短期业绩承压，但更具战略价值且可规模化的业务基础正在逐步构建。商机管道开发取得积极进展，正在推进的产品管线涵盖肌酸咀嚼片及糖果类产品、高端镁解决方案、FZZR电解质概念产品、优化原料，以及面向临床定位</w:t>
            </w:r>
            <w:r>
              <w:rPr>
                <w:rFonts w:ascii="宋体"/>
                <w:sz w:val="24"/>
              </w:rPr>
              <w:lastRenderedPageBreak/>
              <w:t>的肌肉健康解决方案。其中多个项目正与大型消费品牌、制药企业、合同制造商及知名运动营养公司合作推进。</w:t>
            </w:r>
          </w:p>
          <w:p w14:paraId="5D054D3D" w14:textId="77777777" w:rsidR="00453654" w:rsidRDefault="00000000" w:rsidP="003226E2">
            <w:pPr>
              <w:spacing w:line="360" w:lineRule="auto"/>
            </w:pPr>
            <w:r>
              <w:rPr>
                <w:rFonts w:ascii="宋体"/>
                <w:sz w:val="24"/>
              </w:rPr>
              <w:t>3、139*****462问技源集团职工董事、财务总监、董事会秘书汪燕：</w:t>
            </w:r>
            <w:r>
              <w:rPr>
                <w:rFonts w:ascii="宋体"/>
                <w:sz w:val="24"/>
              </w:rPr>
              <w:t> </w:t>
            </w:r>
            <w:r>
              <w:rPr>
                <w:rFonts w:ascii="宋体"/>
                <w:sz w:val="24"/>
              </w:rPr>
              <w:t>制剂业务目前收入占比还不高，公司制剂产能建设进度如何？</w:t>
            </w:r>
          </w:p>
          <w:p w14:paraId="5F0ADCB9" w14:textId="77777777" w:rsidR="003226E2" w:rsidRDefault="00000000" w:rsidP="003226E2">
            <w:pPr>
              <w:spacing w:line="360" w:lineRule="auto"/>
              <w:rPr>
                <w:rFonts w:ascii="宋体"/>
                <w:sz w:val="24"/>
              </w:rPr>
            </w:pPr>
            <w:r>
              <w:rPr>
                <w:rFonts w:ascii="宋体"/>
                <w:sz w:val="24"/>
              </w:rPr>
              <w:t>答</w:t>
            </w:r>
            <w:r w:rsidR="003226E2">
              <w:rPr>
                <w:rFonts w:ascii="宋体" w:hint="eastAsia"/>
                <w:sz w:val="24"/>
              </w:rPr>
              <w:t>：</w:t>
            </w:r>
          </w:p>
          <w:p w14:paraId="1427D1B4" w14:textId="50C7C0CC" w:rsidR="003226E2" w:rsidRDefault="00000000" w:rsidP="003226E2">
            <w:pPr>
              <w:spacing w:line="360" w:lineRule="auto"/>
              <w:ind w:firstLineChars="200" w:firstLine="480"/>
              <w:rPr>
                <w:rFonts w:ascii="宋体"/>
                <w:sz w:val="24"/>
              </w:rPr>
            </w:pPr>
            <w:r>
              <w:rPr>
                <w:rFonts w:ascii="宋体"/>
                <w:sz w:val="24"/>
              </w:rPr>
              <w:t>尊敬的投资者：您好。感谢您的提问。</w:t>
            </w:r>
          </w:p>
          <w:p w14:paraId="12888E47" w14:textId="77777777" w:rsidR="003226E2" w:rsidRDefault="00000000" w:rsidP="003226E2">
            <w:pPr>
              <w:spacing w:line="360" w:lineRule="auto"/>
              <w:ind w:firstLineChars="200" w:firstLine="480"/>
              <w:rPr>
                <w:rFonts w:ascii="宋体"/>
                <w:sz w:val="24"/>
              </w:rPr>
            </w:pPr>
            <w:r>
              <w:rPr>
                <w:rFonts w:ascii="宋体"/>
                <w:sz w:val="24"/>
              </w:rPr>
              <w:t>在营养制剂板块，公司具备主流剂型与微泡腾片、吸管等创新剂型的规模化生产能力，并持续强化配方、口感、包装等综合研发能力，为客户提供从全案开发到生产交付的一站式服务。</w:t>
            </w:r>
          </w:p>
          <w:p w14:paraId="6C3EE445" w14:textId="77777777" w:rsidR="003226E2" w:rsidRDefault="00000000" w:rsidP="003226E2">
            <w:pPr>
              <w:spacing w:line="360" w:lineRule="auto"/>
              <w:ind w:firstLineChars="200" w:firstLine="480"/>
              <w:rPr>
                <w:rFonts w:ascii="宋体"/>
                <w:sz w:val="24"/>
              </w:rPr>
            </w:pPr>
            <w:r>
              <w:rPr>
                <w:rFonts w:ascii="宋体"/>
                <w:sz w:val="24"/>
              </w:rPr>
              <w:t>公司制剂业务当前正处于战略转型升级的关键阶段，这一进程是公司构建营养补充剂解决方案创新体系与商业化平台战略的重要组成部分。转型升级的重点工作围绕三个维度展开：一是对业务体系、运营流程及组织团队进行系统性重组与再造，以提升整体运行效率；二是优化资源配置机制，强化科学决策，同时确保所开发的创新解决方案具备良好的可复制性，以支撑规模化推广；三是加快全球化、高效率的生产制造与供应链网络建设，为各主要市场客户提供更具竞争力的服务保障。</w:t>
            </w:r>
          </w:p>
          <w:p w14:paraId="1EF6A7B0" w14:textId="2C21BBE7" w:rsidR="00453654" w:rsidRPr="003226E2" w:rsidRDefault="00000000" w:rsidP="003226E2">
            <w:pPr>
              <w:spacing w:line="360" w:lineRule="auto"/>
              <w:ind w:firstLineChars="200" w:firstLine="480"/>
              <w:rPr>
                <w:rFonts w:ascii="宋体" w:hint="eastAsia"/>
                <w:sz w:val="24"/>
              </w:rPr>
            </w:pPr>
            <w:r>
              <w:rPr>
                <w:rFonts w:ascii="宋体"/>
                <w:sz w:val="24"/>
              </w:rPr>
              <w:t>2026年上半年，在全球生产制造布局方面，公司的澳大利亚新制造工厂已建设完成，该工厂的生产能力涵盖多种剂型。国内制剂工厂的产能扩充升级和位于美国、泰国的新制造工厂建设正有序推进。随着上述产能的陆续建成投产，公司将具备向更广阔市场输出创新制剂解决方案的能力，为全球化业务拓展提供有力支撑。</w:t>
            </w:r>
          </w:p>
        </w:tc>
      </w:tr>
    </w:tbl>
    <w:p w14:paraId="169F9162" w14:textId="77777777" w:rsidR="00453654" w:rsidRDefault="00453654"/>
    <w:sectPr w:rsidR="00453654">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7A4E2" w14:textId="77777777" w:rsidR="00557463" w:rsidRDefault="00557463">
      <w:r>
        <w:separator/>
      </w:r>
    </w:p>
  </w:endnote>
  <w:endnote w:type="continuationSeparator" w:id="0">
    <w:p w14:paraId="414F0F3E" w14:textId="77777777" w:rsidR="00557463" w:rsidRDefault="00557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47CC0" w14:textId="77777777" w:rsidR="00557463" w:rsidRDefault="00557463">
      <w:r>
        <w:separator/>
      </w:r>
    </w:p>
  </w:footnote>
  <w:footnote w:type="continuationSeparator" w:id="0">
    <w:p w14:paraId="716B0286" w14:textId="77777777" w:rsidR="00557463" w:rsidRDefault="00557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F9DB4" w14:textId="77777777" w:rsidR="00453654" w:rsidRDefault="00000000">
    <w:pPr>
      <w:pStyle w:val="a3"/>
      <w:tabs>
        <w:tab w:val="clear" w:pos="4153"/>
      </w:tabs>
      <w:jc w:val="right"/>
    </w:pPr>
    <w:r>
      <w:rPr>
        <w:rFonts w:hint="eastAsia"/>
      </w:rPr>
      <w:t>技源集团股份有限公司投资者关系活动记录表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453654"/>
    <w:rsid w:val="000E10A4"/>
    <w:rsid w:val="003226E2"/>
    <w:rsid w:val="00453654"/>
    <w:rsid w:val="00557463"/>
    <w:rsid w:val="00860E6C"/>
    <w:rsid w:val="008A1A67"/>
    <w:rsid w:val="008B32F1"/>
    <w:rsid w:val="009F646B"/>
    <w:rsid w:val="00E220AA"/>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EE299"/>
  <w15:docId w15:val="{E4F892BE-FB83-44A9-8743-EE55BBED3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basedOn w:val="a0"/>
    <w:uiPriority w:val="99"/>
    <w:unhideWhenUsed/>
    <w:qFormat/>
    <w:rPr>
      <w:color w:val="0563C1"/>
      <w:u w:val="single"/>
    </w:rPr>
  </w:style>
  <w:style w:type="paragraph" w:customStyle="1" w:styleId="Style6">
    <w:name w:val="_Style 6"/>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Investor Relationship</cp:lastModifiedBy>
  <cp:revision>5</cp:revision>
  <dcterms:created xsi:type="dcterms:W3CDTF">2026-10-15T08:27:00Z</dcterms:created>
  <dcterms:modified xsi:type="dcterms:W3CDTF">2026-10-15T08:40:00Z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