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C4870C5">
      <w:pPr>
        <w:spacing w:before="100" w:beforeAutospacing="1"/>
        <w:jc w:val="center"/>
        <w:rPr>
          <w:rFonts w:ascii="Times New Roman" w:eastAsia="宋体"/>
          <w:b/>
          <w:sz w:val="36"/>
          <w:szCs w:val="36"/>
        </w:rPr>
      </w:pPr>
      <w:r>
        <w:rPr>
          <w:rFonts w:ascii="Times New Roman" w:eastAsia="宋体"/>
          <w:b/>
          <w:sz w:val="36"/>
          <w:szCs w:val="36"/>
        </w:rPr>
        <w:t>金宏气体股份有限公司</w:t>
      </w:r>
    </w:p>
    <w:p w14:paraId="321B2D74">
      <w:pPr>
        <w:jc w:val="center"/>
        <w:rPr>
          <w:rFonts w:ascii="Times New Roman" w:eastAsia="宋体"/>
          <w:b/>
          <w:sz w:val="36"/>
          <w:szCs w:val="36"/>
        </w:rPr>
      </w:pPr>
      <w:r>
        <w:rPr>
          <w:rFonts w:ascii="Times New Roman" w:eastAsia="宋体"/>
          <w:b/>
          <w:sz w:val="36"/>
          <w:szCs w:val="36"/>
        </w:rPr>
        <w:t>投资者关系活动记录表</w:t>
      </w:r>
    </w:p>
    <w:p w14:paraId="57AB8698">
      <w:pPr>
        <w:spacing w:before="156" w:beforeLines="50" w:line="360" w:lineRule="auto"/>
        <w:rPr>
          <w:rFonts w:hint="default" w:ascii="Times New Roman" w:eastAsia="宋体"/>
          <w:sz w:val="24"/>
          <w:szCs w:val="24"/>
          <w:lang w:val="en-US" w:eastAsia="zh-CN"/>
        </w:rPr>
      </w:pPr>
      <w:r>
        <w:rPr>
          <w:rFonts w:ascii="Times New Roman" w:eastAsia="宋体"/>
          <w:sz w:val="24"/>
          <w:szCs w:val="24"/>
        </w:rPr>
        <w:t>股票简称：金宏气体</w:t>
      </w:r>
      <w:r>
        <w:rPr>
          <w:rFonts w:hint="eastAsia" w:ascii="Times New Roman" w:eastAsia="宋体"/>
          <w:sz w:val="24"/>
          <w:szCs w:val="24"/>
        </w:rPr>
        <w:t xml:space="preserve">           </w:t>
      </w:r>
      <w:r>
        <w:rPr>
          <w:rFonts w:ascii="Times New Roman" w:eastAsia="宋体"/>
          <w:sz w:val="24"/>
          <w:szCs w:val="24"/>
        </w:rPr>
        <w:t>股票代码：688106</w:t>
      </w:r>
      <w:r>
        <w:rPr>
          <w:rFonts w:hint="eastAsia" w:ascii="Times New Roman" w:eastAsia="宋体"/>
          <w:sz w:val="24"/>
          <w:szCs w:val="24"/>
        </w:rPr>
        <w:t xml:space="preserve">          </w:t>
      </w:r>
      <w:r>
        <w:rPr>
          <w:rFonts w:ascii="Times New Roman" w:eastAsia="宋体"/>
          <w:sz w:val="24"/>
          <w:szCs w:val="24"/>
        </w:rPr>
        <w:t>编号：202</w:t>
      </w:r>
      <w:r>
        <w:rPr>
          <w:rFonts w:hint="eastAsia" w:ascii="Times New Roman" w:eastAsia="宋体"/>
          <w:sz w:val="24"/>
          <w:szCs w:val="24"/>
        </w:rPr>
        <w:t>6</w:t>
      </w:r>
      <w:r>
        <w:rPr>
          <w:rFonts w:ascii="Times New Roman" w:eastAsia="宋体"/>
          <w:sz w:val="24"/>
          <w:szCs w:val="24"/>
        </w:rPr>
        <w:t>-0</w:t>
      </w:r>
      <w:r>
        <w:rPr>
          <w:rFonts w:hint="eastAsia" w:ascii="Times New Roman" w:eastAsia="宋体"/>
          <w:sz w:val="24"/>
          <w:szCs w:val="24"/>
          <w:lang w:val="en-US" w:eastAsia="zh-CN"/>
        </w:rPr>
        <w:t>10</w:t>
      </w:r>
    </w:p>
    <w:tbl>
      <w:tblPr>
        <w:tblStyle w:val="10"/>
        <w:tblW w:w="8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6156"/>
      </w:tblGrid>
      <w:tr w14:paraId="3F776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jc w:val="center"/>
        </w:trPr>
        <w:tc>
          <w:tcPr>
            <w:tcW w:w="2405" w:type="dxa"/>
            <w:vAlign w:val="center"/>
          </w:tcPr>
          <w:p w14:paraId="6A574BAF">
            <w:pPr>
              <w:spacing w:line="360" w:lineRule="auto"/>
              <w:jc w:val="center"/>
              <w:rPr>
                <w:rFonts w:ascii="Times New Roman" w:eastAsia="宋体"/>
                <w:sz w:val="24"/>
                <w:szCs w:val="30"/>
              </w:rPr>
            </w:pPr>
            <w:r>
              <w:rPr>
                <w:rFonts w:ascii="Times New Roman" w:eastAsia="宋体"/>
                <w:sz w:val="24"/>
                <w:szCs w:val="30"/>
              </w:rPr>
              <w:t>投资者关系活动类别</w:t>
            </w:r>
          </w:p>
        </w:tc>
        <w:tc>
          <w:tcPr>
            <w:tcW w:w="6156" w:type="dxa"/>
            <w:vAlign w:val="center"/>
          </w:tcPr>
          <w:p w14:paraId="31FF69F1">
            <w:pPr>
              <w:spacing w:line="360" w:lineRule="auto"/>
              <w:rPr>
                <w:rFonts w:hint="eastAsia" w:ascii="宋体" w:hAnsi="宋体" w:eastAsia="宋体"/>
                <w:sz w:val="24"/>
                <w:szCs w:val="24"/>
              </w:rPr>
            </w:pPr>
            <w:r>
              <w:rPr>
                <w:rFonts w:ascii="宋体" w:hAnsi="宋体" w:eastAsia="宋体"/>
                <w:kern w:val="0"/>
                <w:sz w:val="24"/>
                <w:szCs w:val="24"/>
              </w:rPr>
              <w:t>■</w:t>
            </w:r>
            <w:r>
              <w:rPr>
                <w:rFonts w:ascii="宋体" w:hAnsi="宋体" w:eastAsia="宋体"/>
                <w:sz w:val="24"/>
                <w:szCs w:val="24"/>
              </w:rPr>
              <w:t xml:space="preserve">特定对象调研       </w:t>
            </w:r>
            <w:r>
              <w:rPr>
                <w:rFonts w:ascii="宋体" w:hAnsi="宋体" w:eastAsia="宋体"/>
                <w:kern w:val="0"/>
                <w:sz w:val="24"/>
                <w:szCs w:val="24"/>
              </w:rPr>
              <w:t>□</w:t>
            </w:r>
            <w:r>
              <w:rPr>
                <w:rFonts w:ascii="宋体" w:hAnsi="宋体" w:eastAsia="宋体"/>
                <w:sz w:val="24"/>
                <w:szCs w:val="24"/>
              </w:rPr>
              <w:t>分析师会议</w:t>
            </w:r>
          </w:p>
          <w:p w14:paraId="2E901593">
            <w:pPr>
              <w:spacing w:line="360" w:lineRule="auto"/>
              <w:rPr>
                <w:rFonts w:hint="eastAsia" w:ascii="宋体" w:hAnsi="宋体" w:eastAsia="宋体"/>
                <w:kern w:val="0"/>
                <w:sz w:val="24"/>
                <w:szCs w:val="24"/>
              </w:rPr>
            </w:pPr>
            <w:r>
              <w:rPr>
                <w:rFonts w:ascii="宋体" w:hAnsi="宋体" w:eastAsia="宋体"/>
                <w:kern w:val="0"/>
                <w:sz w:val="24"/>
                <w:szCs w:val="24"/>
              </w:rPr>
              <w:t>□媒体采访           □业绩说明会</w:t>
            </w:r>
          </w:p>
          <w:p w14:paraId="689865C4">
            <w:pPr>
              <w:spacing w:line="360" w:lineRule="auto"/>
              <w:rPr>
                <w:rFonts w:hint="eastAsia" w:ascii="宋体" w:hAnsi="宋体" w:eastAsia="宋体"/>
                <w:kern w:val="0"/>
                <w:sz w:val="24"/>
                <w:szCs w:val="24"/>
              </w:rPr>
            </w:pPr>
            <w:r>
              <w:rPr>
                <w:rFonts w:ascii="宋体" w:hAnsi="宋体" w:eastAsia="宋体"/>
                <w:kern w:val="0"/>
                <w:sz w:val="24"/>
                <w:szCs w:val="24"/>
              </w:rPr>
              <w:t>□新闻发布会         □路演活动</w:t>
            </w:r>
          </w:p>
          <w:p w14:paraId="39850757">
            <w:pPr>
              <w:spacing w:line="360" w:lineRule="auto"/>
              <w:rPr>
                <w:rFonts w:hint="eastAsia" w:ascii="宋体" w:hAnsi="宋体" w:eastAsia="宋体"/>
              </w:rPr>
            </w:pPr>
            <w:r>
              <w:rPr>
                <w:rFonts w:ascii="宋体" w:hAnsi="宋体" w:eastAsia="宋体"/>
                <w:kern w:val="0"/>
                <w:sz w:val="24"/>
                <w:szCs w:val="24"/>
              </w:rPr>
              <w:t>□现场参观           □其他</w:t>
            </w:r>
            <w:r>
              <w:rPr>
                <w:rFonts w:hint="eastAsia" w:ascii="宋体" w:hAnsi="宋体" w:eastAsia="宋体"/>
                <w:kern w:val="0"/>
                <w:sz w:val="24"/>
                <w:szCs w:val="24"/>
              </w:rPr>
              <w:t>（</w:t>
            </w:r>
            <w:r>
              <w:rPr>
                <w:rFonts w:hint="eastAsia" w:ascii="宋体" w:hAnsi="宋体" w:eastAsia="宋体" w:cs="宋体"/>
                <w:kern w:val="0"/>
                <w:sz w:val="24"/>
                <w:szCs w:val="24"/>
              </w:rPr>
              <w:t>请文字说明）</w:t>
            </w:r>
          </w:p>
        </w:tc>
      </w:tr>
      <w:tr w14:paraId="2BF2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2405" w:type="dxa"/>
            <w:vAlign w:val="center"/>
          </w:tcPr>
          <w:p w14:paraId="62BB29C2">
            <w:pPr>
              <w:jc w:val="center"/>
              <w:rPr>
                <w:rFonts w:ascii="Times New Roman" w:eastAsia="宋体"/>
                <w:sz w:val="24"/>
                <w:szCs w:val="30"/>
              </w:rPr>
            </w:pPr>
            <w:r>
              <w:rPr>
                <w:rFonts w:ascii="Times New Roman" w:eastAsia="宋体"/>
                <w:sz w:val="24"/>
                <w:szCs w:val="30"/>
              </w:rPr>
              <w:t>参与单位名称及</w:t>
            </w:r>
          </w:p>
          <w:p w14:paraId="413DE519">
            <w:pPr>
              <w:jc w:val="center"/>
              <w:rPr>
                <w:rFonts w:ascii="Times New Roman" w:eastAsia="宋体"/>
                <w:sz w:val="24"/>
                <w:szCs w:val="44"/>
              </w:rPr>
            </w:pPr>
            <w:r>
              <w:rPr>
                <w:rFonts w:ascii="Times New Roman" w:eastAsia="宋体"/>
                <w:sz w:val="24"/>
                <w:szCs w:val="30"/>
              </w:rPr>
              <w:t>人员姓名</w:t>
            </w:r>
          </w:p>
        </w:tc>
        <w:tc>
          <w:tcPr>
            <w:tcW w:w="6156" w:type="dxa"/>
            <w:vAlign w:val="center"/>
          </w:tcPr>
          <w:p w14:paraId="3F5C8C22">
            <w:pPr>
              <w:spacing w:line="360" w:lineRule="auto"/>
              <w:rPr>
                <w:rFonts w:hint="default" w:ascii="Times New Roman" w:eastAsia="宋体"/>
                <w:sz w:val="24"/>
                <w:szCs w:val="24"/>
                <w:lang w:val="en-US" w:eastAsia="zh-CN"/>
              </w:rPr>
            </w:pPr>
            <w:r>
              <w:rPr>
                <w:rFonts w:hint="eastAsia" w:ascii="Times New Roman" w:eastAsia="宋体"/>
                <w:sz w:val="24"/>
                <w:szCs w:val="24"/>
                <w:lang w:val="en-US" w:eastAsia="zh-CN"/>
              </w:rPr>
              <w:t>详见附件与会清单</w:t>
            </w:r>
          </w:p>
        </w:tc>
      </w:tr>
      <w:tr w14:paraId="1717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5" w:type="dxa"/>
            <w:vAlign w:val="center"/>
          </w:tcPr>
          <w:p w14:paraId="205F4FCA">
            <w:pPr>
              <w:jc w:val="center"/>
              <w:rPr>
                <w:rFonts w:ascii="Times New Roman" w:eastAsia="宋体"/>
                <w:sz w:val="24"/>
                <w:szCs w:val="30"/>
              </w:rPr>
            </w:pPr>
            <w:r>
              <w:rPr>
                <w:rFonts w:ascii="Times New Roman" w:eastAsia="宋体"/>
                <w:sz w:val="24"/>
                <w:szCs w:val="30"/>
              </w:rPr>
              <w:t>时间</w:t>
            </w:r>
          </w:p>
        </w:tc>
        <w:tc>
          <w:tcPr>
            <w:tcW w:w="6156" w:type="dxa"/>
            <w:vAlign w:val="center"/>
          </w:tcPr>
          <w:p w14:paraId="0384C21E">
            <w:pPr>
              <w:jc w:val="center"/>
              <w:rPr>
                <w:rFonts w:hint="eastAsia" w:ascii="Times New Roman" w:eastAsia="宋体"/>
                <w:color w:val="000000"/>
                <w:sz w:val="24"/>
                <w:szCs w:val="24"/>
              </w:rPr>
            </w:pPr>
            <w:r>
              <w:rPr>
                <w:rFonts w:ascii="Times New Roman" w:eastAsia="宋体"/>
                <w:color w:val="000000"/>
                <w:sz w:val="24"/>
                <w:szCs w:val="24"/>
              </w:rPr>
              <w:t>202</w:t>
            </w:r>
            <w:r>
              <w:rPr>
                <w:rFonts w:hint="eastAsia" w:ascii="Times New Roman" w:eastAsia="宋体"/>
                <w:color w:val="000000"/>
                <w:sz w:val="24"/>
                <w:szCs w:val="24"/>
              </w:rPr>
              <w:t>6</w:t>
            </w:r>
            <w:r>
              <w:rPr>
                <w:rFonts w:ascii="Times New Roman" w:eastAsia="宋体"/>
                <w:color w:val="000000"/>
                <w:sz w:val="24"/>
                <w:szCs w:val="24"/>
              </w:rPr>
              <w:t>年</w:t>
            </w:r>
            <w:r>
              <w:rPr>
                <w:rFonts w:hint="eastAsia" w:ascii="Times New Roman" w:eastAsia="宋体"/>
                <w:color w:val="000000"/>
                <w:sz w:val="24"/>
                <w:szCs w:val="24"/>
                <w:lang w:val="en-US" w:eastAsia="zh-CN"/>
              </w:rPr>
              <w:t>10</w:t>
            </w:r>
            <w:r>
              <w:rPr>
                <w:rFonts w:ascii="Times New Roman" w:eastAsia="宋体"/>
                <w:color w:val="000000"/>
                <w:sz w:val="24"/>
                <w:szCs w:val="24"/>
              </w:rPr>
              <w:t>月</w:t>
            </w:r>
            <w:r>
              <w:rPr>
                <w:rFonts w:hint="eastAsia" w:ascii="Times New Roman" w:eastAsia="宋体"/>
                <w:color w:val="000000"/>
                <w:sz w:val="24"/>
                <w:szCs w:val="24"/>
                <w:lang w:val="en-US" w:eastAsia="zh-CN"/>
              </w:rPr>
              <w:t>19</w:t>
            </w:r>
            <w:r>
              <w:rPr>
                <w:rFonts w:ascii="Times New Roman" w:eastAsia="宋体"/>
                <w:color w:val="000000"/>
                <w:sz w:val="24"/>
                <w:szCs w:val="24"/>
              </w:rPr>
              <w:t>日</w:t>
            </w:r>
          </w:p>
        </w:tc>
      </w:tr>
      <w:tr w14:paraId="1AE3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5" w:type="dxa"/>
            <w:vAlign w:val="center"/>
          </w:tcPr>
          <w:p w14:paraId="00B5C224">
            <w:pPr>
              <w:jc w:val="center"/>
              <w:rPr>
                <w:rFonts w:ascii="Times New Roman" w:eastAsia="宋体"/>
                <w:sz w:val="24"/>
                <w:szCs w:val="30"/>
              </w:rPr>
            </w:pPr>
            <w:r>
              <w:rPr>
                <w:rFonts w:ascii="Times New Roman" w:eastAsia="宋体"/>
                <w:sz w:val="24"/>
                <w:szCs w:val="30"/>
              </w:rPr>
              <w:t>地点</w:t>
            </w:r>
          </w:p>
        </w:tc>
        <w:tc>
          <w:tcPr>
            <w:tcW w:w="6156" w:type="dxa"/>
            <w:vAlign w:val="center"/>
          </w:tcPr>
          <w:p w14:paraId="57E5831E">
            <w:pPr>
              <w:jc w:val="center"/>
              <w:rPr>
                <w:rFonts w:ascii="Times New Roman" w:eastAsia="宋体"/>
                <w:sz w:val="24"/>
                <w:szCs w:val="24"/>
              </w:rPr>
            </w:pPr>
            <w:r>
              <w:rPr>
                <w:rFonts w:hint="eastAsia" w:ascii="Times New Roman" w:eastAsia="宋体"/>
                <w:sz w:val="24"/>
                <w:szCs w:val="24"/>
              </w:rPr>
              <w:t>金宏气体会议室</w:t>
            </w:r>
          </w:p>
        </w:tc>
      </w:tr>
      <w:tr w14:paraId="3C20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405" w:type="dxa"/>
            <w:vAlign w:val="center"/>
          </w:tcPr>
          <w:p w14:paraId="37904A5B">
            <w:pPr>
              <w:jc w:val="center"/>
              <w:rPr>
                <w:rFonts w:ascii="Times New Roman" w:eastAsia="宋体"/>
                <w:sz w:val="24"/>
                <w:szCs w:val="30"/>
              </w:rPr>
            </w:pPr>
            <w:r>
              <w:rPr>
                <w:rFonts w:ascii="Times New Roman" w:eastAsia="宋体"/>
                <w:sz w:val="24"/>
                <w:szCs w:val="30"/>
              </w:rPr>
              <w:t>公司接待人员姓名</w:t>
            </w:r>
          </w:p>
        </w:tc>
        <w:tc>
          <w:tcPr>
            <w:tcW w:w="6156" w:type="dxa"/>
            <w:vAlign w:val="center"/>
          </w:tcPr>
          <w:p w14:paraId="35814AD1">
            <w:pPr>
              <w:jc w:val="center"/>
              <w:rPr>
                <w:rFonts w:ascii="Times New Roman" w:eastAsia="宋体"/>
                <w:sz w:val="24"/>
                <w:szCs w:val="24"/>
              </w:rPr>
            </w:pPr>
            <w:r>
              <w:rPr>
                <w:rFonts w:hint="eastAsia" w:ascii="Times New Roman" w:eastAsia="宋体"/>
                <w:sz w:val="24"/>
                <w:szCs w:val="24"/>
                <w:lang w:val="en-US" w:eastAsia="zh-CN"/>
              </w:rPr>
              <w:t>康立忠</w:t>
            </w:r>
            <w:r>
              <w:rPr>
                <w:rFonts w:hint="eastAsia" w:ascii="Times New Roman" w:eastAsia="宋体"/>
                <w:sz w:val="24"/>
                <w:szCs w:val="24"/>
              </w:rPr>
              <w:t>、</w:t>
            </w:r>
            <w:r>
              <w:rPr>
                <w:rFonts w:hint="eastAsia" w:ascii="Times New Roman" w:eastAsia="宋体"/>
                <w:sz w:val="24"/>
                <w:szCs w:val="24"/>
                <w:lang w:val="en-US" w:eastAsia="zh-CN"/>
              </w:rPr>
              <w:t>宗卫忠、</w:t>
            </w:r>
            <w:r>
              <w:rPr>
                <w:rFonts w:hint="eastAsia" w:ascii="Times New Roman" w:eastAsia="宋体"/>
                <w:sz w:val="24"/>
                <w:szCs w:val="24"/>
              </w:rPr>
              <w:t>陈莹</w:t>
            </w:r>
            <w:r>
              <w:rPr>
                <w:rFonts w:hint="eastAsia" w:ascii="Times New Roman" w:eastAsia="宋体"/>
                <w:sz w:val="24"/>
                <w:szCs w:val="24"/>
                <w:lang w:val="en-US" w:eastAsia="zh-CN"/>
              </w:rPr>
              <w:t>、</w:t>
            </w:r>
            <w:r>
              <w:rPr>
                <w:rFonts w:hint="eastAsia" w:ascii="Times New Roman" w:eastAsia="宋体"/>
                <w:sz w:val="24"/>
                <w:szCs w:val="24"/>
              </w:rPr>
              <w:t>赵炯</w:t>
            </w:r>
          </w:p>
        </w:tc>
      </w:tr>
      <w:tr w14:paraId="4CB35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405" w:type="dxa"/>
            <w:vAlign w:val="center"/>
          </w:tcPr>
          <w:p w14:paraId="355B02C3">
            <w:pPr>
              <w:jc w:val="center"/>
              <w:rPr>
                <w:rFonts w:ascii="Times New Roman" w:eastAsia="宋体"/>
                <w:sz w:val="24"/>
                <w:szCs w:val="30"/>
              </w:rPr>
            </w:pPr>
            <w:r>
              <w:rPr>
                <w:rFonts w:ascii="Times New Roman" w:eastAsia="宋体"/>
                <w:sz w:val="24"/>
                <w:szCs w:val="30"/>
              </w:rPr>
              <w:t>投资者关系活动主要内容介绍</w:t>
            </w:r>
          </w:p>
        </w:tc>
        <w:tc>
          <w:tcPr>
            <w:tcW w:w="6156" w:type="dxa"/>
            <w:vAlign w:val="center"/>
          </w:tcPr>
          <w:p w14:paraId="1921A7B8">
            <w:pPr>
              <w:spacing w:line="360" w:lineRule="auto"/>
              <w:rPr>
                <w:rFonts w:ascii="Times New Roman" w:eastAsia="宋体"/>
                <w:b/>
                <w:bCs/>
                <w:sz w:val="24"/>
                <w:szCs w:val="24"/>
              </w:rPr>
            </w:pPr>
            <w:r>
              <w:rPr>
                <w:rFonts w:ascii="Times New Roman" w:eastAsia="宋体"/>
                <w:b/>
                <w:bCs/>
                <w:sz w:val="24"/>
                <w:szCs w:val="24"/>
              </w:rPr>
              <w:t>一、公司近期发展介绍</w:t>
            </w:r>
          </w:p>
          <w:p w14:paraId="4B7FDB94">
            <w:pPr>
              <w:spacing w:line="360" w:lineRule="auto"/>
              <w:ind w:firstLine="480" w:firstLineChars="200"/>
              <w:rPr>
                <w:rFonts w:ascii="Times New Roman" w:eastAsia="宋体"/>
                <w:bCs/>
                <w:sz w:val="24"/>
                <w:szCs w:val="24"/>
              </w:rPr>
            </w:pPr>
            <w:r>
              <w:rPr>
                <w:rFonts w:ascii="Times New Roman" w:eastAsia="宋体"/>
                <w:bCs/>
                <w:sz w:val="24"/>
                <w:szCs w:val="24"/>
              </w:rPr>
              <w:t>金宏气体股份有限公司成立于1999年，于2020年在科创板上市，</w:t>
            </w:r>
            <w:r>
              <w:rPr>
                <w:rFonts w:hint="eastAsia" w:ascii="Times New Roman" w:eastAsia="宋体"/>
                <w:bCs/>
                <w:sz w:val="24"/>
                <w:szCs w:val="24"/>
              </w:rPr>
              <w:t>是聚焦高端气体全产业链的综合性气体服务商、国家战略稀缺资源保供核心载体，深耕特种气体、大宗气体供应领域近三十载</w:t>
            </w:r>
            <w:r>
              <w:rPr>
                <w:rFonts w:ascii="Times New Roman" w:eastAsia="宋体"/>
                <w:bCs/>
                <w:sz w:val="24"/>
                <w:szCs w:val="24"/>
              </w:rPr>
              <w:t>。</w:t>
            </w:r>
          </w:p>
          <w:p w14:paraId="20F52B19">
            <w:pPr>
              <w:spacing w:line="360" w:lineRule="auto"/>
              <w:ind w:firstLine="480" w:firstLineChars="200"/>
              <w:rPr>
                <w:rFonts w:hint="eastAsia" w:ascii="Times New Roman" w:eastAsia="宋体"/>
                <w:bCs/>
                <w:sz w:val="24"/>
                <w:szCs w:val="24"/>
                <w:lang w:val="en-US" w:eastAsia="zh-CN"/>
              </w:rPr>
            </w:pPr>
            <w:r>
              <w:rPr>
                <w:rFonts w:ascii="Times New Roman" w:eastAsia="宋体"/>
                <w:bCs/>
                <w:sz w:val="24"/>
                <w:szCs w:val="24"/>
              </w:rPr>
              <w:t>公司坚持纵横发展战略：纵向开发，横向布局，以科技为主导，定位于综合气体服务商，为客户提供创新和可持续的气体解决方案，成为气体行业的领跑者。</w:t>
            </w:r>
          </w:p>
          <w:p w14:paraId="1AAD7A75">
            <w:pPr>
              <w:spacing w:line="360" w:lineRule="auto"/>
              <w:ind w:firstLine="480" w:firstLineChars="200"/>
              <w:rPr>
                <w:rFonts w:hint="eastAsia" w:ascii="Times New Roman" w:eastAsia="宋体"/>
                <w:bCs/>
                <w:sz w:val="24"/>
                <w:szCs w:val="24"/>
                <w:lang w:val="en-US" w:eastAsia="zh-CN"/>
              </w:rPr>
            </w:pPr>
            <w:r>
              <w:rPr>
                <w:rFonts w:hint="eastAsia" w:ascii="Times New Roman" w:eastAsia="宋体"/>
                <w:bCs/>
                <w:sz w:val="24"/>
                <w:szCs w:val="24"/>
                <w:lang w:val="en-US" w:eastAsia="zh-CN"/>
              </w:rPr>
              <w:t>公司2026年前三季度归属于母公司所有者的净利润及归属于母公司所有者的扣除非经常性损益的净利润同比下滑明显，主要受资产减值损失、折旧费用</w:t>
            </w:r>
            <w:bookmarkStart w:id="0" w:name="_GoBack"/>
            <w:bookmarkEnd w:id="0"/>
            <w:r>
              <w:rPr>
                <w:rFonts w:hint="eastAsia" w:ascii="Times New Roman" w:eastAsia="宋体"/>
                <w:bCs/>
                <w:sz w:val="24"/>
                <w:szCs w:val="24"/>
                <w:lang w:val="en-US" w:eastAsia="zh-CN"/>
              </w:rPr>
              <w:t>及股份支付费用等影响。</w:t>
            </w:r>
          </w:p>
          <w:p w14:paraId="0C7BD4F7">
            <w:pPr>
              <w:spacing w:line="360" w:lineRule="auto"/>
              <w:ind w:firstLine="480" w:firstLineChars="200"/>
              <w:rPr>
                <w:rFonts w:hint="default" w:ascii="Times New Roman" w:eastAsia="宋体"/>
                <w:bCs/>
                <w:sz w:val="24"/>
                <w:szCs w:val="24"/>
                <w:lang w:val="en-US" w:eastAsia="zh-CN"/>
              </w:rPr>
            </w:pPr>
            <w:r>
              <w:rPr>
                <w:rFonts w:hint="eastAsia" w:ascii="Times New Roman" w:eastAsia="宋体"/>
                <w:bCs/>
                <w:sz w:val="24"/>
                <w:szCs w:val="24"/>
                <w:lang w:val="en-US" w:eastAsia="zh-CN"/>
              </w:rPr>
              <w:t>基于谨慎性原则，公司针对湖南区域计提商誉及无形资产减值损失合计约7,000万元。减值核心原因，一方面是行业周期波动，湖南区域产品市场需求有所下滑；另一方面部分原材料价格上行，而公司下游客户较为分散，成本向终端传导存在滞后性，阶段性压缩利润空间。同时，区域管理团队人员委派进行调整，新管理团队业务磨合、组织适配需要一定周期。</w:t>
            </w:r>
          </w:p>
        </w:tc>
      </w:tr>
      <w:tr w14:paraId="5E096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2405" w:type="dxa"/>
            <w:vAlign w:val="center"/>
          </w:tcPr>
          <w:p w14:paraId="167B5877">
            <w:pPr>
              <w:spacing w:line="360" w:lineRule="auto"/>
              <w:jc w:val="center"/>
              <w:rPr>
                <w:rFonts w:ascii="Times New Roman" w:eastAsia="宋体"/>
                <w:sz w:val="24"/>
                <w:szCs w:val="30"/>
              </w:rPr>
            </w:pPr>
            <w:r>
              <w:rPr>
                <w:rFonts w:ascii="Times New Roman" w:eastAsia="宋体"/>
                <w:sz w:val="24"/>
                <w:szCs w:val="30"/>
              </w:rPr>
              <w:t>投资者关系活动主要内容介绍</w:t>
            </w:r>
          </w:p>
        </w:tc>
        <w:tc>
          <w:tcPr>
            <w:tcW w:w="6156" w:type="dxa"/>
          </w:tcPr>
          <w:p w14:paraId="14FD7B3D">
            <w:pPr>
              <w:spacing w:line="360" w:lineRule="auto"/>
              <w:rPr>
                <w:rFonts w:ascii="Times New Roman" w:eastAsia="宋体"/>
                <w:b/>
                <w:sz w:val="24"/>
                <w:szCs w:val="24"/>
              </w:rPr>
            </w:pPr>
            <w:r>
              <w:rPr>
                <w:rFonts w:ascii="Times New Roman" w:eastAsia="宋体"/>
                <w:b/>
                <w:sz w:val="24"/>
                <w:szCs w:val="24"/>
              </w:rPr>
              <w:t>二、主要问答内容</w:t>
            </w:r>
          </w:p>
          <w:p w14:paraId="6071D1D2">
            <w:pPr>
              <w:spacing w:line="360" w:lineRule="auto"/>
              <w:rPr>
                <w:rFonts w:hint="default" w:ascii="Times New Roman" w:eastAsia="宋体"/>
                <w:b/>
                <w:bCs/>
                <w:sz w:val="24"/>
                <w:szCs w:val="24"/>
                <w:lang w:val="en-US" w:eastAsia="zh-CN"/>
              </w:rPr>
            </w:pPr>
            <w:r>
              <w:rPr>
                <w:rFonts w:hint="eastAsia" w:ascii="Times New Roman" w:eastAsia="宋体"/>
                <w:b/>
                <w:bCs/>
                <w:sz w:val="24"/>
                <w:szCs w:val="24"/>
                <w:lang w:val="en-US" w:eastAsia="zh-CN"/>
              </w:rPr>
              <w:t>1、半导体客户的进展？</w:t>
            </w:r>
          </w:p>
          <w:p w14:paraId="440DD11C">
            <w:pPr>
              <w:spacing w:line="360" w:lineRule="auto"/>
              <w:rPr>
                <w:rFonts w:hint="default" w:ascii="Times New Roman" w:eastAsia="宋体"/>
                <w:b w:val="0"/>
                <w:bCs w:val="0"/>
                <w:sz w:val="24"/>
                <w:szCs w:val="24"/>
                <w:lang w:val="en-US" w:eastAsia="zh-CN"/>
              </w:rPr>
            </w:pPr>
            <w:r>
              <w:rPr>
                <w:rFonts w:hint="eastAsia" w:ascii="Times New Roman" w:eastAsia="宋体"/>
                <w:b w:val="0"/>
                <w:bCs w:val="0"/>
                <w:sz w:val="24"/>
                <w:szCs w:val="24"/>
                <w:lang w:val="en-US" w:eastAsia="zh-CN"/>
              </w:rPr>
              <w:t>答：半导体供应链安全，是未来很长周期持续的产业主线。公司持续夯实围绕半导体行业布局的特种气体及电子大宗载气综合服务能力。2026年，公司特种气体业务持续取得客户突破，产品应用覆盖成熟制程及先进制程，已稳定供应众多优质半导体企业，构建起长期稳定的合作关系；本年度新增导入多家半导体客户，产品下游应用结构进一步优化。电子大宗载气业务方面，本年度新增多个电子大宗载气项目，并持续挖掘存量及增量业务机会。后续，公司将依托存量客户的合作基础，加快特种气体新产品导入与电子大宗载气项目开发，匹配半导体客户的产能建设节奏，稳步提升市场份额。</w:t>
            </w:r>
          </w:p>
          <w:p w14:paraId="04AE8E45">
            <w:pPr>
              <w:spacing w:line="360" w:lineRule="auto"/>
              <w:rPr>
                <w:rFonts w:ascii="Times New Roman" w:eastAsia="宋体"/>
                <w:b/>
                <w:bCs/>
                <w:sz w:val="24"/>
                <w:szCs w:val="24"/>
              </w:rPr>
            </w:pPr>
            <w:r>
              <w:rPr>
                <w:rFonts w:hint="eastAsia" w:ascii="Times New Roman" w:eastAsia="宋体"/>
                <w:b/>
                <w:bCs/>
                <w:sz w:val="24"/>
                <w:szCs w:val="24"/>
                <w:lang w:val="en-US" w:eastAsia="zh-CN"/>
              </w:rPr>
              <w:t>2</w:t>
            </w:r>
            <w:r>
              <w:rPr>
                <w:rFonts w:hint="eastAsia" w:ascii="Times New Roman" w:eastAsia="宋体"/>
                <w:b/>
                <w:bCs/>
                <w:sz w:val="24"/>
                <w:szCs w:val="24"/>
              </w:rPr>
              <w:t>、</w:t>
            </w:r>
            <w:r>
              <w:rPr>
                <w:rFonts w:hint="eastAsia" w:ascii="Times New Roman" w:eastAsia="宋体"/>
                <w:b/>
                <w:bCs/>
                <w:sz w:val="24"/>
                <w:szCs w:val="24"/>
                <w:lang w:val="en-US" w:eastAsia="zh-CN"/>
              </w:rPr>
              <w:t>公司氩气产品情况</w:t>
            </w:r>
            <w:r>
              <w:rPr>
                <w:rFonts w:hint="eastAsia" w:ascii="Times New Roman" w:eastAsia="宋体"/>
                <w:b/>
                <w:bCs/>
                <w:sz w:val="24"/>
                <w:szCs w:val="24"/>
              </w:rPr>
              <w:t>？</w:t>
            </w:r>
          </w:p>
          <w:p w14:paraId="0EF6509B">
            <w:pPr>
              <w:spacing w:line="360" w:lineRule="auto"/>
              <w:rPr>
                <w:rFonts w:hint="eastAsia" w:ascii="Times New Roman" w:eastAsia="宋体"/>
                <w:bCs/>
                <w:sz w:val="24"/>
                <w:szCs w:val="24"/>
                <w:lang w:val="en-US" w:eastAsia="zh-CN"/>
              </w:rPr>
            </w:pPr>
            <w:r>
              <w:rPr>
                <w:rFonts w:hint="eastAsia" w:ascii="Times New Roman" w:eastAsia="宋体"/>
                <w:sz w:val="24"/>
                <w:szCs w:val="24"/>
              </w:rPr>
              <w:t>答：氩气产品近期受供需格局变化影响，原材料价格上行；</w:t>
            </w:r>
            <w:r>
              <w:rPr>
                <w:rFonts w:hint="eastAsia" w:ascii="Times New Roman" w:eastAsia="宋体"/>
                <w:sz w:val="24"/>
                <w:szCs w:val="24"/>
                <w:lang w:val="en-US" w:eastAsia="zh-CN"/>
              </w:rPr>
              <w:t>而</w:t>
            </w:r>
            <w:r>
              <w:rPr>
                <w:rFonts w:hint="eastAsia" w:ascii="Times New Roman" w:eastAsia="宋体"/>
                <w:sz w:val="24"/>
                <w:szCs w:val="24"/>
              </w:rPr>
              <w:t>公司下游客户较为分散，原材料成本向终端销售端传导存在一定滞后性。</w:t>
            </w:r>
          </w:p>
          <w:p w14:paraId="21D47130">
            <w:pPr>
              <w:spacing w:line="360" w:lineRule="auto"/>
              <w:rPr>
                <w:rFonts w:ascii="Times New Roman" w:eastAsia="宋体"/>
                <w:b/>
                <w:bCs/>
                <w:sz w:val="24"/>
                <w:szCs w:val="24"/>
              </w:rPr>
            </w:pPr>
            <w:r>
              <w:rPr>
                <w:rFonts w:hint="eastAsia" w:ascii="Times New Roman" w:eastAsia="宋体"/>
                <w:b/>
                <w:bCs/>
                <w:sz w:val="24"/>
                <w:szCs w:val="24"/>
                <w:lang w:val="en-US" w:eastAsia="zh-CN"/>
              </w:rPr>
              <w:t>3</w:t>
            </w:r>
            <w:r>
              <w:rPr>
                <w:rFonts w:hint="eastAsia" w:ascii="Times New Roman" w:eastAsia="宋体"/>
                <w:b/>
                <w:bCs/>
                <w:sz w:val="24"/>
                <w:szCs w:val="24"/>
              </w:rPr>
              <w:t>、</w:t>
            </w:r>
            <w:r>
              <w:rPr>
                <w:rFonts w:hint="eastAsia" w:ascii="Times New Roman" w:eastAsia="宋体"/>
                <w:b/>
                <w:bCs/>
                <w:sz w:val="24"/>
                <w:szCs w:val="24"/>
                <w:lang w:val="en-US" w:eastAsia="zh-CN"/>
              </w:rPr>
              <w:t>公司现场制气项目情况</w:t>
            </w:r>
            <w:r>
              <w:rPr>
                <w:rFonts w:hint="eastAsia" w:ascii="Times New Roman" w:eastAsia="宋体"/>
                <w:b/>
                <w:bCs/>
                <w:sz w:val="24"/>
                <w:szCs w:val="24"/>
              </w:rPr>
              <w:t>？</w:t>
            </w:r>
          </w:p>
          <w:p w14:paraId="07C65D4C">
            <w:pPr>
              <w:spacing w:line="360" w:lineRule="auto"/>
              <w:rPr>
                <w:rFonts w:hint="default" w:ascii="Times New Roman" w:eastAsia="宋体"/>
                <w:sz w:val="24"/>
                <w:szCs w:val="24"/>
                <w:lang w:val="en-US" w:eastAsia="zh-CN"/>
              </w:rPr>
            </w:pPr>
            <w:r>
              <w:rPr>
                <w:rFonts w:hint="eastAsia" w:ascii="Times New Roman" w:eastAsia="宋体"/>
                <w:sz w:val="24"/>
                <w:szCs w:val="24"/>
              </w:rPr>
              <w:t>答：公司现场制气项目整体有序推进。</w:t>
            </w:r>
            <w:r>
              <w:rPr>
                <w:rFonts w:hint="eastAsia" w:ascii="Times New Roman" w:eastAsia="宋体"/>
                <w:sz w:val="24"/>
                <w:szCs w:val="24"/>
                <w:lang w:val="en-US" w:eastAsia="zh-CN"/>
              </w:rPr>
              <w:t>电子大宗载气项目方面，本年度公司新增多个电子大宗载气项目。公司在持续开拓新客户的同时，积极跟进半导体优质客户扩产计划，关注存量项目的替代机会，持续拓展业务布局，稳步提升市场份额；</w:t>
            </w:r>
            <w:r>
              <w:rPr>
                <w:rFonts w:hint="eastAsia" w:ascii="Times New Roman" w:eastAsia="宋体"/>
                <w:sz w:val="24"/>
                <w:szCs w:val="24"/>
              </w:rPr>
              <w:t>大型现场制气项目方面，营口建发空分项目及山东睿霖高分子空分项目正在</w:t>
            </w:r>
            <w:r>
              <w:rPr>
                <w:rFonts w:hint="eastAsia" w:ascii="Times New Roman" w:eastAsia="宋体"/>
                <w:sz w:val="24"/>
                <w:szCs w:val="24"/>
                <w:lang w:val="en-US" w:eastAsia="zh-CN"/>
              </w:rPr>
              <w:t>开展</w:t>
            </w:r>
            <w:r>
              <w:rPr>
                <w:rFonts w:hint="eastAsia" w:ascii="Times New Roman" w:eastAsia="宋体"/>
                <w:sz w:val="24"/>
                <w:szCs w:val="24"/>
              </w:rPr>
              <w:t>设备安装及调试工作，预计2026年年底前进入试生产状态</w:t>
            </w:r>
            <w:r>
              <w:rPr>
                <w:rFonts w:hint="eastAsia" w:ascii="Times New Roman" w:eastAsia="宋体"/>
                <w:sz w:val="24"/>
                <w:szCs w:val="24"/>
                <w:lang w:eastAsia="zh-CN"/>
              </w:rPr>
              <w:t>，投产后将逐步</w:t>
            </w:r>
            <w:r>
              <w:rPr>
                <w:rFonts w:hint="eastAsia" w:ascii="Times New Roman" w:eastAsia="宋体"/>
                <w:sz w:val="24"/>
                <w:szCs w:val="24"/>
                <w:lang w:val="en-US" w:eastAsia="zh-CN"/>
              </w:rPr>
              <w:t>形成稳定现金流</w:t>
            </w:r>
            <w:r>
              <w:rPr>
                <w:rFonts w:hint="eastAsia" w:ascii="Times New Roman" w:eastAsia="宋体"/>
                <w:sz w:val="24"/>
                <w:szCs w:val="24"/>
                <w:lang w:eastAsia="zh-CN"/>
              </w:rPr>
              <w:t>，为明年业绩增长积蓄增量。</w:t>
            </w:r>
          </w:p>
          <w:p w14:paraId="5E029AA5">
            <w:pPr>
              <w:shd w:val="clear"/>
              <w:spacing w:line="360" w:lineRule="auto"/>
              <w:rPr>
                <w:rFonts w:ascii="Times New Roman" w:eastAsia="宋体"/>
                <w:b/>
                <w:bCs/>
                <w:sz w:val="24"/>
                <w:szCs w:val="24"/>
              </w:rPr>
            </w:pPr>
            <w:r>
              <w:rPr>
                <w:rFonts w:hint="eastAsia" w:ascii="Times New Roman" w:eastAsia="宋体"/>
                <w:b/>
                <w:bCs/>
                <w:sz w:val="24"/>
                <w:szCs w:val="24"/>
                <w:lang w:val="en-US" w:eastAsia="zh-CN"/>
              </w:rPr>
              <w:t>4</w:t>
            </w:r>
            <w:r>
              <w:rPr>
                <w:rFonts w:hint="eastAsia" w:ascii="Times New Roman" w:eastAsia="宋体"/>
                <w:b/>
                <w:bCs/>
                <w:sz w:val="24"/>
                <w:szCs w:val="24"/>
              </w:rPr>
              <w:t>、</w:t>
            </w:r>
            <w:r>
              <w:rPr>
                <w:rFonts w:hint="eastAsia" w:ascii="Times New Roman" w:eastAsia="宋体"/>
                <w:b/>
                <w:bCs/>
                <w:sz w:val="24"/>
                <w:szCs w:val="24"/>
                <w:lang w:val="en-US" w:eastAsia="zh-CN"/>
              </w:rPr>
              <w:t>公司第三季度资产处置损益情况</w:t>
            </w:r>
            <w:r>
              <w:rPr>
                <w:rFonts w:hint="eastAsia" w:ascii="Times New Roman" w:eastAsia="宋体"/>
                <w:b/>
                <w:bCs/>
                <w:sz w:val="24"/>
                <w:szCs w:val="24"/>
              </w:rPr>
              <w:t>？</w:t>
            </w:r>
          </w:p>
          <w:p w14:paraId="72752B2F">
            <w:pPr>
              <w:shd w:val="clear"/>
              <w:spacing w:line="360" w:lineRule="auto"/>
              <w:rPr>
                <w:rFonts w:hint="default" w:ascii="宋体" w:hAnsi="宋体" w:eastAsia="宋体" w:cs="宋体"/>
                <w:sz w:val="24"/>
                <w:szCs w:val="24"/>
                <w:lang w:val="en-US" w:eastAsia="zh-CN"/>
              </w:rPr>
            </w:pPr>
            <w:r>
              <w:rPr>
                <w:rFonts w:hint="eastAsia" w:ascii="Times New Roman" w:eastAsia="宋体"/>
                <w:sz w:val="24"/>
                <w:szCs w:val="24"/>
              </w:rPr>
              <w:t>答：</w:t>
            </w:r>
            <w:r>
              <w:rPr>
                <w:rFonts w:hint="eastAsia" w:ascii="Times New Roman" w:eastAsia="宋体"/>
                <w:sz w:val="24"/>
                <w:szCs w:val="24"/>
                <w:lang w:val="en-US" w:eastAsia="zh-CN"/>
              </w:rPr>
              <w:t>公司第三季度新增资产处置损益主要来源于以融资租赁业务模式实施的电子大宗载气等项目。</w:t>
            </w:r>
          </w:p>
          <w:p w14:paraId="207FBEC9">
            <w:pPr>
              <w:spacing w:line="360" w:lineRule="auto"/>
              <w:rPr>
                <w:rFonts w:ascii="Times New Roman" w:eastAsia="宋体"/>
                <w:b/>
                <w:bCs/>
                <w:color w:val="auto"/>
                <w:sz w:val="24"/>
                <w:szCs w:val="24"/>
              </w:rPr>
            </w:pPr>
            <w:r>
              <w:rPr>
                <w:rFonts w:hint="eastAsia" w:ascii="Times New Roman" w:eastAsia="宋体"/>
                <w:b/>
                <w:bCs/>
                <w:color w:val="auto"/>
                <w:sz w:val="24"/>
                <w:szCs w:val="24"/>
                <w:lang w:val="en-US" w:eastAsia="zh-CN"/>
              </w:rPr>
              <w:t>5</w:t>
            </w:r>
            <w:r>
              <w:rPr>
                <w:rFonts w:hint="eastAsia" w:ascii="Times New Roman" w:eastAsia="宋体"/>
                <w:b/>
                <w:bCs/>
                <w:color w:val="auto"/>
                <w:sz w:val="24"/>
                <w:szCs w:val="24"/>
              </w:rPr>
              <w:t>、</w:t>
            </w:r>
            <w:r>
              <w:rPr>
                <w:rFonts w:hint="eastAsia" w:ascii="Times New Roman" w:eastAsia="宋体"/>
                <w:b/>
                <w:bCs/>
                <w:color w:val="auto"/>
                <w:sz w:val="24"/>
                <w:szCs w:val="24"/>
                <w:lang w:val="en-US" w:eastAsia="zh-CN"/>
              </w:rPr>
              <w:t>公司第三季度的现金流情况</w:t>
            </w:r>
            <w:r>
              <w:rPr>
                <w:rFonts w:hint="eastAsia" w:ascii="Times New Roman" w:eastAsia="宋体"/>
                <w:b/>
                <w:bCs/>
                <w:color w:val="auto"/>
                <w:sz w:val="24"/>
                <w:szCs w:val="24"/>
              </w:rPr>
              <w:t>？</w:t>
            </w:r>
          </w:p>
          <w:p w14:paraId="2B9E8A9F">
            <w:pPr>
              <w:spacing w:line="360" w:lineRule="auto"/>
              <w:rPr>
                <w:rFonts w:hint="default" w:ascii="宋体" w:hAnsi="宋体" w:eastAsia="宋体" w:cs="宋体"/>
                <w:sz w:val="24"/>
                <w:szCs w:val="24"/>
                <w:lang w:val="en-US" w:eastAsia="zh-CN"/>
              </w:rPr>
            </w:pPr>
            <w:r>
              <w:rPr>
                <w:rFonts w:hint="eastAsia" w:ascii="Times New Roman" w:eastAsia="宋体"/>
                <w:color w:val="auto"/>
                <w:sz w:val="24"/>
                <w:szCs w:val="24"/>
              </w:rPr>
              <w:t>答：</w:t>
            </w:r>
            <w:r>
              <w:rPr>
                <w:rFonts w:hint="eastAsia" w:ascii="Times New Roman" w:eastAsia="宋体"/>
                <w:color w:val="auto"/>
                <w:sz w:val="24"/>
                <w:szCs w:val="24"/>
                <w:lang w:val="en-US" w:eastAsia="zh-CN"/>
              </w:rPr>
              <w:t>公司经营性现金流保持良好，回款情况稳定。公司严格管控应收账款，持续推进应收账款的管理工作，积极控制应收账款规模，建立客户信用管理体系，依托SAP系统对超账期客户自动锁单；同时搭建销售回款及坏账绩效考核机制，定期监控逾期账款的回款情况，加大账款催收力度，整体控制应收账款账期天数，进一步提升公司经营活动现金流入水平。</w:t>
            </w:r>
          </w:p>
          <w:p w14:paraId="5437F1C4">
            <w:pPr>
              <w:spacing w:line="360" w:lineRule="auto"/>
              <w:rPr>
                <w:rFonts w:ascii="Times New Roman" w:eastAsia="宋体"/>
                <w:b/>
                <w:bCs/>
                <w:sz w:val="24"/>
                <w:szCs w:val="24"/>
              </w:rPr>
            </w:pPr>
            <w:r>
              <w:rPr>
                <w:rFonts w:hint="eastAsia" w:ascii="Times New Roman" w:eastAsia="宋体"/>
                <w:b/>
                <w:bCs/>
                <w:sz w:val="24"/>
                <w:szCs w:val="24"/>
                <w:lang w:val="en-US" w:eastAsia="zh-CN"/>
              </w:rPr>
              <w:t>6</w:t>
            </w:r>
            <w:r>
              <w:rPr>
                <w:rFonts w:hint="eastAsia" w:ascii="Times New Roman" w:eastAsia="宋体"/>
                <w:b/>
                <w:bCs/>
                <w:sz w:val="24"/>
                <w:szCs w:val="24"/>
              </w:rPr>
              <w:t>、</w:t>
            </w:r>
            <w:r>
              <w:rPr>
                <w:rFonts w:hint="eastAsia" w:ascii="Times New Roman" w:eastAsia="宋体"/>
                <w:b/>
                <w:bCs/>
                <w:sz w:val="24"/>
                <w:szCs w:val="24"/>
                <w:lang w:val="en-US" w:eastAsia="zh-CN"/>
              </w:rPr>
              <w:t>公司后续资本开支计划</w:t>
            </w:r>
            <w:r>
              <w:rPr>
                <w:rFonts w:hint="eastAsia" w:ascii="Times New Roman" w:eastAsia="宋体"/>
                <w:b/>
                <w:bCs/>
                <w:sz w:val="24"/>
                <w:szCs w:val="24"/>
              </w:rPr>
              <w:t>？</w:t>
            </w:r>
          </w:p>
          <w:p w14:paraId="33301151">
            <w:pPr>
              <w:spacing w:line="360" w:lineRule="auto"/>
              <w:rPr>
                <w:rFonts w:ascii="Times New Roman" w:eastAsia="宋体"/>
                <w:sz w:val="24"/>
                <w:szCs w:val="24"/>
              </w:rPr>
            </w:pPr>
            <w:r>
              <w:rPr>
                <w:rFonts w:hint="eastAsia" w:ascii="Times New Roman" w:eastAsia="宋体"/>
                <w:sz w:val="24"/>
                <w:szCs w:val="24"/>
              </w:rPr>
              <w:t>答：气体行业有资本密集型的特征，资金需求量相对较大，需要持续的投入来保持发展。目前公司在建项目均已匹配资金需求</w:t>
            </w:r>
            <w:r>
              <w:rPr>
                <w:rFonts w:hint="eastAsia" w:ascii="Times New Roman" w:eastAsia="宋体"/>
                <w:sz w:val="24"/>
                <w:szCs w:val="24"/>
                <w:lang w:val="en-US" w:eastAsia="zh-CN"/>
              </w:rPr>
              <w:t>。</w:t>
            </w:r>
            <w:r>
              <w:rPr>
                <w:rFonts w:hint="eastAsia" w:ascii="Times New Roman" w:eastAsia="宋体"/>
                <w:sz w:val="24"/>
                <w:szCs w:val="24"/>
              </w:rPr>
              <w:t>未来公司将继续</w:t>
            </w:r>
            <w:r>
              <w:rPr>
                <w:rFonts w:hint="eastAsia" w:ascii="Times New Roman" w:eastAsia="宋体"/>
                <w:sz w:val="24"/>
                <w:szCs w:val="24"/>
                <w:lang w:val="en-US" w:eastAsia="zh-CN"/>
              </w:rPr>
              <w:t>强化项目筛选、做好</w:t>
            </w:r>
            <w:r>
              <w:rPr>
                <w:rFonts w:hint="eastAsia" w:ascii="Times New Roman" w:eastAsia="宋体"/>
                <w:sz w:val="24"/>
                <w:szCs w:val="24"/>
              </w:rPr>
              <w:t>资金流动性管理，</w:t>
            </w:r>
            <w:r>
              <w:rPr>
                <w:rFonts w:hint="eastAsia" w:ascii="Times New Roman" w:eastAsia="宋体"/>
                <w:sz w:val="24"/>
                <w:szCs w:val="24"/>
                <w:lang w:val="en-US" w:eastAsia="zh-CN"/>
              </w:rPr>
              <w:t>提升</w:t>
            </w:r>
            <w:r>
              <w:rPr>
                <w:rFonts w:hint="eastAsia" w:ascii="Times New Roman" w:eastAsia="宋体"/>
                <w:sz w:val="24"/>
                <w:szCs w:val="24"/>
              </w:rPr>
              <w:t>资金使用效率，</w:t>
            </w:r>
            <w:r>
              <w:rPr>
                <w:rFonts w:hint="eastAsia" w:ascii="Times New Roman" w:eastAsia="宋体"/>
                <w:sz w:val="24"/>
                <w:szCs w:val="24"/>
                <w:lang w:val="en-US" w:eastAsia="zh-CN"/>
              </w:rPr>
              <w:t>保障</w:t>
            </w:r>
            <w:r>
              <w:rPr>
                <w:rFonts w:hint="eastAsia" w:ascii="Times New Roman" w:eastAsia="宋体"/>
                <w:sz w:val="24"/>
                <w:szCs w:val="24"/>
              </w:rPr>
              <w:t>企业稳健发展。</w:t>
            </w:r>
            <w:r>
              <w:rPr>
                <w:rFonts w:hint="eastAsia" w:ascii="Times New Roman" w:eastAsia="宋体"/>
                <w:sz w:val="24"/>
                <w:szCs w:val="24"/>
                <w:lang w:val="en-US" w:eastAsia="zh-CN"/>
              </w:rPr>
              <w:t>针对</w:t>
            </w:r>
            <w:r>
              <w:rPr>
                <w:rFonts w:hint="eastAsia" w:ascii="Times New Roman" w:eastAsia="宋体"/>
                <w:sz w:val="24"/>
                <w:szCs w:val="24"/>
              </w:rPr>
              <w:t>后续资本开支，公司会灵活运用银行商业贷款、专项贷款等多元化融资工具，</w:t>
            </w:r>
            <w:r>
              <w:rPr>
                <w:rFonts w:hint="eastAsia" w:ascii="Times New Roman" w:eastAsia="宋体"/>
                <w:sz w:val="24"/>
                <w:szCs w:val="24"/>
                <w:lang w:val="en-US" w:eastAsia="zh-CN"/>
              </w:rPr>
              <w:t>科学</w:t>
            </w:r>
            <w:r>
              <w:rPr>
                <w:rFonts w:hint="eastAsia" w:ascii="Times New Roman" w:eastAsia="宋体"/>
                <w:sz w:val="24"/>
                <w:szCs w:val="24"/>
              </w:rPr>
              <w:t>统筹资金</w:t>
            </w:r>
            <w:r>
              <w:rPr>
                <w:rFonts w:hint="eastAsia" w:ascii="Times New Roman" w:eastAsia="宋体"/>
                <w:sz w:val="24"/>
                <w:szCs w:val="24"/>
                <w:lang w:val="en-US" w:eastAsia="zh-CN"/>
              </w:rPr>
              <w:t>规划</w:t>
            </w:r>
            <w:r>
              <w:rPr>
                <w:rFonts w:hint="eastAsia" w:ascii="Times New Roman" w:eastAsia="宋体"/>
                <w:sz w:val="24"/>
                <w:szCs w:val="24"/>
              </w:rPr>
              <w:t>。</w:t>
            </w:r>
          </w:p>
        </w:tc>
      </w:tr>
      <w:tr w14:paraId="1CD5D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05" w:type="dxa"/>
            <w:vAlign w:val="center"/>
          </w:tcPr>
          <w:p w14:paraId="2968CCA5">
            <w:pPr>
              <w:jc w:val="center"/>
              <w:rPr>
                <w:rFonts w:ascii="Times New Roman" w:eastAsia="宋体"/>
                <w:sz w:val="24"/>
                <w:szCs w:val="30"/>
              </w:rPr>
            </w:pPr>
            <w:r>
              <w:rPr>
                <w:rFonts w:ascii="Times New Roman" w:eastAsia="宋体"/>
                <w:sz w:val="24"/>
                <w:szCs w:val="30"/>
              </w:rPr>
              <w:t>附件清单（如有）</w:t>
            </w:r>
          </w:p>
        </w:tc>
        <w:tc>
          <w:tcPr>
            <w:tcW w:w="6156" w:type="dxa"/>
            <w:vAlign w:val="center"/>
          </w:tcPr>
          <w:p w14:paraId="347F9076">
            <w:pPr>
              <w:jc w:val="left"/>
              <w:rPr>
                <w:rFonts w:hint="default" w:ascii="Times New Roman" w:eastAsia="宋体"/>
                <w:sz w:val="24"/>
                <w:szCs w:val="24"/>
                <w:lang w:val="en-US" w:eastAsia="zh-CN"/>
              </w:rPr>
            </w:pPr>
            <w:r>
              <w:rPr>
                <w:rFonts w:hint="eastAsia" w:ascii="Times New Roman" w:eastAsia="宋体"/>
                <w:sz w:val="24"/>
                <w:szCs w:val="24"/>
                <w:lang w:val="en-US" w:eastAsia="zh-CN"/>
              </w:rPr>
              <w:t>与会清单</w:t>
            </w:r>
          </w:p>
        </w:tc>
      </w:tr>
      <w:tr w14:paraId="26AC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405" w:type="dxa"/>
            <w:vAlign w:val="center"/>
          </w:tcPr>
          <w:p w14:paraId="521B529B">
            <w:pPr>
              <w:jc w:val="center"/>
              <w:rPr>
                <w:rFonts w:ascii="Times New Roman" w:eastAsia="宋体"/>
                <w:sz w:val="24"/>
                <w:szCs w:val="30"/>
              </w:rPr>
            </w:pPr>
            <w:r>
              <w:rPr>
                <w:rFonts w:ascii="Times New Roman" w:eastAsia="宋体"/>
                <w:sz w:val="24"/>
                <w:szCs w:val="30"/>
              </w:rPr>
              <w:t>日期</w:t>
            </w:r>
          </w:p>
        </w:tc>
        <w:tc>
          <w:tcPr>
            <w:tcW w:w="6156" w:type="dxa"/>
            <w:vAlign w:val="center"/>
          </w:tcPr>
          <w:p w14:paraId="7D3CF5BF">
            <w:pPr>
              <w:jc w:val="center"/>
              <w:rPr>
                <w:rFonts w:ascii="Times New Roman" w:eastAsia="宋体"/>
                <w:color w:val="000000"/>
                <w:sz w:val="24"/>
                <w:szCs w:val="24"/>
              </w:rPr>
            </w:pPr>
            <w:r>
              <w:rPr>
                <w:rFonts w:ascii="Times New Roman" w:eastAsia="宋体"/>
                <w:color w:val="000000"/>
                <w:sz w:val="24"/>
                <w:szCs w:val="24"/>
              </w:rPr>
              <w:t>202</w:t>
            </w:r>
            <w:r>
              <w:rPr>
                <w:rFonts w:hint="eastAsia" w:ascii="Times New Roman" w:eastAsia="宋体"/>
                <w:color w:val="000000"/>
                <w:sz w:val="24"/>
                <w:szCs w:val="24"/>
              </w:rPr>
              <w:t>6</w:t>
            </w:r>
            <w:r>
              <w:rPr>
                <w:rFonts w:ascii="Times New Roman" w:eastAsia="宋体"/>
                <w:color w:val="000000"/>
                <w:sz w:val="24"/>
                <w:szCs w:val="24"/>
              </w:rPr>
              <w:t>年</w:t>
            </w:r>
            <w:r>
              <w:rPr>
                <w:rFonts w:hint="eastAsia" w:ascii="Times New Roman" w:eastAsia="宋体"/>
                <w:color w:val="000000"/>
                <w:sz w:val="24"/>
                <w:szCs w:val="24"/>
                <w:lang w:val="en-US" w:eastAsia="zh-CN"/>
              </w:rPr>
              <w:t>10</w:t>
            </w:r>
            <w:r>
              <w:rPr>
                <w:rFonts w:ascii="Times New Roman" w:eastAsia="宋体"/>
                <w:color w:val="000000"/>
                <w:sz w:val="24"/>
                <w:szCs w:val="24"/>
              </w:rPr>
              <w:t>月</w:t>
            </w:r>
            <w:r>
              <w:rPr>
                <w:rFonts w:hint="eastAsia" w:ascii="Times New Roman" w:eastAsia="宋体"/>
                <w:color w:val="000000"/>
                <w:sz w:val="24"/>
                <w:szCs w:val="24"/>
                <w:lang w:val="en-US" w:eastAsia="zh-CN"/>
              </w:rPr>
              <w:t>19</w:t>
            </w:r>
            <w:r>
              <w:rPr>
                <w:rFonts w:ascii="Times New Roman" w:eastAsia="宋体"/>
                <w:color w:val="000000"/>
                <w:sz w:val="24"/>
                <w:szCs w:val="24"/>
              </w:rPr>
              <w:t>日</w:t>
            </w:r>
          </w:p>
        </w:tc>
      </w:tr>
    </w:tbl>
    <w:p w14:paraId="221A7840">
      <w:pPr>
        <w:rPr>
          <w:rFonts w:ascii="Times New Roman" w:eastAsia="宋体"/>
          <w:sz w:val="24"/>
          <w:szCs w:val="24"/>
        </w:rPr>
      </w:pPr>
      <w:r>
        <w:rPr>
          <w:rFonts w:ascii="Times New Roman" w:eastAsia="宋体"/>
          <w:sz w:val="24"/>
          <w:szCs w:val="24"/>
        </w:rPr>
        <w:br w:type="page"/>
      </w:r>
    </w:p>
    <w:p w14:paraId="67775A1F">
      <w:pPr>
        <w:spacing w:line="360" w:lineRule="auto"/>
        <w:rPr>
          <w:rFonts w:ascii="Times New Roman" w:eastAsia="宋体"/>
          <w:sz w:val="24"/>
        </w:rPr>
      </w:pPr>
      <w:r>
        <w:rPr>
          <w:rFonts w:ascii="Times New Roman" w:eastAsia="宋体"/>
          <w:sz w:val="24"/>
        </w:rPr>
        <w:t>附件：与会清单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7"/>
        <w:gridCol w:w="1559"/>
        <w:gridCol w:w="2552"/>
        <w:gridCol w:w="1638"/>
      </w:tblGrid>
      <w:tr w14:paraId="290A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2547" w:type="dxa"/>
            <w:tcBorders>
              <w:top w:val="single" w:color="auto" w:sz="4" w:space="0"/>
              <w:left w:val="single" w:color="auto" w:sz="4" w:space="0"/>
              <w:bottom w:val="single" w:color="auto" w:sz="4" w:space="0"/>
              <w:right w:val="single" w:color="auto" w:sz="4" w:space="0"/>
            </w:tcBorders>
            <w:vAlign w:val="center"/>
          </w:tcPr>
          <w:p w14:paraId="68C957E9">
            <w:pPr>
              <w:jc w:val="center"/>
              <w:rPr>
                <w:rFonts w:hint="eastAsia" w:ascii="宋体" w:hAnsi="宋体" w:eastAsia="宋体" w:cs="宋体"/>
                <w:b/>
                <w:sz w:val="21"/>
                <w:szCs w:val="21"/>
              </w:rPr>
            </w:pPr>
            <w:r>
              <w:rPr>
                <w:rFonts w:hint="eastAsia" w:ascii="宋体" w:hAnsi="宋体" w:eastAsia="宋体" w:cs="宋体"/>
                <w:b/>
                <w:sz w:val="21"/>
                <w:szCs w:val="21"/>
              </w:rPr>
              <w:t>公司</w:t>
            </w:r>
          </w:p>
        </w:tc>
        <w:tc>
          <w:tcPr>
            <w:tcW w:w="1559" w:type="dxa"/>
            <w:tcBorders>
              <w:top w:val="single" w:color="auto" w:sz="4" w:space="0"/>
              <w:left w:val="single" w:color="auto" w:sz="4" w:space="0"/>
              <w:bottom w:val="single" w:color="auto" w:sz="4" w:space="0"/>
              <w:right w:val="single" w:color="auto" w:sz="4" w:space="0"/>
            </w:tcBorders>
            <w:vAlign w:val="center"/>
          </w:tcPr>
          <w:p w14:paraId="0F3E8121">
            <w:pPr>
              <w:jc w:val="center"/>
              <w:rPr>
                <w:rFonts w:hint="eastAsia" w:ascii="宋体" w:hAnsi="宋体" w:eastAsia="宋体" w:cs="宋体"/>
                <w:b/>
                <w:sz w:val="21"/>
                <w:szCs w:val="21"/>
              </w:rPr>
            </w:pPr>
            <w:r>
              <w:rPr>
                <w:rFonts w:hint="eastAsia" w:ascii="宋体" w:hAnsi="宋体" w:eastAsia="宋体" w:cs="宋体"/>
                <w:b/>
                <w:sz w:val="21"/>
                <w:szCs w:val="21"/>
              </w:rPr>
              <w:t>姓名</w:t>
            </w:r>
          </w:p>
        </w:tc>
        <w:tc>
          <w:tcPr>
            <w:tcW w:w="2552" w:type="dxa"/>
            <w:tcBorders>
              <w:top w:val="single" w:color="auto" w:sz="4" w:space="0"/>
              <w:left w:val="single" w:color="auto" w:sz="4" w:space="0"/>
              <w:bottom w:val="single" w:color="auto" w:sz="4" w:space="0"/>
              <w:right w:val="single" w:color="auto" w:sz="4" w:space="0"/>
            </w:tcBorders>
            <w:vAlign w:val="center"/>
          </w:tcPr>
          <w:p w14:paraId="6BEC8FA6">
            <w:pPr>
              <w:jc w:val="center"/>
              <w:rPr>
                <w:rFonts w:hint="eastAsia" w:ascii="宋体" w:hAnsi="宋体" w:eastAsia="宋体" w:cs="宋体"/>
                <w:b/>
                <w:sz w:val="21"/>
                <w:szCs w:val="21"/>
              </w:rPr>
            </w:pPr>
            <w:r>
              <w:rPr>
                <w:rFonts w:hint="eastAsia" w:ascii="宋体" w:hAnsi="宋体" w:eastAsia="宋体" w:cs="宋体"/>
                <w:b/>
                <w:sz w:val="21"/>
                <w:szCs w:val="21"/>
              </w:rPr>
              <w:t>公司</w:t>
            </w:r>
          </w:p>
        </w:tc>
        <w:tc>
          <w:tcPr>
            <w:tcW w:w="1638" w:type="dxa"/>
            <w:tcBorders>
              <w:top w:val="single" w:color="auto" w:sz="4" w:space="0"/>
              <w:left w:val="single" w:color="auto" w:sz="4" w:space="0"/>
              <w:bottom w:val="single" w:color="auto" w:sz="4" w:space="0"/>
              <w:right w:val="single" w:color="auto" w:sz="4" w:space="0"/>
            </w:tcBorders>
            <w:vAlign w:val="center"/>
          </w:tcPr>
          <w:p w14:paraId="6D4FCA23">
            <w:pPr>
              <w:jc w:val="center"/>
              <w:rPr>
                <w:rFonts w:hint="eastAsia" w:ascii="宋体" w:hAnsi="宋体" w:eastAsia="宋体" w:cs="宋体"/>
                <w:b/>
                <w:sz w:val="21"/>
                <w:szCs w:val="21"/>
              </w:rPr>
            </w:pPr>
            <w:r>
              <w:rPr>
                <w:rFonts w:hint="eastAsia" w:ascii="宋体" w:hAnsi="宋体" w:eastAsia="宋体" w:cs="宋体"/>
                <w:b/>
                <w:sz w:val="21"/>
                <w:szCs w:val="21"/>
              </w:rPr>
              <w:t>姓名</w:t>
            </w:r>
          </w:p>
        </w:tc>
      </w:tr>
      <w:tr w14:paraId="2D4D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84AA36E">
            <w:pPr>
              <w:keepNext w:val="0"/>
              <w:keepLines w:val="0"/>
              <w:widowControl/>
              <w:suppressLineNumbers w:val="0"/>
              <w:jc w:val="center"/>
              <w:textAlignment w:val="center"/>
              <w:rPr>
                <w:rFonts w:hint="default" w:ascii="Times New Roman" w:hAnsi="Times New Roman" w:eastAsia="宋体" w:cs="Times New Roman"/>
                <w:bCs/>
                <w:sz w:val="21"/>
                <w:szCs w:val="21"/>
              </w:rPr>
            </w:pPr>
            <w:r>
              <w:rPr>
                <w:rFonts w:hint="default" w:ascii="Times New Roman" w:hAnsi="Times New Roman" w:eastAsia="宋体" w:cs="Times New Roman"/>
                <w:i w:val="0"/>
                <w:iCs w:val="0"/>
                <w:color w:val="000000"/>
                <w:kern w:val="0"/>
                <w:sz w:val="21"/>
                <w:szCs w:val="21"/>
                <w:u w:val="none"/>
                <w:lang w:val="en-US" w:eastAsia="zh-CN" w:bidi="ar"/>
              </w:rPr>
              <w:t>Optimas Capital</w:t>
            </w:r>
          </w:p>
        </w:tc>
        <w:tc>
          <w:tcPr>
            <w:tcW w:w="1559" w:type="dxa"/>
            <w:tcBorders>
              <w:top w:val="single" w:color="auto" w:sz="4" w:space="0"/>
              <w:left w:val="single" w:color="auto" w:sz="4" w:space="0"/>
              <w:bottom w:val="single" w:color="auto" w:sz="4" w:space="0"/>
              <w:right w:val="single" w:color="auto" w:sz="4" w:space="0"/>
            </w:tcBorders>
            <w:vAlign w:val="center"/>
          </w:tcPr>
          <w:p w14:paraId="026C7773">
            <w:pPr>
              <w:keepNext w:val="0"/>
              <w:keepLines w:val="0"/>
              <w:widowControl/>
              <w:suppressLineNumbers w:val="0"/>
              <w:jc w:val="center"/>
              <w:textAlignment w:val="center"/>
              <w:rPr>
                <w:rFonts w:hint="default" w:ascii="Times New Roman" w:eastAsia="宋体"/>
                <w:bCs/>
                <w:sz w:val="21"/>
                <w:szCs w:val="21"/>
                <w:lang w:val="en-US" w:eastAsia="zh-CN"/>
              </w:rPr>
            </w:pPr>
            <w:r>
              <w:rPr>
                <w:rFonts w:hint="eastAsia" w:ascii="Times New Roman" w:eastAsia="宋体"/>
                <w:bCs/>
                <w:sz w:val="21"/>
                <w:szCs w:val="21"/>
                <w:lang w:val="en-US" w:eastAsia="zh-CN"/>
              </w:rPr>
              <w:t>杨晓宇</w:t>
            </w:r>
          </w:p>
        </w:tc>
        <w:tc>
          <w:tcPr>
            <w:tcW w:w="2552" w:type="dxa"/>
            <w:tcBorders>
              <w:top w:val="single" w:color="auto" w:sz="4" w:space="0"/>
              <w:left w:val="single" w:color="auto" w:sz="4" w:space="0"/>
              <w:bottom w:val="single" w:color="auto" w:sz="4" w:space="0"/>
              <w:right w:val="single" w:color="auto" w:sz="4" w:space="0"/>
            </w:tcBorders>
            <w:vAlign w:val="center"/>
          </w:tcPr>
          <w:p w14:paraId="162F2B0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宏鼎财富</w:t>
            </w:r>
          </w:p>
        </w:tc>
        <w:tc>
          <w:tcPr>
            <w:tcW w:w="1638" w:type="dxa"/>
            <w:tcBorders>
              <w:top w:val="single" w:color="auto" w:sz="4" w:space="0"/>
              <w:left w:val="single" w:color="auto" w:sz="4" w:space="0"/>
              <w:bottom w:val="single" w:color="auto" w:sz="4" w:space="0"/>
              <w:right w:val="single" w:color="auto" w:sz="4" w:space="0"/>
            </w:tcBorders>
            <w:vAlign w:val="center"/>
          </w:tcPr>
          <w:p w14:paraId="2A918FF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李小斌</w:t>
            </w:r>
          </w:p>
        </w:tc>
      </w:tr>
      <w:tr w14:paraId="0497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21C7132">
            <w:pPr>
              <w:keepNext w:val="0"/>
              <w:keepLines w:val="0"/>
              <w:widowControl/>
              <w:suppressLineNumbers w:val="0"/>
              <w:jc w:val="center"/>
              <w:textAlignment w:val="center"/>
              <w:rPr>
                <w:rFonts w:hint="default" w:ascii="Times New Roman" w:hAnsi="Times New Roman" w:eastAsia="宋体" w:cs="Times New Roman"/>
                <w:bCs/>
                <w:sz w:val="21"/>
                <w:szCs w:val="21"/>
              </w:rPr>
            </w:pPr>
            <w:r>
              <w:rPr>
                <w:rFonts w:hint="default" w:ascii="Times New Roman" w:hAnsi="Times New Roman" w:eastAsia="宋体" w:cs="Times New Roman"/>
                <w:i w:val="0"/>
                <w:iCs w:val="0"/>
                <w:color w:val="000000"/>
                <w:kern w:val="0"/>
                <w:sz w:val="21"/>
                <w:szCs w:val="21"/>
                <w:u w:val="none"/>
                <w:lang w:val="en-US" w:eastAsia="zh-CN" w:bidi="ar"/>
              </w:rPr>
              <w:t>Rays Capital</w:t>
            </w:r>
          </w:p>
        </w:tc>
        <w:tc>
          <w:tcPr>
            <w:tcW w:w="1559" w:type="dxa"/>
            <w:tcBorders>
              <w:top w:val="single" w:color="auto" w:sz="4" w:space="0"/>
              <w:left w:val="single" w:color="auto" w:sz="4" w:space="0"/>
              <w:bottom w:val="single" w:color="auto" w:sz="4" w:space="0"/>
              <w:right w:val="single" w:color="auto" w:sz="4" w:space="0"/>
            </w:tcBorders>
            <w:vAlign w:val="center"/>
          </w:tcPr>
          <w:p w14:paraId="382F5AE3">
            <w:pPr>
              <w:keepNext w:val="0"/>
              <w:keepLines w:val="0"/>
              <w:widowControl/>
              <w:suppressLineNumbers w:val="0"/>
              <w:jc w:val="center"/>
              <w:textAlignment w:val="center"/>
              <w:rPr>
                <w:rFonts w:hint="eastAsia" w:ascii="宋体" w:hAnsi="宋体" w:eastAsia="宋体" w:cs="宋体"/>
                <w:bCs/>
                <w:sz w:val="21"/>
                <w:szCs w:val="21"/>
              </w:rPr>
            </w:pPr>
            <w:r>
              <w:rPr>
                <w:rFonts w:hint="eastAsia" w:ascii="Times New Roman" w:hAnsi="Times New Roman" w:eastAsia="宋体" w:cs="Times New Roman"/>
                <w:i w:val="0"/>
                <w:iCs w:val="0"/>
                <w:color w:val="000000"/>
                <w:kern w:val="0"/>
                <w:sz w:val="21"/>
                <w:szCs w:val="21"/>
                <w:u w:val="none"/>
                <w:lang w:val="en-US" w:eastAsia="zh-CN" w:bidi="ar"/>
              </w:rPr>
              <w:t>Melo Li</w:t>
            </w:r>
          </w:p>
        </w:tc>
        <w:tc>
          <w:tcPr>
            <w:tcW w:w="2552" w:type="dxa"/>
            <w:tcBorders>
              <w:top w:val="single" w:color="auto" w:sz="4" w:space="0"/>
              <w:left w:val="single" w:color="auto" w:sz="4" w:space="0"/>
              <w:bottom w:val="single" w:color="auto" w:sz="4" w:space="0"/>
              <w:right w:val="single" w:color="auto" w:sz="4" w:space="0"/>
            </w:tcBorders>
            <w:vAlign w:val="center"/>
          </w:tcPr>
          <w:p w14:paraId="0BBE9A7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华宝基金</w:t>
            </w:r>
          </w:p>
        </w:tc>
        <w:tc>
          <w:tcPr>
            <w:tcW w:w="1638" w:type="dxa"/>
            <w:tcBorders>
              <w:top w:val="single" w:color="auto" w:sz="4" w:space="0"/>
              <w:left w:val="single" w:color="auto" w:sz="4" w:space="0"/>
              <w:bottom w:val="single" w:color="auto" w:sz="4" w:space="0"/>
              <w:right w:val="single" w:color="auto" w:sz="4" w:space="0"/>
            </w:tcBorders>
            <w:vAlign w:val="center"/>
          </w:tcPr>
          <w:p w14:paraId="2A39C06C">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毛文博</w:t>
            </w:r>
          </w:p>
        </w:tc>
      </w:tr>
      <w:tr w14:paraId="246DF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A7798B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长城基金</w:t>
            </w:r>
          </w:p>
        </w:tc>
        <w:tc>
          <w:tcPr>
            <w:tcW w:w="1559" w:type="dxa"/>
            <w:tcBorders>
              <w:top w:val="single" w:color="auto" w:sz="4" w:space="0"/>
              <w:left w:val="single" w:color="auto" w:sz="4" w:space="0"/>
              <w:bottom w:val="single" w:color="auto" w:sz="4" w:space="0"/>
              <w:right w:val="single" w:color="auto" w:sz="4" w:space="0"/>
            </w:tcBorders>
            <w:vAlign w:val="center"/>
          </w:tcPr>
          <w:p w14:paraId="6929EA8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余欢</w:t>
            </w:r>
          </w:p>
        </w:tc>
        <w:tc>
          <w:tcPr>
            <w:tcW w:w="2552" w:type="dxa"/>
            <w:tcBorders>
              <w:top w:val="single" w:color="auto" w:sz="4" w:space="0"/>
              <w:left w:val="single" w:color="auto" w:sz="4" w:space="0"/>
              <w:bottom w:val="single" w:color="auto" w:sz="4" w:space="0"/>
              <w:right w:val="single" w:color="auto" w:sz="4" w:space="0"/>
            </w:tcBorders>
            <w:vAlign w:val="center"/>
          </w:tcPr>
          <w:p w14:paraId="0818607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华宝基金</w:t>
            </w:r>
          </w:p>
        </w:tc>
        <w:tc>
          <w:tcPr>
            <w:tcW w:w="1638" w:type="dxa"/>
            <w:tcBorders>
              <w:top w:val="single" w:color="auto" w:sz="4" w:space="0"/>
              <w:left w:val="single" w:color="auto" w:sz="4" w:space="0"/>
              <w:bottom w:val="single" w:color="auto" w:sz="4" w:space="0"/>
              <w:right w:val="single" w:color="auto" w:sz="4" w:space="0"/>
            </w:tcBorders>
            <w:vAlign w:val="center"/>
          </w:tcPr>
          <w:p w14:paraId="2A3A94D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郑恺</w:t>
            </w:r>
          </w:p>
        </w:tc>
      </w:tr>
      <w:tr w14:paraId="1941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91D69FC">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长江证券</w:t>
            </w:r>
          </w:p>
        </w:tc>
        <w:tc>
          <w:tcPr>
            <w:tcW w:w="1559" w:type="dxa"/>
            <w:tcBorders>
              <w:top w:val="single" w:color="auto" w:sz="4" w:space="0"/>
              <w:left w:val="single" w:color="auto" w:sz="4" w:space="0"/>
              <w:bottom w:val="single" w:color="auto" w:sz="4" w:space="0"/>
              <w:right w:val="single" w:color="auto" w:sz="4" w:space="0"/>
            </w:tcBorders>
            <w:vAlign w:val="center"/>
          </w:tcPr>
          <w:p w14:paraId="6877BB6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李禹默</w:t>
            </w:r>
          </w:p>
        </w:tc>
        <w:tc>
          <w:tcPr>
            <w:tcW w:w="2552" w:type="dxa"/>
            <w:tcBorders>
              <w:top w:val="single" w:color="auto" w:sz="4" w:space="0"/>
              <w:left w:val="single" w:color="auto" w:sz="4" w:space="0"/>
              <w:bottom w:val="single" w:color="auto" w:sz="4" w:space="0"/>
              <w:right w:val="single" w:color="auto" w:sz="4" w:space="0"/>
            </w:tcBorders>
            <w:vAlign w:val="center"/>
          </w:tcPr>
          <w:p w14:paraId="545DCDA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华泰证券</w:t>
            </w:r>
          </w:p>
        </w:tc>
        <w:tc>
          <w:tcPr>
            <w:tcW w:w="1638" w:type="dxa"/>
            <w:tcBorders>
              <w:top w:val="single" w:color="auto" w:sz="4" w:space="0"/>
              <w:left w:val="single" w:color="auto" w:sz="4" w:space="0"/>
              <w:bottom w:val="single" w:color="auto" w:sz="4" w:space="0"/>
              <w:right w:val="single" w:color="auto" w:sz="4" w:space="0"/>
            </w:tcBorders>
            <w:vAlign w:val="center"/>
          </w:tcPr>
          <w:p w14:paraId="2DA7CBC6">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魏靖松</w:t>
            </w:r>
          </w:p>
        </w:tc>
      </w:tr>
      <w:tr w14:paraId="53545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6C1993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长盛基金</w:t>
            </w:r>
          </w:p>
        </w:tc>
        <w:tc>
          <w:tcPr>
            <w:tcW w:w="1559" w:type="dxa"/>
            <w:tcBorders>
              <w:top w:val="single" w:color="auto" w:sz="4" w:space="0"/>
              <w:left w:val="single" w:color="auto" w:sz="4" w:space="0"/>
              <w:bottom w:val="single" w:color="auto" w:sz="4" w:space="0"/>
              <w:right w:val="single" w:color="auto" w:sz="4" w:space="0"/>
            </w:tcBorders>
            <w:vAlign w:val="center"/>
          </w:tcPr>
          <w:p w14:paraId="7C1F505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赵万隆</w:t>
            </w:r>
          </w:p>
        </w:tc>
        <w:tc>
          <w:tcPr>
            <w:tcW w:w="2552" w:type="dxa"/>
            <w:tcBorders>
              <w:top w:val="single" w:color="auto" w:sz="4" w:space="0"/>
              <w:left w:val="single" w:color="auto" w:sz="4" w:space="0"/>
              <w:bottom w:val="single" w:color="auto" w:sz="4" w:space="0"/>
              <w:right w:val="single" w:color="auto" w:sz="4" w:space="0"/>
            </w:tcBorders>
            <w:vAlign w:val="center"/>
          </w:tcPr>
          <w:p w14:paraId="585AA59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华泰证券</w:t>
            </w:r>
          </w:p>
        </w:tc>
        <w:tc>
          <w:tcPr>
            <w:tcW w:w="1638" w:type="dxa"/>
            <w:tcBorders>
              <w:top w:val="single" w:color="auto" w:sz="4" w:space="0"/>
              <w:left w:val="single" w:color="auto" w:sz="4" w:space="0"/>
              <w:bottom w:val="single" w:color="auto" w:sz="4" w:space="0"/>
              <w:right w:val="single" w:color="auto" w:sz="4" w:space="0"/>
            </w:tcBorders>
            <w:vAlign w:val="center"/>
          </w:tcPr>
          <w:p w14:paraId="2890BAA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朱昕怡</w:t>
            </w:r>
          </w:p>
        </w:tc>
      </w:tr>
      <w:tr w14:paraId="1122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63D78E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大家资管</w:t>
            </w:r>
          </w:p>
        </w:tc>
        <w:tc>
          <w:tcPr>
            <w:tcW w:w="1559" w:type="dxa"/>
            <w:tcBorders>
              <w:top w:val="single" w:color="auto" w:sz="4" w:space="0"/>
              <w:left w:val="single" w:color="auto" w:sz="4" w:space="0"/>
              <w:bottom w:val="single" w:color="auto" w:sz="4" w:space="0"/>
              <w:right w:val="single" w:color="auto" w:sz="4" w:space="0"/>
            </w:tcBorders>
            <w:vAlign w:val="center"/>
          </w:tcPr>
          <w:p w14:paraId="5F53D07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王凤娟</w:t>
            </w:r>
          </w:p>
        </w:tc>
        <w:tc>
          <w:tcPr>
            <w:tcW w:w="2552" w:type="dxa"/>
            <w:tcBorders>
              <w:top w:val="single" w:color="auto" w:sz="4" w:space="0"/>
              <w:left w:val="single" w:color="auto" w:sz="4" w:space="0"/>
              <w:bottom w:val="single" w:color="auto" w:sz="4" w:space="0"/>
              <w:right w:val="single" w:color="auto" w:sz="4" w:space="0"/>
            </w:tcBorders>
            <w:vAlign w:val="center"/>
          </w:tcPr>
          <w:p w14:paraId="2D70646E">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华源证券</w:t>
            </w:r>
          </w:p>
        </w:tc>
        <w:tc>
          <w:tcPr>
            <w:tcW w:w="1638" w:type="dxa"/>
            <w:tcBorders>
              <w:top w:val="single" w:color="auto" w:sz="4" w:space="0"/>
              <w:left w:val="single" w:color="auto" w:sz="4" w:space="0"/>
              <w:bottom w:val="single" w:color="auto" w:sz="4" w:space="0"/>
              <w:right w:val="single" w:color="auto" w:sz="4" w:space="0"/>
            </w:tcBorders>
            <w:vAlign w:val="center"/>
          </w:tcPr>
          <w:p w14:paraId="4BC9A09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沈露瑶</w:t>
            </w:r>
          </w:p>
        </w:tc>
      </w:tr>
      <w:tr w14:paraId="4B4A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EA5574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东方阿尔法基金</w:t>
            </w:r>
          </w:p>
        </w:tc>
        <w:tc>
          <w:tcPr>
            <w:tcW w:w="1559" w:type="dxa"/>
            <w:tcBorders>
              <w:top w:val="single" w:color="auto" w:sz="4" w:space="0"/>
              <w:left w:val="single" w:color="auto" w:sz="4" w:space="0"/>
              <w:bottom w:val="single" w:color="auto" w:sz="4" w:space="0"/>
              <w:right w:val="single" w:color="auto" w:sz="4" w:space="0"/>
            </w:tcBorders>
            <w:vAlign w:val="center"/>
          </w:tcPr>
          <w:p w14:paraId="58122BA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程子晴</w:t>
            </w:r>
          </w:p>
        </w:tc>
        <w:tc>
          <w:tcPr>
            <w:tcW w:w="2552" w:type="dxa"/>
            <w:tcBorders>
              <w:top w:val="single" w:color="auto" w:sz="4" w:space="0"/>
              <w:left w:val="single" w:color="auto" w:sz="4" w:space="0"/>
              <w:bottom w:val="single" w:color="auto" w:sz="4" w:space="0"/>
              <w:right w:val="single" w:color="auto" w:sz="4" w:space="0"/>
            </w:tcBorders>
            <w:vAlign w:val="center"/>
          </w:tcPr>
          <w:p w14:paraId="4C21EFC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嘉合基金</w:t>
            </w:r>
          </w:p>
        </w:tc>
        <w:tc>
          <w:tcPr>
            <w:tcW w:w="1638" w:type="dxa"/>
            <w:tcBorders>
              <w:top w:val="single" w:color="auto" w:sz="4" w:space="0"/>
              <w:left w:val="single" w:color="auto" w:sz="4" w:space="0"/>
              <w:bottom w:val="single" w:color="auto" w:sz="4" w:space="0"/>
              <w:right w:val="single" w:color="auto" w:sz="4" w:space="0"/>
            </w:tcBorders>
            <w:vAlign w:val="center"/>
          </w:tcPr>
          <w:p w14:paraId="4CF76E2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金川</w:t>
            </w:r>
          </w:p>
        </w:tc>
      </w:tr>
      <w:tr w14:paraId="2A0BE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B2598E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东方证券</w:t>
            </w:r>
          </w:p>
        </w:tc>
        <w:tc>
          <w:tcPr>
            <w:tcW w:w="1559" w:type="dxa"/>
            <w:tcBorders>
              <w:top w:val="single" w:color="auto" w:sz="4" w:space="0"/>
              <w:left w:val="single" w:color="auto" w:sz="4" w:space="0"/>
              <w:bottom w:val="single" w:color="auto" w:sz="4" w:space="0"/>
              <w:right w:val="single" w:color="auto" w:sz="4" w:space="0"/>
            </w:tcBorders>
            <w:vAlign w:val="center"/>
          </w:tcPr>
          <w:p w14:paraId="6C66F495">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潘登</w:t>
            </w:r>
          </w:p>
        </w:tc>
        <w:tc>
          <w:tcPr>
            <w:tcW w:w="2552" w:type="dxa"/>
            <w:tcBorders>
              <w:top w:val="single" w:color="auto" w:sz="4" w:space="0"/>
              <w:left w:val="single" w:color="auto" w:sz="4" w:space="0"/>
              <w:bottom w:val="single" w:color="auto" w:sz="4" w:space="0"/>
              <w:right w:val="single" w:color="auto" w:sz="4" w:space="0"/>
            </w:tcBorders>
            <w:vAlign w:val="center"/>
          </w:tcPr>
          <w:p w14:paraId="44C1FA48">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嘉实基金</w:t>
            </w:r>
          </w:p>
        </w:tc>
        <w:tc>
          <w:tcPr>
            <w:tcW w:w="1638" w:type="dxa"/>
            <w:tcBorders>
              <w:top w:val="single" w:color="auto" w:sz="4" w:space="0"/>
              <w:left w:val="single" w:color="auto" w:sz="4" w:space="0"/>
              <w:bottom w:val="single" w:color="auto" w:sz="4" w:space="0"/>
              <w:right w:val="single" w:color="auto" w:sz="4" w:space="0"/>
            </w:tcBorders>
            <w:vAlign w:val="center"/>
          </w:tcPr>
          <w:p w14:paraId="60AB634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沈玉梁</w:t>
            </w:r>
          </w:p>
        </w:tc>
      </w:tr>
      <w:tr w14:paraId="3BA81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60F0C6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东方证券</w:t>
            </w:r>
          </w:p>
        </w:tc>
        <w:tc>
          <w:tcPr>
            <w:tcW w:w="1559" w:type="dxa"/>
            <w:tcBorders>
              <w:top w:val="single" w:color="auto" w:sz="4" w:space="0"/>
              <w:left w:val="single" w:color="auto" w:sz="4" w:space="0"/>
              <w:bottom w:val="single" w:color="auto" w:sz="4" w:space="0"/>
              <w:right w:val="single" w:color="auto" w:sz="4" w:space="0"/>
            </w:tcBorders>
            <w:vAlign w:val="center"/>
          </w:tcPr>
          <w:p w14:paraId="2A5C6EE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舒迪</w:t>
            </w:r>
          </w:p>
        </w:tc>
        <w:tc>
          <w:tcPr>
            <w:tcW w:w="2552" w:type="dxa"/>
            <w:tcBorders>
              <w:top w:val="single" w:color="auto" w:sz="4" w:space="0"/>
              <w:left w:val="single" w:color="auto" w:sz="4" w:space="0"/>
              <w:bottom w:val="single" w:color="auto" w:sz="4" w:space="0"/>
              <w:right w:val="single" w:color="auto" w:sz="4" w:space="0"/>
            </w:tcBorders>
            <w:vAlign w:val="center"/>
          </w:tcPr>
          <w:p w14:paraId="3716EAA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嘉实基金</w:t>
            </w:r>
          </w:p>
        </w:tc>
        <w:tc>
          <w:tcPr>
            <w:tcW w:w="1638" w:type="dxa"/>
            <w:tcBorders>
              <w:top w:val="single" w:color="auto" w:sz="4" w:space="0"/>
              <w:left w:val="single" w:color="auto" w:sz="4" w:space="0"/>
              <w:bottom w:val="single" w:color="auto" w:sz="4" w:space="0"/>
              <w:right w:val="single" w:color="auto" w:sz="4" w:space="0"/>
            </w:tcBorders>
            <w:vAlign w:val="center"/>
          </w:tcPr>
          <w:p w14:paraId="05341F7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宋阳</w:t>
            </w:r>
          </w:p>
        </w:tc>
      </w:tr>
      <w:tr w14:paraId="6F930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A9BAD8C">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东吴证券</w:t>
            </w:r>
          </w:p>
        </w:tc>
        <w:tc>
          <w:tcPr>
            <w:tcW w:w="1559" w:type="dxa"/>
            <w:tcBorders>
              <w:top w:val="single" w:color="auto" w:sz="4" w:space="0"/>
              <w:left w:val="single" w:color="auto" w:sz="4" w:space="0"/>
              <w:bottom w:val="single" w:color="auto" w:sz="4" w:space="0"/>
              <w:right w:val="single" w:color="auto" w:sz="4" w:space="0"/>
            </w:tcBorders>
            <w:vAlign w:val="center"/>
          </w:tcPr>
          <w:p w14:paraId="015DB858">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王宣宇</w:t>
            </w:r>
          </w:p>
        </w:tc>
        <w:tc>
          <w:tcPr>
            <w:tcW w:w="2552" w:type="dxa"/>
            <w:tcBorders>
              <w:top w:val="single" w:color="auto" w:sz="4" w:space="0"/>
              <w:left w:val="single" w:color="auto" w:sz="4" w:space="0"/>
              <w:bottom w:val="single" w:color="auto" w:sz="4" w:space="0"/>
              <w:right w:val="single" w:color="auto" w:sz="4" w:space="0"/>
            </w:tcBorders>
            <w:vAlign w:val="center"/>
          </w:tcPr>
          <w:p w14:paraId="0375AB5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建信基金</w:t>
            </w:r>
          </w:p>
        </w:tc>
        <w:tc>
          <w:tcPr>
            <w:tcW w:w="1638" w:type="dxa"/>
            <w:tcBorders>
              <w:top w:val="single" w:color="auto" w:sz="4" w:space="0"/>
              <w:left w:val="single" w:color="auto" w:sz="4" w:space="0"/>
              <w:bottom w:val="single" w:color="auto" w:sz="4" w:space="0"/>
              <w:right w:val="single" w:color="auto" w:sz="4" w:space="0"/>
            </w:tcBorders>
            <w:vAlign w:val="center"/>
          </w:tcPr>
          <w:p w14:paraId="543AD1E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田元泉</w:t>
            </w:r>
          </w:p>
        </w:tc>
      </w:tr>
      <w:tr w14:paraId="60B63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7582A769">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富国基金</w:t>
            </w:r>
          </w:p>
        </w:tc>
        <w:tc>
          <w:tcPr>
            <w:tcW w:w="1559" w:type="dxa"/>
            <w:tcBorders>
              <w:top w:val="single" w:color="auto" w:sz="4" w:space="0"/>
              <w:left w:val="single" w:color="auto" w:sz="4" w:space="0"/>
              <w:bottom w:val="single" w:color="auto" w:sz="4" w:space="0"/>
              <w:right w:val="single" w:color="auto" w:sz="4" w:space="0"/>
            </w:tcBorders>
            <w:vAlign w:val="center"/>
          </w:tcPr>
          <w:p w14:paraId="305D5212">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王亮</w:t>
            </w:r>
          </w:p>
        </w:tc>
        <w:tc>
          <w:tcPr>
            <w:tcW w:w="2552" w:type="dxa"/>
            <w:tcBorders>
              <w:top w:val="single" w:color="auto" w:sz="4" w:space="0"/>
              <w:left w:val="single" w:color="auto" w:sz="4" w:space="0"/>
              <w:bottom w:val="single" w:color="auto" w:sz="4" w:space="0"/>
              <w:right w:val="single" w:color="auto" w:sz="4" w:space="0"/>
            </w:tcBorders>
            <w:vAlign w:val="center"/>
          </w:tcPr>
          <w:p w14:paraId="072237D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金元证券</w:t>
            </w:r>
          </w:p>
        </w:tc>
        <w:tc>
          <w:tcPr>
            <w:tcW w:w="1638" w:type="dxa"/>
            <w:tcBorders>
              <w:top w:val="single" w:color="auto" w:sz="4" w:space="0"/>
              <w:left w:val="single" w:color="auto" w:sz="4" w:space="0"/>
              <w:bottom w:val="single" w:color="auto" w:sz="4" w:space="0"/>
              <w:right w:val="single" w:color="auto" w:sz="4" w:space="0"/>
            </w:tcBorders>
            <w:vAlign w:val="center"/>
          </w:tcPr>
          <w:p w14:paraId="46C3CDAD">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卢圣元</w:t>
            </w:r>
          </w:p>
        </w:tc>
      </w:tr>
      <w:tr w14:paraId="20ED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9A7E0C4">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富国基金</w:t>
            </w:r>
          </w:p>
        </w:tc>
        <w:tc>
          <w:tcPr>
            <w:tcW w:w="1559" w:type="dxa"/>
            <w:tcBorders>
              <w:top w:val="single" w:color="auto" w:sz="4" w:space="0"/>
              <w:left w:val="single" w:color="auto" w:sz="4" w:space="0"/>
              <w:bottom w:val="single" w:color="auto" w:sz="4" w:space="0"/>
              <w:right w:val="single" w:color="auto" w:sz="4" w:space="0"/>
            </w:tcBorders>
            <w:vAlign w:val="center"/>
          </w:tcPr>
          <w:p w14:paraId="48669C57">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武磊</w:t>
            </w:r>
          </w:p>
        </w:tc>
        <w:tc>
          <w:tcPr>
            <w:tcW w:w="2552" w:type="dxa"/>
            <w:tcBorders>
              <w:top w:val="single" w:color="auto" w:sz="4" w:space="0"/>
              <w:left w:val="single" w:color="auto" w:sz="4" w:space="0"/>
              <w:bottom w:val="single" w:color="auto" w:sz="4" w:space="0"/>
              <w:right w:val="single" w:color="auto" w:sz="4" w:space="0"/>
            </w:tcBorders>
            <w:vAlign w:val="center"/>
          </w:tcPr>
          <w:p w14:paraId="238886FB">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开源电子</w:t>
            </w:r>
          </w:p>
        </w:tc>
        <w:tc>
          <w:tcPr>
            <w:tcW w:w="1638" w:type="dxa"/>
            <w:tcBorders>
              <w:top w:val="single" w:color="auto" w:sz="4" w:space="0"/>
              <w:left w:val="single" w:color="auto" w:sz="4" w:space="0"/>
              <w:bottom w:val="single" w:color="auto" w:sz="4" w:space="0"/>
              <w:right w:val="single" w:color="auto" w:sz="4" w:space="0"/>
            </w:tcBorders>
            <w:vAlign w:val="center"/>
          </w:tcPr>
          <w:p w14:paraId="47AF08B3">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祁海超</w:t>
            </w:r>
          </w:p>
        </w:tc>
      </w:tr>
      <w:tr w14:paraId="417F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62FB1EA">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高盛</w:t>
            </w:r>
          </w:p>
        </w:tc>
        <w:tc>
          <w:tcPr>
            <w:tcW w:w="1559" w:type="dxa"/>
            <w:tcBorders>
              <w:top w:val="single" w:color="auto" w:sz="4" w:space="0"/>
              <w:left w:val="single" w:color="auto" w:sz="4" w:space="0"/>
              <w:bottom w:val="single" w:color="auto" w:sz="4" w:space="0"/>
              <w:right w:val="single" w:color="auto" w:sz="4" w:space="0"/>
            </w:tcBorders>
            <w:vAlign w:val="center"/>
          </w:tcPr>
          <w:p w14:paraId="7EC93811">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陈颖</w:t>
            </w:r>
          </w:p>
        </w:tc>
        <w:tc>
          <w:tcPr>
            <w:tcW w:w="2552" w:type="dxa"/>
            <w:tcBorders>
              <w:top w:val="single" w:color="auto" w:sz="4" w:space="0"/>
              <w:left w:val="single" w:color="auto" w:sz="4" w:space="0"/>
              <w:bottom w:val="single" w:color="auto" w:sz="4" w:space="0"/>
              <w:right w:val="single" w:color="auto" w:sz="4" w:space="0"/>
            </w:tcBorders>
            <w:vAlign w:val="center"/>
          </w:tcPr>
          <w:p w14:paraId="0878F11F">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路博迈基金</w:t>
            </w:r>
          </w:p>
        </w:tc>
        <w:tc>
          <w:tcPr>
            <w:tcW w:w="1638" w:type="dxa"/>
            <w:tcBorders>
              <w:top w:val="single" w:color="auto" w:sz="4" w:space="0"/>
              <w:left w:val="single" w:color="auto" w:sz="4" w:space="0"/>
              <w:bottom w:val="single" w:color="auto" w:sz="4" w:space="0"/>
              <w:right w:val="single" w:color="auto" w:sz="4" w:space="0"/>
            </w:tcBorders>
            <w:vAlign w:val="center"/>
          </w:tcPr>
          <w:p w14:paraId="22C6D900">
            <w:pPr>
              <w:keepNext w:val="0"/>
              <w:keepLines w:val="0"/>
              <w:widowControl/>
              <w:suppressLineNumbers w:val="0"/>
              <w:jc w:val="center"/>
              <w:textAlignment w:val="center"/>
              <w:rPr>
                <w:rFonts w:hint="eastAsia" w:ascii="宋体" w:hAnsi="宋体" w:eastAsia="宋体" w:cs="宋体"/>
                <w:bCs/>
                <w:sz w:val="21"/>
                <w:szCs w:val="21"/>
              </w:rPr>
            </w:pPr>
            <w:r>
              <w:rPr>
                <w:rFonts w:hint="eastAsia" w:ascii="宋体" w:hAnsi="宋体" w:eastAsia="宋体" w:cs="宋体"/>
                <w:i w:val="0"/>
                <w:iCs w:val="0"/>
                <w:color w:val="000000"/>
                <w:kern w:val="0"/>
                <w:sz w:val="21"/>
                <w:szCs w:val="21"/>
                <w:u w:val="none"/>
                <w:lang w:val="en-US" w:eastAsia="zh-CN" w:bidi="ar"/>
              </w:rPr>
              <w:t>魏晓雪</w:t>
            </w:r>
          </w:p>
        </w:tc>
      </w:tr>
      <w:tr w14:paraId="67554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9DC25D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工银安盛资管</w:t>
            </w:r>
          </w:p>
        </w:tc>
        <w:tc>
          <w:tcPr>
            <w:tcW w:w="1559" w:type="dxa"/>
            <w:tcBorders>
              <w:top w:val="single" w:color="auto" w:sz="4" w:space="0"/>
              <w:left w:val="single" w:color="auto" w:sz="4" w:space="0"/>
              <w:bottom w:val="single" w:color="auto" w:sz="4" w:space="0"/>
              <w:right w:val="single" w:color="auto" w:sz="4" w:space="0"/>
            </w:tcBorders>
            <w:vAlign w:val="center"/>
          </w:tcPr>
          <w:p w14:paraId="6DA51DD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陆远兮</w:t>
            </w:r>
          </w:p>
        </w:tc>
        <w:tc>
          <w:tcPr>
            <w:tcW w:w="2552" w:type="dxa"/>
            <w:tcBorders>
              <w:top w:val="single" w:color="auto" w:sz="4" w:space="0"/>
              <w:left w:val="single" w:color="auto" w:sz="4" w:space="0"/>
              <w:bottom w:val="single" w:color="auto" w:sz="4" w:space="0"/>
              <w:right w:val="single" w:color="auto" w:sz="4" w:space="0"/>
            </w:tcBorders>
            <w:vAlign w:val="center"/>
          </w:tcPr>
          <w:p w14:paraId="7275E44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民生加银基金</w:t>
            </w:r>
          </w:p>
        </w:tc>
        <w:tc>
          <w:tcPr>
            <w:tcW w:w="1638" w:type="dxa"/>
            <w:tcBorders>
              <w:top w:val="single" w:color="auto" w:sz="4" w:space="0"/>
              <w:left w:val="single" w:color="auto" w:sz="4" w:space="0"/>
              <w:bottom w:val="single" w:color="auto" w:sz="4" w:space="0"/>
              <w:right w:val="single" w:color="auto" w:sz="4" w:space="0"/>
            </w:tcBorders>
            <w:vAlign w:val="center"/>
          </w:tcPr>
          <w:p w14:paraId="2FC302F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袁浩</w:t>
            </w:r>
          </w:p>
        </w:tc>
      </w:tr>
      <w:tr w14:paraId="7EADC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E86CDB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观富资管</w:t>
            </w:r>
          </w:p>
        </w:tc>
        <w:tc>
          <w:tcPr>
            <w:tcW w:w="1559" w:type="dxa"/>
            <w:tcBorders>
              <w:top w:val="single" w:color="auto" w:sz="4" w:space="0"/>
              <w:left w:val="single" w:color="auto" w:sz="4" w:space="0"/>
              <w:bottom w:val="single" w:color="auto" w:sz="4" w:space="0"/>
              <w:right w:val="single" w:color="auto" w:sz="4" w:space="0"/>
            </w:tcBorders>
            <w:vAlign w:val="center"/>
          </w:tcPr>
          <w:p w14:paraId="248FD8C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唐天</w:t>
            </w:r>
          </w:p>
        </w:tc>
        <w:tc>
          <w:tcPr>
            <w:tcW w:w="2552" w:type="dxa"/>
            <w:tcBorders>
              <w:top w:val="single" w:color="auto" w:sz="4" w:space="0"/>
              <w:left w:val="single" w:color="auto" w:sz="4" w:space="0"/>
              <w:bottom w:val="single" w:color="auto" w:sz="4" w:space="0"/>
              <w:right w:val="single" w:color="auto" w:sz="4" w:space="0"/>
            </w:tcBorders>
            <w:vAlign w:val="center"/>
          </w:tcPr>
          <w:p w14:paraId="3D7B18B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南方基金</w:t>
            </w:r>
          </w:p>
        </w:tc>
        <w:tc>
          <w:tcPr>
            <w:tcW w:w="1638" w:type="dxa"/>
            <w:tcBorders>
              <w:top w:val="single" w:color="auto" w:sz="4" w:space="0"/>
              <w:left w:val="single" w:color="auto" w:sz="4" w:space="0"/>
              <w:bottom w:val="single" w:color="auto" w:sz="4" w:space="0"/>
              <w:right w:val="single" w:color="auto" w:sz="4" w:space="0"/>
            </w:tcBorders>
            <w:vAlign w:val="center"/>
          </w:tcPr>
          <w:p w14:paraId="366FEB9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蔡子珂</w:t>
            </w:r>
          </w:p>
        </w:tc>
      </w:tr>
      <w:tr w14:paraId="334E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AF05C9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光大证券</w:t>
            </w:r>
          </w:p>
        </w:tc>
        <w:tc>
          <w:tcPr>
            <w:tcW w:w="1559" w:type="dxa"/>
            <w:tcBorders>
              <w:top w:val="single" w:color="auto" w:sz="4" w:space="0"/>
              <w:left w:val="single" w:color="auto" w:sz="4" w:space="0"/>
              <w:bottom w:val="single" w:color="auto" w:sz="4" w:space="0"/>
              <w:right w:val="single" w:color="auto" w:sz="4" w:space="0"/>
            </w:tcBorders>
            <w:vAlign w:val="center"/>
          </w:tcPr>
          <w:p w14:paraId="221CF09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刘勇</w:t>
            </w:r>
          </w:p>
        </w:tc>
        <w:tc>
          <w:tcPr>
            <w:tcW w:w="2552" w:type="dxa"/>
            <w:tcBorders>
              <w:top w:val="single" w:color="auto" w:sz="4" w:space="0"/>
              <w:left w:val="single" w:color="auto" w:sz="4" w:space="0"/>
              <w:bottom w:val="single" w:color="auto" w:sz="4" w:space="0"/>
              <w:right w:val="single" w:color="auto" w:sz="4" w:space="0"/>
            </w:tcBorders>
            <w:vAlign w:val="center"/>
          </w:tcPr>
          <w:p w14:paraId="4B467B5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南方基金</w:t>
            </w:r>
          </w:p>
        </w:tc>
        <w:tc>
          <w:tcPr>
            <w:tcW w:w="1638" w:type="dxa"/>
            <w:tcBorders>
              <w:top w:val="single" w:color="auto" w:sz="4" w:space="0"/>
              <w:left w:val="single" w:color="auto" w:sz="4" w:space="0"/>
              <w:bottom w:val="single" w:color="auto" w:sz="4" w:space="0"/>
              <w:right w:val="single" w:color="auto" w:sz="4" w:space="0"/>
            </w:tcBorders>
            <w:vAlign w:val="center"/>
          </w:tcPr>
          <w:p w14:paraId="69F6921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都逸敏</w:t>
            </w:r>
          </w:p>
        </w:tc>
      </w:tr>
      <w:tr w14:paraId="61B63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839A0E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广发证券</w:t>
            </w:r>
          </w:p>
        </w:tc>
        <w:tc>
          <w:tcPr>
            <w:tcW w:w="1559" w:type="dxa"/>
            <w:tcBorders>
              <w:top w:val="single" w:color="auto" w:sz="4" w:space="0"/>
              <w:left w:val="single" w:color="auto" w:sz="4" w:space="0"/>
              <w:bottom w:val="single" w:color="auto" w:sz="4" w:space="0"/>
              <w:right w:val="single" w:color="auto" w:sz="4" w:space="0"/>
            </w:tcBorders>
            <w:vAlign w:val="center"/>
          </w:tcPr>
          <w:p w14:paraId="05DF96D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耿鹏智</w:t>
            </w:r>
          </w:p>
        </w:tc>
        <w:tc>
          <w:tcPr>
            <w:tcW w:w="2552" w:type="dxa"/>
            <w:tcBorders>
              <w:top w:val="single" w:color="auto" w:sz="4" w:space="0"/>
              <w:left w:val="single" w:color="auto" w:sz="4" w:space="0"/>
              <w:bottom w:val="single" w:color="auto" w:sz="4" w:space="0"/>
              <w:right w:val="single" w:color="auto" w:sz="4" w:space="0"/>
            </w:tcBorders>
            <w:vAlign w:val="center"/>
          </w:tcPr>
          <w:p w14:paraId="6DA986E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农银理财</w:t>
            </w:r>
          </w:p>
        </w:tc>
        <w:tc>
          <w:tcPr>
            <w:tcW w:w="1638" w:type="dxa"/>
            <w:tcBorders>
              <w:top w:val="single" w:color="auto" w:sz="4" w:space="0"/>
              <w:left w:val="single" w:color="auto" w:sz="4" w:space="0"/>
              <w:bottom w:val="single" w:color="auto" w:sz="4" w:space="0"/>
              <w:right w:val="single" w:color="auto" w:sz="4" w:space="0"/>
            </w:tcBorders>
            <w:vAlign w:val="center"/>
          </w:tcPr>
          <w:p w14:paraId="1BA9F20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罗威</w:t>
            </w:r>
          </w:p>
        </w:tc>
      </w:tr>
      <w:tr w14:paraId="6B2BC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60FDE0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广发证券</w:t>
            </w:r>
          </w:p>
        </w:tc>
        <w:tc>
          <w:tcPr>
            <w:tcW w:w="1559" w:type="dxa"/>
            <w:tcBorders>
              <w:top w:val="single" w:color="auto" w:sz="4" w:space="0"/>
              <w:left w:val="single" w:color="auto" w:sz="4" w:space="0"/>
              <w:bottom w:val="single" w:color="auto" w:sz="4" w:space="0"/>
              <w:right w:val="single" w:color="auto" w:sz="4" w:space="0"/>
            </w:tcBorders>
            <w:vAlign w:val="center"/>
          </w:tcPr>
          <w:p w14:paraId="49C4FB0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张子峻</w:t>
            </w:r>
          </w:p>
        </w:tc>
        <w:tc>
          <w:tcPr>
            <w:tcW w:w="2552" w:type="dxa"/>
            <w:tcBorders>
              <w:top w:val="single" w:color="auto" w:sz="4" w:space="0"/>
              <w:left w:val="single" w:color="auto" w:sz="4" w:space="0"/>
              <w:bottom w:val="single" w:color="auto" w:sz="4" w:space="0"/>
              <w:right w:val="single" w:color="auto" w:sz="4" w:space="0"/>
            </w:tcBorders>
            <w:vAlign w:val="center"/>
          </w:tcPr>
          <w:p w14:paraId="24DED82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平安电子</w:t>
            </w:r>
          </w:p>
        </w:tc>
        <w:tc>
          <w:tcPr>
            <w:tcW w:w="1638" w:type="dxa"/>
            <w:tcBorders>
              <w:top w:val="single" w:color="auto" w:sz="4" w:space="0"/>
              <w:left w:val="single" w:color="auto" w:sz="4" w:space="0"/>
              <w:bottom w:val="single" w:color="auto" w:sz="4" w:space="0"/>
              <w:right w:val="single" w:color="auto" w:sz="4" w:space="0"/>
            </w:tcBorders>
            <w:vAlign w:val="center"/>
          </w:tcPr>
          <w:p w14:paraId="1417ABF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徐碧云</w:t>
            </w:r>
          </w:p>
        </w:tc>
      </w:tr>
      <w:tr w14:paraId="111B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87740D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国海证券</w:t>
            </w:r>
          </w:p>
        </w:tc>
        <w:tc>
          <w:tcPr>
            <w:tcW w:w="1559" w:type="dxa"/>
            <w:tcBorders>
              <w:top w:val="single" w:color="auto" w:sz="4" w:space="0"/>
              <w:left w:val="single" w:color="auto" w:sz="4" w:space="0"/>
              <w:bottom w:val="single" w:color="auto" w:sz="4" w:space="0"/>
              <w:right w:val="single" w:color="auto" w:sz="4" w:space="0"/>
            </w:tcBorders>
            <w:vAlign w:val="center"/>
          </w:tcPr>
          <w:p w14:paraId="61FFDD4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孙华圳</w:t>
            </w:r>
          </w:p>
        </w:tc>
        <w:tc>
          <w:tcPr>
            <w:tcW w:w="2552" w:type="dxa"/>
            <w:tcBorders>
              <w:top w:val="single" w:color="auto" w:sz="4" w:space="0"/>
              <w:left w:val="single" w:color="auto" w:sz="4" w:space="0"/>
              <w:bottom w:val="single" w:color="auto" w:sz="4" w:space="0"/>
              <w:right w:val="single" w:color="auto" w:sz="4" w:space="0"/>
            </w:tcBorders>
            <w:vAlign w:val="center"/>
          </w:tcPr>
          <w:p w14:paraId="2FDA120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浦银安盛基金</w:t>
            </w:r>
          </w:p>
        </w:tc>
        <w:tc>
          <w:tcPr>
            <w:tcW w:w="1638" w:type="dxa"/>
            <w:tcBorders>
              <w:top w:val="single" w:color="auto" w:sz="4" w:space="0"/>
              <w:left w:val="single" w:color="auto" w:sz="4" w:space="0"/>
              <w:bottom w:val="single" w:color="auto" w:sz="4" w:space="0"/>
              <w:right w:val="single" w:color="auto" w:sz="4" w:space="0"/>
            </w:tcBorders>
            <w:vAlign w:val="center"/>
          </w:tcPr>
          <w:p w14:paraId="5BF2EA8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吴頔</w:t>
            </w:r>
          </w:p>
        </w:tc>
      </w:tr>
      <w:tr w14:paraId="2765F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B9B5D9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国海证券</w:t>
            </w:r>
          </w:p>
        </w:tc>
        <w:tc>
          <w:tcPr>
            <w:tcW w:w="1559" w:type="dxa"/>
            <w:tcBorders>
              <w:top w:val="single" w:color="auto" w:sz="4" w:space="0"/>
              <w:left w:val="single" w:color="auto" w:sz="4" w:space="0"/>
              <w:bottom w:val="single" w:color="auto" w:sz="4" w:space="0"/>
              <w:right w:val="single" w:color="auto" w:sz="4" w:space="0"/>
            </w:tcBorders>
            <w:vAlign w:val="center"/>
          </w:tcPr>
          <w:p w14:paraId="4262A80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仲逸涵</w:t>
            </w:r>
          </w:p>
        </w:tc>
        <w:tc>
          <w:tcPr>
            <w:tcW w:w="2552" w:type="dxa"/>
            <w:tcBorders>
              <w:top w:val="single" w:color="auto" w:sz="4" w:space="0"/>
              <w:left w:val="single" w:color="auto" w:sz="4" w:space="0"/>
              <w:bottom w:val="single" w:color="auto" w:sz="4" w:space="0"/>
              <w:right w:val="single" w:color="auto" w:sz="4" w:space="0"/>
            </w:tcBorders>
            <w:vAlign w:val="center"/>
          </w:tcPr>
          <w:p w14:paraId="5DD4C85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前海登程资管</w:t>
            </w:r>
          </w:p>
        </w:tc>
        <w:tc>
          <w:tcPr>
            <w:tcW w:w="1638" w:type="dxa"/>
            <w:tcBorders>
              <w:top w:val="single" w:color="auto" w:sz="4" w:space="0"/>
              <w:left w:val="single" w:color="auto" w:sz="4" w:space="0"/>
              <w:bottom w:val="single" w:color="auto" w:sz="4" w:space="0"/>
              <w:right w:val="single" w:color="auto" w:sz="4" w:space="0"/>
            </w:tcBorders>
            <w:vAlign w:val="center"/>
          </w:tcPr>
          <w:p w14:paraId="4715B8F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季清斌</w:t>
            </w:r>
          </w:p>
        </w:tc>
      </w:tr>
      <w:tr w14:paraId="31E29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CE94C8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国寿安保基金</w:t>
            </w:r>
          </w:p>
        </w:tc>
        <w:tc>
          <w:tcPr>
            <w:tcW w:w="1559" w:type="dxa"/>
            <w:tcBorders>
              <w:top w:val="single" w:color="auto" w:sz="4" w:space="0"/>
              <w:left w:val="single" w:color="auto" w:sz="4" w:space="0"/>
              <w:bottom w:val="single" w:color="auto" w:sz="4" w:space="0"/>
              <w:right w:val="single" w:color="auto" w:sz="4" w:space="0"/>
            </w:tcBorders>
            <w:vAlign w:val="center"/>
          </w:tcPr>
          <w:p w14:paraId="6D28FB4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李丹</w:t>
            </w:r>
          </w:p>
        </w:tc>
        <w:tc>
          <w:tcPr>
            <w:tcW w:w="2552" w:type="dxa"/>
            <w:tcBorders>
              <w:top w:val="single" w:color="auto" w:sz="4" w:space="0"/>
              <w:left w:val="single" w:color="auto" w:sz="4" w:space="0"/>
              <w:bottom w:val="single" w:color="auto" w:sz="4" w:space="0"/>
              <w:right w:val="single" w:color="auto" w:sz="4" w:space="0"/>
            </w:tcBorders>
            <w:vAlign w:val="center"/>
          </w:tcPr>
          <w:p w14:paraId="583BD94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青骊投资</w:t>
            </w:r>
          </w:p>
        </w:tc>
        <w:tc>
          <w:tcPr>
            <w:tcW w:w="1638" w:type="dxa"/>
            <w:tcBorders>
              <w:top w:val="single" w:color="auto" w:sz="4" w:space="0"/>
              <w:left w:val="single" w:color="auto" w:sz="4" w:space="0"/>
              <w:bottom w:val="single" w:color="auto" w:sz="4" w:space="0"/>
              <w:right w:val="single" w:color="auto" w:sz="4" w:space="0"/>
            </w:tcBorders>
            <w:vAlign w:val="center"/>
          </w:tcPr>
          <w:p w14:paraId="0B0AA18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李署</w:t>
            </w:r>
          </w:p>
        </w:tc>
      </w:tr>
      <w:tr w14:paraId="659D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C5E328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国寿养老</w:t>
            </w:r>
          </w:p>
        </w:tc>
        <w:tc>
          <w:tcPr>
            <w:tcW w:w="1559" w:type="dxa"/>
            <w:tcBorders>
              <w:top w:val="single" w:color="auto" w:sz="4" w:space="0"/>
              <w:left w:val="single" w:color="auto" w:sz="4" w:space="0"/>
              <w:bottom w:val="single" w:color="auto" w:sz="4" w:space="0"/>
              <w:right w:val="single" w:color="auto" w:sz="4" w:space="0"/>
            </w:tcBorders>
            <w:vAlign w:val="center"/>
          </w:tcPr>
          <w:p w14:paraId="24C5C96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裴勇</w:t>
            </w:r>
          </w:p>
        </w:tc>
        <w:tc>
          <w:tcPr>
            <w:tcW w:w="2552" w:type="dxa"/>
            <w:tcBorders>
              <w:top w:val="single" w:color="auto" w:sz="4" w:space="0"/>
              <w:left w:val="single" w:color="auto" w:sz="4" w:space="0"/>
              <w:bottom w:val="single" w:color="auto" w:sz="4" w:space="0"/>
              <w:right w:val="single" w:color="auto" w:sz="4" w:space="0"/>
            </w:tcBorders>
            <w:vAlign w:val="center"/>
          </w:tcPr>
          <w:p w14:paraId="52CD26A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融通基金</w:t>
            </w:r>
          </w:p>
        </w:tc>
        <w:tc>
          <w:tcPr>
            <w:tcW w:w="1638" w:type="dxa"/>
            <w:tcBorders>
              <w:top w:val="single" w:color="auto" w:sz="4" w:space="0"/>
              <w:left w:val="single" w:color="auto" w:sz="4" w:space="0"/>
              <w:bottom w:val="single" w:color="auto" w:sz="4" w:space="0"/>
              <w:right w:val="single" w:color="auto" w:sz="4" w:space="0"/>
            </w:tcBorders>
            <w:vAlign w:val="center"/>
          </w:tcPr>
          <w:p w14:paraId="2350962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李文海</w:t>
            </w:r>
          </w:p>
        </w:tc>
      </w:tr>
      <w:tr w14:paraId="2CAF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E9D1C7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国寿养老</w:t>
            </w:r>
          </w:p>
        </w:tc>
        <w:tc>
          <w:tcPr>
            <w:tcW w:w="1559" w:type="dxa"/>
            <w:tcBorders>
              <w:top w:val="single" w:color="auto" w:sz="4" w:space="0"/>
              <w:left w:val="single" w:color="auto" w:sz="4" w:space="0"/>
              <w:bottom w:val="single" w:color="auto" w:sz="4" w:space="0"/>
              <w:right w:val="single" w:color="auto" w:sz="4" w:space="0"/>
            </w:tcBorders>
            <w:vAlign w:val="center"/>
          </w:tcPr>
          <w:p w14:paraId="4C5A623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周宜夫</w:t>
            </w:r>
          </w:p>
        </w:tc>
        <w:tc>
          <w:tcPr>
            <w:tcW w:w="2552" w:type="dxa"/>
            <w:tcBorders>
              <w:top w:val="single" w:color="auto" w:sz="4" w:space="0"/>
              <w:left w:val="single" w:color="auto" w:sz="4" w:space="0"/>
              <w:bottom w:val="single" w:color="auto" w:sz="4" w:space="0"/>
              <w:right w:val="single" w:color="auto" w:sz="4" w:space="0"/>
            </w:tcBorders>
            <w:vAlign w:val="center"/>
          </w:tcPr>
          <w:p w14:paraId="4277A9E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润义投资</w:t>
            </w:r>
          </w:p>
        </w:tc>
        <w:tc>
          <w:tcPr>
            <w:tcW w:w="1638" w:type="dxa"/>
            <w:tcBorders>
              <w:top w:val="single" w:color="auto" w:sz="4" w:space="0"/>
              <w:left w:val="single" w:color="auto" w:sz="4" w:space="0"/>
              <w:bottom w:val="single" w:color="auto" w:sz="4" w:space="0"/>
              <w:right w:val="single" w:color="auto" w:sz="4" w:space="0"/>
            </w:tcBorders>
            <w:vAlign w:val="center"/>
          </w:tcPr>
          <w:p w14:paraId="03BE0AC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陆懿晨</w:t>
            </w:r>
          </w:p>
        </w:tc>
      </w:tr>
      <w:tr w14:paraId="25D6E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D82140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国泰海通</w:t>
            </w:r>
          </w:p>
        </w:tc>
        <w:tc>
          <w:tcPr>
            <w:tcW w:w="1559" w:type="dxa"/>
            <w:tcBorders>
              <w:top w:val="single" w:color="auto" w:sz="4" w:space="0"/>
              <w:left w:val="single" w:color="auto" w:sz="4" w:space="0"/>
              <w:bottom w:val="single" w:color="auto" w:sz="4" w:space="0"/>
              <w:right w:val="single" w:color="auto" w:sz="4" w:space="0"/>
            </w:tcBorders>
            <w:vAlign w:val="center"/>
          </w:tcPr>
          <w:p w14:paraId="324877E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刘汉思</w:t>
            </w:r>
          </w:p>
        </w:tc>
        <w:tc>
          <w:tcPr>
            <w:tcW w:w="2552" w:type="dxa"/>
            <w:tcBorders>
              <w:top w:val="single" w:color="auto" w:sz="4" w:space="0"/>
              <w:left w:val="single" w:color="auto" w:sz="4" w:space="0"/>
              <w:bottom w:val="single" w:color="auto" w:sz="4" w:space="0"/>
              <w:right w:val="single" w:color="auto" w:sz="4" w:space="0"/>
            </w:tcBorders>
            <w:vAlign w:val="center"/>
          </w:tcPr>
          <w:p w14:paraId="212C23C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申万宏源</w:t>
            </w:r>
          </w:p>
        </w:tc>
        <w:tc>
          <w:tcPr>
            <w:tcW w:w="1638" w:type="dxa"/>
            <w:tcBorders>
              <w:top w:val="single" w:color="auto" w:sz="4" w:space="0"/>
              <w:left w:val="single" w:color="auto" w:sz="4" w:space="0"/>
              <w:bottom w:val="single" w:color="auto" w:sz="4" w:space="0"/>
              <w:right w:val="single" w:color="auto" w:sz="4" w:space="0"/>
            </w:tcBorders>
            <w:vAlign w:val="center"/>
          </w:tcPr>
          <w:p w14:paraId="356604E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周超</w:t>
            </w:r>
          </w:p>
        </w:tc>
      </w:tr>
      <w:tr w14:paraId="5FEFE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0D4868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国泰海通</w:t>
            </w:r>
          </w:p>
        </w:tc>
        <w:tc>
          <w:tcPr>
            <w:tcW w:w="1559" w:type="dxa"/>
            <w:tcBorders>
              <w:top w:val="single" w:color="auto" w:sz="4" w:space="0"/>
              <w:left w:val="single" w:color="auto" w:sz="4" w:space="0"/>
              <w:bottom w:val="single" w:color="auto" w:sz="4" w:space="0"/>
              <w:right w:val="single" w:color="auto" w:sz="4" w:space="0"/>
            </w:tcBorders>
            <w:vAlign w:val="center"/>
          </w:tcPr>
          <w:p w14:paraId="3439210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张翠翠</w:t>
            </w:r>
          </w:p>
        </w:tc>
        <w:tc>
          <w:tcPr>
            <w:tcW w:w="2552" w:type="dxa"/>
            <w:tcBorders>
              <w:top w:val="single" w:color="auto" w:sz="4" w:space="0"/>
              <w:left w:val="single" w:color="auto" w:sz="4" w:space="0"/>
              <w:bottom w:val="single" w:color="auto" w:sz="4" w:space="0"/>
              <w:right w:val="single" w:color="auto" w:sz="4" w:space="0"/>
            </w:tcBorders>
            <w:vAlign w:val="center"/>
          </w:tcPr>
          <w:p w14:paraId="0EB5411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申万菱信基金</w:t>
            </w:r>
          </w:p>
        </w:tc>
        <w:tc>
          <w:tcPr>
            <w:tcW w:w="1638" w:type="dxa"/>
            <w:tcBorders>
              <w:top w:val="single" w:color="auto" w:sz="4" w:space="0"/>
              <w:left w:val="single" w:color="auto" w:sz="4" w:space="0"/>
              <w:bottom w:val="single" w:color="auto" w:sz="4" w:space="0"/>
              <w:right w:val="single" w:color="auto" w:sz="4" w:space="0"/>
            </w:tcBorders>
            <w:vAlign w:val="center"/>
          </w:tcPr>
          <w:p w14:paraId="5A8FF67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夏韵</w:t>
            </w:r>
          </w:p>
        </w:tc>
      </w:tr>
      <w:tr w14:paraId="118C1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10C2A2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国信证券</w:t>
            </w:r>
          </w:p>
        </w:tc>
        <w:tc>
          <w:tcPr>
            <w:tcW w:w="1559" w:type="dxa"/>
            <w:tcBorders>
              <w:top w:val="single" w:color="auto" w:sz="4" w:space="0"/>
              <w:left w:val="single" w:color="auto" w:sz="4" w:space="0"/>
              <w:bottom w:val="single" w:color="auto" w:sz="4" w:space="0"/>
              <w:right w:val="single" w:color="auto" w:sz="4" w:space="0"/>
            </w:tcBorders>
            <w:vAlign w:val="center"/>
          </w:tcPr>
          <w:p w14:paraId="1ABAD25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张歆钰</w:t>
            </w:r>
          </w:p>
        </w:tc>
        <w:tc>
          <w:tcPr>
            <w:tcW w:w="2552" w:type="dxa"/>
            <w:tcBorders>
              <w:top w:val="single" w:color="auto" w:sz="4" w:space="0"/>
              <w:left w:val="single" w:color="auto" w:sz="4" w:space="0"/>
              <w:bottom w:val="single" w:color="auto" w:sz="4" w:space="0"/>
              <w:right w:val="single" w:color="auto" w:sz="4" w:space="0"/>
            </w:tcBorders>
            <w:vAlign w:val="center"/>
          </w:tcPr>
          <w:p w14:paraId="0C2362B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生命保险</w:t>
            </w:r>
          </w:p>
        </w:tc>
        <w:tc>
          <w:tcPr>
            <w:tcW w:w="1638" w:type="dxa"/>
            <w:tcBorders>
              <w:top w:val="single" w:color="auto" w:sz="4" w:space="0"/>
              <w:left w:val="single" w:color="auto" w:sz="4" w:space="0"/>
              <w:bottom w:val="single" w:color="auto" w:sz="4" w:space="0"/>
              <w:right w:val="single" w:color="auto" w:sz="4" w:space="0"/>
            </w:tcBorders>
            <w:vAlign w:val="center"/>
          </w:tcPr>
          <w:p w14:paraId="448DDE0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肖融</w:t>
            </w:r>
          </w:p>
        </w:tc>
      </w:tr>
      <w:tr w14:paraId="123C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6B16A2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河清龙樾</w:t>
            </w:r>
          </w:p>
        </w:tc>
        <w:tc>
          <w:tcPr>
            <w:tcW w:w="1559" w:type="dxa"/>
            <w:tcBorders>
              <w:top w:val="single" w:color="auto" w:sz="4" w:space="0"/>
              <w:left w:val="single" w:color="auto" w:sz="4" w:space="0"/>
              <w:bottom w:val="single" w:color="auto" w:sz="4" w:space="0"/>
              <w:right w:val="single" w:color="auto" w:sz="4" w:space="0"/>
            </w:tcBorders>
            <w:vAlign w:val="center"/>
          </w:tcPr>
          <w:p w14:paraId="1F41C24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高磊</w:t>
            </w:r>
          </w:p>
        </w:tc>
        <w:tc>
          <w:tcPr>
            <w:tcW w:w="2552" w:type="dxa"/>
            <w:tcBorders>
              <w:top w:val="single" w:color="auto" w:sz="4" w:space="0"/>
              <w:left w:val="single" w:color="auto" w:sz="4" w:space="0"/>
              <w:bottom w:val="single" w:color="auto" w:sz="4" w:space="0"/>
              <w:right w:val="single" w:color="auto" w:sz="4" w:space="0"/>
            </w:tcBorders>
            <w:vAlign w:val="center"/>
          </w:tcPr>
          <w:p w14:paraId="38C686B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天风证券</w:t>
            </w:r>
          </w:p>
        </w:tc>
        <w:tc>
          <w:tcPr>
            <w:tcW w:w="1638" w:type="dxa"/>
            <w:tcBorders>
              <w:top w:val="single" w:color="auto" w:sz="4" w:space="0"/>
              <w:left w:val="single" w:color="auto" w:sz="4" w:space="0"/>
              <w:bottom w:val="single" w:color="auto" w:sz="4" w:space="0"/>
              <w:right w:val="single" w:color="auto" w:sz="4" w:space="0"/>
            </w:tcBorders>
            <w:vAlign w:val="center"/>
          </w:tcPr>
          <w:p w14:paraId="332AF66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杜玙</w:t>
            </w:r>
          </w:p>
        </w:tc>
      </w:tr>
      <w:tr w14:paraId="4E69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BD0803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天风证券</w:t>
            </w:r>
          </w:p>
        </w:tc>
        <w:tc>
          <w:tcPr>
            <w:tcW w:w="1559" w:type="dxa"/>
            <w:tcBorders>
              <w:top w:val="single" w:color="auto" w:sz="4" w:space="0"/>
              <w:left w:val="single" w:color="auto" w:sz="4" w:space="0"/>
              <w:bottom w:val="single" w:color="auto" w:sz="4" w:space="0"/>
              <w:right w:val="single" w:color="auto" w:sz="4" w:space="0"/>
            </w:tcBorders>
            <w:vAlign w:val="center"/>
          </w:tcPr>
          <w:p w14:paraId="78D2D6E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王佩麟</w:t>
            </w:r>
          </w:p>
        </w:tc>
        <w:tc>
          <w:tcPr>
            <w:tcW w:w="2552" w:type="dxa"/>
            <w:tcBorders>
              <w:top w:val="single" w:color="auto" w:sz="4" w:space="0"/>
              <w:left w:val="single" w:color="auto" w:sz="4" w:space="0"/>
              <w:bottom w:val="single" w:color="auto" w:sz="4" w:space="0"/>
              <w:right w:val="single" w:color="auto" w:sz="4" w:space="0"/>
            </w:tcBorders>
            <w:vAlign w:val="center"/>
          </w:tcPr>
          <w:p w14:paraId="4B8A51F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招商证券</w:t>
            </w:r>
          </w:p>
        </w:tc>
        <w:tc>
          <w:tcPr>
            <w:tcW w:w="1638" w:type="dxa"/>
            <w:tcBorders>
              <w:top w:val="single" w:color="auto" w:sz="4" w:space="0"/>
              <w:left w:val="single" w:color="auto" w:sz="4" w:space="0"/>
              <w:bottom w:val="single" w:color="auto" w:sz="4" w:space="0"/>
              <w:right w:val="single" w:color="auto" w:sz="4" w:space="0"/>
            </w:tcBorders>
            <w:vAlign w:val="center"/>
          </w:tcPr>
          <w:p w14:paraId="1477AE6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连莹</w:t>
            </w:r>
          </w:p>
        </w:tc>
      </w:tr>
      <w:tr w14:paraId="15E1B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3CD8D9D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天风证券</w:t>
            </w:r>
          </w:p>
        </w:tc>
        <w:tc>
          <w:tcPr>
            <w:tcW w:w="1559" w:type="dxa"/>
            <w:tcBorders>
              <w:top w:val="single" w:color="auto" w:sz="4" w:space="0"/>
              <w:left w:val="single" w:color="auto" w:sz="4" w:space="0"/>
              <w:bottom w:val="single" w:color="auto" w:sz="4" w:space="0"/>
              <w:right w:val="single" w:color="auto" w:sz="4" w:space="0"/>
            </w:tcBorders>
            <w:vAlign w:val="center"/>
          </w:tcPr>
          <w:p w14:paraId="662B0E8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王漪昆</w:t>
            </w:r>
          </w:p>
        </w:tc>
        <w:tc>
          <w:tcPr>
            <w:tcW w:w="2552" w:type="dxa"/>
            <w:tcBorders>
              <w:top w:val="single" w:color="auto" w:sz="4" w:space="0"/>
              <w:left w:val="single" w:color="auto" w:sz="4" w:space="0"/>
              <w:bottom w:val="single" w:color="auto" w:sz="4" w:space="0"/>
              <w:right w:val="single" w:color="auto" w:sz="4" w:space="0"/>
            </w:tcBorders>
            <w:vAlign w:val="center"/>
          </w:tcPr>
          <w:p w14:paraId="1CD9856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浙商证券</w:t>
            </w:r>
          </w:p>
        </w:tc>
        <w:tc>
          <w:tcPr>
            <w:tcW w:w="1638" w:type="dxa"/>
            <w:tcBorders>
              <w:top w:val="single" w:color="auto" w:sz="4" w:space="0"/>
              <w:left w:val="single" w:color="auto" w:sz="4" w:space="0"/>
              <w:bottom w:val="single" w:color="auto" w:sz="4" w:space="0"/>
              <w:right w:val="single" w:color="auto" w:sz="4" w:space="0"/>
            </w:tcBorders>
            <w:vAlign w:val="center"/>
          </w:tcPr>
          <w:p w14:paraId="5FDF558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高铭谦</w:t>
            </w:r>
          </w:p>
        </w:tc>
      </w:tr>
      <w:tr w14:paraId="10F4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104C16F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天风证券</w:t>
            </w:r>
          </w:p>
        </w:tc>
        <w:tc>
          <w:tcPr>
            <w:tcW w:w="1559" w:type="dxa"/>
            <w:tcBorders>
              <w:top w:val="single" w:color="auto" w:sz="4" w:space="0"/>
              <w:left w:val="single" w:color="auto" w:sz="4" w:space="0"/>
              <w:bottom w:val="single" w:color="auto" w:sz="4" w:space="0"/>
              <w:right w:val="single" w:color="auto" w:sz="4" w:space="0"/>
            </w:tcBorders>
            <w:vAlign w:val="center"/>
          </w:tcPr>
          <w:p w14:paraId="521984F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邢颜凝</w:t>
            </w:r>
          </w:p>
        </w:tc>
        <w:tc>
          <w:tcPr>
            <w:tcW w:w="2552" w:type="dxa"/>
            <w:tcBorders>
              <w:top w:val="single" w:color="auto" w:sz="4" w:space="0"/>
              <w:left w:val="single" w:color="auto" w:sz="4" w:space="0"/>
              <w:bottom w:val="single" w:color="auto" w:sz="4" w:space="0"/>
              <w:right w:val="single" w:color="auto" w:sz="4" w:space="0"/>
            </w:tcBorders>
            <w:vAlign w:val="center"/>
          </w:tcPr>
          <w:p w14:paraId="380E573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中国国际金融</w:t>
            </w:r>
          </w:p>
        </w:tc>
        <w:tc>
          <w:tcPr>
            <w:tcW w:w="1638" w:type="dxa"/>
            <w:tcBorders>
              <w:top w:val="single" w:color="auto" w:sz="4" w:space="0"/>
              <w:left w:val="single" w:color="auto" w:sz="4" w:space="0"/>
              <w:bottom w:val="single" w:color="auto" w:sz="4" w:space="0"/>
              <w:right w:val="single" w:color="auto" w:sz="4" w:space="0"/>
            </w:tcBorders>
            <w:vAlign w:val="center"/>
          </w:tcPr>
          <w:p w14:paraId="193492E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胡迪</w:t>
            </w:r>
          </w:p>
        </w:tc>
      </w:tr>
      <w:tr w14:paraId="61D55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BBBC85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潼骁投资</w:t>
            </w:r>
          </w:p>
        </w:tc>
        <w:tc>
          <w:tcPr>
            <w:tcW w:w="1559" w:type="dxa"/>
            <w:tcBorders>
              <w:top w:val="single" w:color="auto" w:sz="4" w:space="0"/>
              <w:left w:val="single" w:color="auto" w:sz="4" w:space="0"/>
              <w:bottom w:val="single" w:color="auto" w:sz="4" w:space="0"/>
              <w:right w:val="single" w:color="auto" w:sz="4" w:space="0"/>
            </w:tcBorders>
            <w:vAlign w:val="center"/>
          </w:tcPr>
          <w:p w14:paraId="3E01535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王喆</w:t>
            </w:r>
          </w:p>
        </w:tc>
        <w:tc>
          <w:tcPr>
            <w:tcW w:w="2552" w:type="dxa"/>
            <w:tcBorders>
              <w:top w:val="single" w:color="auto" w:sz="4" w:space="0"/>
              <w:left w:val="single" w:color="auto" w:sz="4" w:space="0"/>
              <w:bottom w:val="single" w:color="auto" w:sz="4" w:space="0"/>
              <w:right w:val="single" w:color="auto" w:sz="4" w:space="0"/>
            </w:tcBorders>
            <w:vAlign w:val="center"/>
          </w:tcPr>
          <w:p w14:paraId="53E666F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中国国际金融</w:t>
            </w:r>
          </w:p>
        </w:tc>
        <w:tc>
          <w:tcPr>
            <w:tcW w:w="1638" w:type="dxa"/>
            <w:tcBorders>
              <w:top w:val="single" w:color="auto" w:sz="4" w:space="0"/>
              <w:left w:val="single" w:color="auto" w:sz="4" w:space="0"/>
              <w:bottom w:val="single" w:color="auto" w:sz="4" w:space="0"/>
              <w:right w:val="single" w:color="auto" w:sz="4" w:space="0"/>
            </w:tcBorders>
            <w:vAlign w:val="center"/>
          </w:tcPr>
          <w:p w14:paraId="4908634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王凯</w:t>
            </w:r>
          </w:p>
        </w:tc>
      </w:tr>
      <w:tr w14:paraId="3B815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15BE56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循理资产</w:t>
            </w:r>
          </w:p>
        </w:tc>
        <w:tc>
          <w:tcPr>
            <w:tcW w:w="1559" w:type="dxa"/>
            <w:tcBorders>
              <w:top w:val="single" w:color="auto" w:sz="4" w:space="0"/>
              <w:left w:val="single" w:color="auto" w:sz="4" w:space="0"/>
              <w:bottom w:val="single" w:color="auto" w:sz="4" w:space="0"/>
              <w:right w:val="single" w:color="auto" w:sz="4" w:space="0"/>
            </w:tcBorders>
            <w:vAlign w:val="center"/>
          </w:tcPr>
          <w:p w14:paraId="4D7C049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裘孝锋</w:t>
            </w:r>
          </w:p>
        </w:tc>
        <w:tc>
          <w:tcPr>
            <w:tcW w:w="2552" w:type="dxa"/>
            <w:tcBorders>
              <w:top w:val="single" w:color="auto" w:sz="4" w:space="0"/>
              <w:left w:val="single" w:color="auto" w:sz="4" w:space="0"/>
              <w:bottom w:val="single" w:color="auto" w:sz="4" w:space="0"/>
              <w:right w:val="single" w:color="auto" w:sz="4" w:space="0"/>
            </w:tcBorders>
            <w:vAlign w:val="center"/>
          </w:tcPr>
          <w:p w14:paraId="29CA12B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中泰安合投资</w:t>
            </w:r>
          </w:p>
        </w:tc>
        <w:tc>
          <w:tcPr>
            <w:tcW w:w="1638" w:type="dxa"/>
            <w:tcBorders>
              <w:top w:val="single" w:color="auto" w:sz="4" w:space="0"/>
              <w:left w:val="single" w:color="auto" w:sz="4" w:space="0"/>
              <w:bottom w:val="single" w:color="auto" w:sz="4" w:space="0"/>
              <w:right w:val="single" w:color="auto" w:sz="4" w:space="0"/>
            </w:tcBorders>
            <w:vAlign w:val="center"/>
          </w:tcPr>
          <w:p w14:paraId="483BDC5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王旭</w:t>
            </w:r>
          </w:p>
        </w:tc>
      </w:tr>
      <w:tr w14:paraId="72809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5BC3A45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阳光资管</w:t>
            </w:r>
          </w:p>
        </w:tc>
        <w:tc>
          <w:tcPr>
            <w:tcW w:w="1559" w:type="dxa"/>
            <w:tcBorders>
              <w:top w:val="single" w:color="auto" w:sz="4" w:space="0"/>
              <w:left w:val="single" w:color="auto" w:sz="4" w:space="0"/>
              <w:bottom w:val="single" w:color="auto" w:sz="4" w:space="0"/>
              <w:right w:val="single" w:color="auto" w:sz="4" w:space="0"/>
            </w:tcBorders>
            <w:vAlign w:val="center"/>
          </w:tcPr>
          <w:p w14:paraId="4C0A4E1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李曦辰</w:t>
            </w:r>
          </w:p>
        </w:tc>
        <w:tc>
          <w:tcPr>
            <w:tcW w:w="2552" w:type="dxa"/>
            <w:tcBorders>
              <w:top w:val="single" w:color="auto" w:sz="4" w:space="0"/>
              <w:left w:val="single" w:color="auto" w:sz="4" w:space="0"/>
              <w:bottom w:val="single" w:color="auto" w:sz="4" w:space="0"/>
              <w:right w:val="single" w:color="auto" w:sz="4" w:space="0"/>
            </w:tcBorders>
            <w:vAlign w:val="center"/>
          </w:tcPr>
          <w:p w14:paraId="174604B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中泰证券</w:t>
            </w:r>
          </w:p>
        </w:tc>
        <w:tc>
          <w:tcPr>
            <w:tcW w:w="1638" w:type="dxa"/>
            <w:tcBorders>
              <w:top w:val="single" w:color="auto" w:sz="4" w:space="0"/>
              <w:left w:val="single" w:color="auto" w:sz="4" w:space="0"/>
              <w:bottom w:val="single" w:color="auto" w:sz="4" w:space="0"/>
              <w:right w:val="single" w:color="auto" w:sz="4" w:space="0"/>
            </w:tcBorders>
            <w:vAlign w:val="center"/>
          </w:tcPr>
          <w:p w14:paraId="0B013B8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张昆</w:t>
            </w:r>
          </w:p>
        </w:tc>
      </w:tr>
      <w:tr w14:paraId="2986F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1D7EB1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益恒投资</w:t>
            </w:r>
          </w:p>
        </w:tc>
        <w:tc>
          <w:tcPr>
            <w:tcW w:w="1559" w:type="dxa"/>
            <w:tcBorders>
              <w:top w:val="single" w:color="auto" w:sz="4" w:space="0"/>
              <w:left w:val="single" w:color="auto" w:sz="4" w:space="0"/>
              <w:bottom w:val="single" w:color="auto" w:sz="4" w:space="0"/>
              <w:right w:val="single" w:color="auto" w:sz="4" w:space="0"/>
            </w:tcBorders>
            <w:vAlign w:val="center"/>
          </w:tcPr>
          <w:p w14:paraId="2C54F61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钱坤</w:t>
            </w:r>
          </w:p>
        </w:tc>
        <w:tc>
          <w:tcPr>
            <w:tcW w:w="2552" w:type="dxa"/>
            <w:tcBorders>
              <w:top w:val="single" w:color="auto" w:sz="4" w:space="0"/>
              <w:left w:val="single" w:color="auto" w:sz="4" w:space="0"/>
              <w:bottom w:val="single" w:color="auto" w:sz="4" w:space="0"/>
              <w:right w:val="single" w:color="auto" w:sz="4" w:space="0"/>
            </w:tcBorders>
            <w:vAlign w:val="center"/>
          </w:tcPr>
          <w:p w14:paraId="0E5C73F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中信建投证券</w:t>
            </w:r>
          </w:p>
        </w:tc>
        <w:tc>
          <w:tcPr>
            <w:tcW w:w="1638" w:type="dxa"/>
            <w:tcBorders>
              <w:top w:val="single" w:color="auto" w:sz="4" w:space="0"/>
              <w:left w:val="single" w:color="auto" w:sz="4" w:space="0"/>
              <w:bottom w:val="single" w:color="auto" w:sz="4" w:space="0"/>
              <w:right w:val="single" w:color="auto" w:sz="4" w:space="0"/>
            </w:tcBorders>
            <w:vAlign w:val="center"/>
          </w:tcPr>
          <w:p w14:paraId="50F7DF4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王鲜俐</w:t>
            </w:r>
          </w:p>
        </w:tc>
      </w:tr>
      <w:tr w14:paraId="6F6C3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438AA66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银河基金</w:t>
            </w:r>
          </w:p>
        </w:tc>
        <w:tc>
          <w:tcPr>
            <w:tcW w:w="1559" w:type="dxa"/>
            <w:tcBorders>
              <w:top w:val="single" w:color="auto" w:sz="4" w:space="0"/>
              <w:left w:val="single" w:color="auto" w:sz="4" w:space="0"/>
              <w:bottom w:val="single" w:color="auto" w:sz="4" w:space="0"/>
              <w:right w:val="single" w:color="auto" w:sz="4" w:space="0"/>
            </w:tcBorders>
            <w:vAlign w:val="center"/>
          </w:tcPr>
          <w:p w14:paraId="1EBE63B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黄思敏</w:t>
            </w:r>
          </w:p>
        </w:tc>
        <w:tc>
          <w:tcPr>
            <w:tcW w:w="2552" w:type="dxa"/>
            <w:tcBorders>
              <w:top w:val="single" w:color="auto" w:sz="4" w:space="0"/>
              <w:left w:val="single" w:color="auto" w:sz="4" w:space="0"/>
              <w:bottom w:val="single" w:color="auto" w:sz="4" w:space="0"/>
              <w:right w:val="single" w:color="auto" w:sz="4" w:space="0"/>
            </w:tcBorders>
            <w:vAlign w:val="center"/>
          </w:tcPr>
          <w:p w14:paraId="7ACB925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中信证券</w:t>
            </w:r>
          </w:p>
        </w:tc>
        <w:tc>
          <w:tcPr>
            <w:tcW w:w="1638" w:type="dxa"/>
            <w:tcBorders>
              <w:top w:val="single" w:color="auto" w:sz="4" w:space="0"/>
              <w:left w:val="single" w:color="auto" w:sz="4" w:space="0"/>
              <w:bottom w:val="single" w:color="auto" w:sz="4" w:space="0"/>
              <w:right w:val="single" w:color="auto" w:sz="4" w:space="0"/>
            </w:tcBorders>
            <w:vAlign w:val="center"/>
          </w:tcPr>
          <w:p w14:paraId="06AD4FB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陈旺</w:t>
            </w:r>
          </w:p>
        </w:tc>
      </w:tr>
      <w:tr w14:paraId="5D547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265961B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银河基金</w:t>
            </w:r>
          </w:p>
        </w:tc>
        <w:tc>
          <w:tcPr>
            <w:tcW w:w="1559" w:type="dxa"/>
            <w:tcBorders>
              <w:top w:val="single" w:color="auto" w:sz="4" w:space="0"/>
              <w:left w:val="single" w:color="auto" w:sz="4" w:space="0"/>
              <w:bottom w:val="single" w:color="auto" w:sz="4" w:space="0"/>
              <w:right w:val="single" w:color="auto" w:sz="4" w:space="0"/>
            </w:tcBorders>
            <w:vAlign w:val="center"/>
          </w:tcPr>
          <w:p w14:paraId="5F51FA8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王丝语</w:t>
            </w:r>
          </w:p>
        </w:tc>
        <w:tc>
          <w:tcPr>
            <w:tcW w:w="2552" w:type="dxa"/>
            <w:tcBorders>
              <w:top w:val="single" w:color="auto" w:sz="4" w:space="0"/>
              <w:left w:val="single" w:color="auto" w:sz="4" w:space="0"/>
              <w:bottom w:val="single" w:color="auto" w:sz="4" w:space="0"/>
              <w:right w:val="single" w:color="auto" w:sz="4" w:space="0"/>
            </w:tcBorders>
            <w:vAlign w:val="center"/>
          </w:tcPr>
          <w:p w14:paraId="19570D8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中信证券</w:t>
            </w:r>
          </w:p>
        </w:tc>
        <w:tc>
          <w:tcPr>
            <w:tcW w:w="1638" w:type="dxa"/>
            <w:tcBorders>
              <w:top w:val="single" w:color="auto" w:sz="4" w:space="0"/>
              <w:left w:val="single" w:color="auto" w:sz="4" w:space="0"/>
              <w:bottom w:val="single" w:color="auto" w:sz="4" w:space="0"/>
              <w:right w:val="single" w:color="auto" w:sz="4" w:space="0"/>
            </w:tcBorders>
            <w:vAlign w:val="center"/>
          </w:tcPr>
          <w:p w14:paraId="0559278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刘易</w:t>
            </w:r>
          </w:p>
        </w:tc>
      </w:tr>
      <w:tr w14:paraId="24E4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62DC52A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胤胜资管</w:t>
            </w:r>
          </w:p>
        </w:tc>
        <w:tc>
          <w:tcPr>
            <w:tcW w:w="1559" w:type="dxa"/>
            <w:tcBorders>
              <w:top w:val="single" w:color="auto" w:sz="4" w:space="0"/>
              <w:left w:val="single" w:color="auto" w:sz="4" w:space="0"/>
              <w:bottom w:val="single" w:color="auto" w:sz="4" w:space="0"/>
              <w:right w:val="single" w:color="auto" w:sz="4" w:space="0"/>
            </w:tcBorders>
            <w:vAlign w:val="center"/>
          </w:tcPr>
          <w:p w14:paraId="6532C0F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马金龙</w:t>
            </w:r>
          </w:p>
        </w:tc>
        <w:tc>
          <w:tcPr>
            <w:tcW w:w="2552" w:type="dxa"/>
            <w:tcBorders>
              <w:top w:val="single" w:color="auto" w:sz="4" w:space="0"/>
              <w:left w:val="single" w:color="auto" w:sz="4" w:space="0"/>
              <w:bottom w:val="single" w:color="auto" w:sz="4" w:space="0"/>
              <w:right w:val="single" w:color="auto" w:sz="4" w:space="0"/>
            </w:tcBorders>
            <w:vAlign w:val="center"/>
          </w:tcPr>
          <w:p w14:paraId="1991840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中银基金</w:t>
            </w:r>
          </w:p>
        </w:tc>
        <w:tc>
          <w:tcPr>
            <w:tcW w:w="1638" w:type="dxa"/>
            <w:tcBorders>
              <w:top w:val="single" w:color="auto" w:sz="4" w:space="0"/>
              <w:left w:val="single" w:color="auto" w:sz="4" w:space="0"/>
              <w:bottom w:val="single" w:color="auto" w:sz="4" w:space="0"/>
              <w:right w:val="single" w:color="auto" w:sz="4" w:space="0"/>
            </w:tcBorders>
            <w:vAlign w:val="center"/>
          </w:tcPr>
          <w:p w14:paraId="0564B44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张响东</w:t>
            </w:r>
          </w:p>
        </w:tc>
      </w:tr>
      <w:tr w14:paraId="45B40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7" w:type="dxa"/>
            <w:tcBorders>
              <w:top w:val="single" w:color="auto" w:sz="4" w:space="0"/>
              <w:left w:val="single" w:color="auto" w:sz="4" w:space="0"/>
              <w:bottom w:val="single" w:color="auto" w:sz="4" w:space="0"/>
              <w:right w:val="single" w:color="auto" w:sz="4" w:space="0"/>
            </w:tcBorders>
            <w:vAlign w:val="center"/>
          </w:tcPr>
          <w:p w14:paraId="00DB53B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禹田资本</w:t>
            </w:r>
          </w:p>
        </w:tc>
        <w:tc>
          <w:tcPr>
            <w:tcW w:w="1559" w:type="dxa"/>
            <w:tcBorders>
              <w:top w:val="single" w:color="auto" w:sz="4" w:space="0"/>
              <w:left w:val="single" w:color="auto" w:sz="4" w:space="0"/>
              <w:bottom w:val="single" w:color="auto" w:sz="4" w:space="0"/>
              <w:right w:val="single" w:color="auto" w:sz="4" w:space="0"/>
            </w:tcBorders>
            <w:vAlign w:val="center"/>
          </w:tcPr>
          <w:p w14:paraId="5B1748F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郭星岩</w:t>
            </w:r>
          </w:p>
        </w:tc>
        <w:tc>
          <w:tcPr>
            <w:tcW w:w="2552" w:type="dxa"/>
            <w:tcBorders>
              <w:top w:val="single" w:color="auto" w:sz="4" w:space="0"/>
              <w:left w:val="single" w:color="auto" w:sz="4" w:space="0"/>
              <w:bottom w:val="single" w:color="auto" w:sz="4" w:space="0"/>
              <w:right w:val="single" w:color="auto" w:sz="4" w:space="0"/>
            </w:tcBorders>
            <w:vAlign w:val="center"/>
          </w:tcPr>
          <w:p w14:paraId="2758263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中银证券</w:t>
            </w:r>
          </w:p>
        </w:tc>
        <w:tc>
          <w:tcPr>
            <w:tcW w:w="1638" w:type="dxa"/>
            <w:tcBorders>
              <w:top w:val="single" w:color="auto" w:sz="4" w:space="0"/>
              <w:left w:val="single" w:color="auto" w:sz="4" w:space="0"/>
              <w:bottom w:val="single" w:color="auto" w:sz="4" w:space="0"/>
              <w:right w:val="single" w:color="auto" w:sz="4" w:space="0"/>
            </w:tcBorders>
            <w:vAlign w:val="center"/>
          </w:tcPr>
          <w:p w14:paraId="7BBE118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范琦岩</w:t>
            </w:r>
          </w:p>
        </w:tc>
      </w:tr>
    </w:tbl>
    <w:p w14:paraId="01B1147A">
      <w:pPr>
        <w:rPr>
          <w:rFonts w:ascii="Times New Roman" w:eastAsia="宋体"/>
          <w:sz w:val="24"/>
          <w:szCs w:val="24"/>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BiODA1MWYyZWQ4MjZhYmI4OGQyMDU3YWViODE4ZWUifQ=="/>
  </w:docVars>
  <w:rsids>
    <w:rsidRoot w:val="00C215C1"/>
    <w:rsid w:val="00001917"/>
    <w:rsid w:val="0000268C"/>
    <w:rsid w:val="00004A6C"/>
    <w:rsid w:val="0000703A"/>
    <w:rsid w:val="00010D29"/>
    <w:rsid w:val="00011747"/>
    <w:rsid w:val="000120A2"/>
    <w:rsid w:val="00013664"/>
    <w:rsid w:val="00013C13"/>
    <w:rsid w:val="00014510"/>
    <w:rsid w:val="00016A0D"/>
    <w:rsid w:val="00020EB3"/>
    <w:rsid w:val="000226BC"/>
    <w:rsid w:val="00022C1D"/>
    <w:rsid w:val="0002530F"/>
    <w:rsid w:val="00033A1F"/>
    <w:rsid w:val="00033E99"/>
    <w:rsid w:val="0003661E"/>
    <w:rsid w:val="00036C23"/>
    <w:rsid w:val="00036C68"/>
    <w:rsid w:val="00037124"/>
    <w:rsid w:val="000373E4"/>
    <w:rsid w:val="0004026F"/>
    <w:rsid w:val="000406AE"/>
    <w:rsid w:val="000433EB"/>
    <w:rsid w:val="00043592"/>
    <w:rsid w:val="00043BB9"/>
    <w:rsid w:val="00044B5B"/>
    <w:rsid w:val="00045C95"/>
    <w:rsid w:val="00047D66"/>
    <w:rsid w:val="00053C87"/>
    <w:rsid w:val="000541F1"/>
    <w:rsid w:val="0005666C"/>
    <w:rsid w:val="00056D66"/>
    <w:rsid w:val="00062A16"/>
    <w:rsid w:val="00062DEA"/>
    <w:rsid w:val="00063486"/>
    <w:rsid w:val="00066C02"/>
    <w:rsid w:val="00067CDF"/>
    <w:rsid w:val="00072593"/>
    <w:rsid w:val="00072B6A"/>
    <w:rsid w:val="00075DC0"/>
    <w:rsid w:val="00076168"/>
    <w:rsid w:val="000777B8"/>
    <w:rsid w:val="00082B24"/>
    <w:rsid w:val="00082CC3"/>
    <w:rsid w:val="00083618"/>
    <w:rsid w:val="000860EA"/>
    <w:rsid w:val="00093D7F"/>
    <w:rsid w:val="00094034"/>
    <w:rsid w:val="00094C1A"/>
    <w:rsid w:val="000951E9"/>
    <w:rsid w:val="000A1D15"/>
    <w:rsid w:val="000A300F"/>
    <w:rsid w:val="000B7CCA"/>
    <w:rsid w:val="000C1929"/>
    <w:rsid w:val="000C38BD"/>
    <w:rsid w:val="000C465F"/>
    <w:rsid w:val="000C77F7"/>
    <w:rsid w:val="000C7C19"/>
    <w:rsid w:val="000D006C"/>
    <w:rsid w:val="000D02BD"/>
    <w:rsid w:val="000D0346"/>
    <w:rsid w:val="000D1F64"/>
    <w:rsid w:val="000D3230"/>
    <w:rsid w:val="000D5DD6"/>
    <w:rsid w:val="000D6252"/>
    <w:rsid w:val="000D6DD0"/>
    <w:rsid w:val="000D7033"/>
    <w:rsid w:val="000E2EFC"/>
    <w:rsid w:val="000E5D86"/>
    <w:rsid w:val="000F4F73"/>
    <w:rsid w:val="00100963"/>
    <w:rsid w:val="00100B02"/>
    <w:rsid w:val="00102054"/>
    <w:rsid w:val="00102832"/>
    <w:rsid w:val="00104879"/>
    <w:rsid w:val="00111EEC"/>
    <w:rsid w:val="00113040"/>
    <w:rsid w:val="00113055"/>
    <w:rsid w:val="001267F6"/>
    <w:rsid w:val="00130750"/>
    <w:rsid w:val="001315C6"/>
    <w:rsid w:val="001316F8"/>
    <w:rsid w:val="00134D68"/>
    <w:rsid w:val="00140FAE"/>
    <w:rsid w:val="00144D83"/>
    <w:rsid w:val="001461A1"/>
    <w:rsid w:val="00146484"/>
    <w:rsid w:val="00150F75"/>
    <w:rsid w:val="001552BA"/>
    <w:rsid w:val="00156151"/>
    <w:rsid w:val="0015628D"/>
    <w:rsid w:val="00156D6F"/>
    <w:rsid w:val="001601EA"/>
    <w:rsid w:val="00160484"/>
    <w:rsid w:val="00162CFF"/>
    <w:rsid w:val="00163236"/>
    <w:rsid w:val="0016595F"/>
    <w:rsid w:val="00165A41"/>
    <w:rsid w:val="00166AFB"/>
    <w:rsid w:val="00167975"/>
    <w:rsid w:val="0017186F"/>
    <w:rsid w:val="00175164"/>
    <w:rsid w:val="001800DF"/>
    <w:rsid w:val="00180387"/>
    <w:rsid w:val="001806C1"/>
    <w:rsid w:val="001814A6"/>
    <w:rsid w:val="0018227B"/>
    <w:rsid w:val="00182396"/>
    <w:rsid w:val="00185C1A"/>
    <w:rsid w:val="0019191D"/>
    <w:rsid w:val="001930B5"/>
    <w:rsid w:val="00193EC7"/>
    <w:rsid w:val="001A0928"/>
    <w:rsid w:val="001A0FC7"/>
    <w:rsid w:val="001A38CF"/>
    <w:rsid w:val="001A43E4"/>
    <w:rsid w:val="001A5226"/>
    <w:rsid w:val="001A52C3"/>
    <w:rsid w:val="001A70B3"/>
    <w:rsid w:val="001A7303"/>
    <w:rsid w:val="001B24D2"/>
    <w:rsid w:val="001B2DCB"/>
    <w:rsid w:val="001B4FDA"/>
    <w:rsid w:val="001B6C07"/>
    <w:rsid w:val="001B71CA"/>
    <w:rsid w:val="001B720A"/>
    <w:rsid w:val="001C07D2"/>
    <w:rsid w:val="001C1FD5"/>
    <w:rsid w:val="001C2804"/>
    <w:rsid w:val="001C53AD"/>
    <w:rsid w:val="001C57E0"/>
    <w:rsid w:val="001D05BA"/>
    <w:rsid w:val="001D05D8"/>
    <w:rsid w:val="001D4414"/>
    <w:rsid w:val="001D6C41"/>
    <w:rsid w:val="001D70A7"/>
    <w:rsid w:val="001E2BE8"/>
    <w:rsid w:val="001E4AFB"/>
    <w:rsid w:val="001E5197"/>
    <w:rsid w:val="001E677A"/>
    <w:rsid w:val="001F0851"/>
    <w:rsid w:val="001F13DA"/>
    <w:rsid w:val="001F1E3B"/>
    <w:rsid w:val="001F357C"/>
    <w:rsid w:val="001F5EE5"/>
    <w:rsid w:val="001F6A2A"/>
    <w:rsid w:val="00200AC8"/>
    <w:rsid w:val="00201C7D"/>
    <w:rsid w:val="00201DC5"/>
    <w:rsid w:val="00203B19"/>
    <w:rsid w:val="00204EC8"/>
    <w:rsid w:val="00211FC8"/>
    <w:rsid w:val="00214EAF"/>
    <w:rsid w:val="00216E0B"/>
    <w:rsid w:val="0021710C"/>
    <w:rsid w:val="00217A8A"/>
    <w:rsid w:val="002232B1"/>
    <w:rsid w:val="00223EB1"/>
    <w:rsid w:val="00234A1C"/>
    <w:rsid w:val="00235A74"/>
    <w:rsid w:val="00235B8E"/>
    <w:rsid w:val="00240265"/>
    <w:rsid w:val="00244E10"/>
    <w:rsid w:val="00247C7F"/>
    <w:rsid w:val="002507E8"/>
    <w:rsid w:val="00255859"/>
    <w:rsid w:val="00255E78"/>
    <w:rsid w:val="0025654F"/>
    <w:rsid w:val="0026045F"/>
    <w:rsid w:val="0026115E"/>
    <w:rsid w:val="0026154B"/>
    <w:rsid w:val="00265811"/>
    <w:rsid w:val="00270743"/>
    <w:rsid w:val="002709B6"/>
    <w:rsid w:val="0027429C"/>
    <w:rsid w:val="00276BE4"/>
    <w:rsid w:val="00281B45"/>
    <w:rsid w:val="00283475"/>
    <w:rsid w:val="00286831"/>
    <w:rsid w:val="002914E5"/>
    <w:rsid w:val="00294CC0"/>
    <w:rsid w:val="00296B95"/>
    <w:rsid w:val="002A062B"/>
    <w:rsid w:val="002A1E12"/>
    <w:rsid w:val="002A22F2"/>
    <w:rsid w:val="002A2C41"/>
    <w:rsid w:val="002A7E76"/>
    <w:rsid w:val="002B788F"/>
    <w:rsid w:val="002B7B8C"/>
    <w:rsid w:val="002B7E81"/>
    <w:rsid w:val="002C0B03"/>
    <w:rsid w:val="002C0C6C"/>
    <w:rsid w:val="002E05F7"/>
    <w:rsid w:val="002E25CD"/>
    <w:rsid w:val="002E5C5F"/>
    <w:rsid w:val="002E6978"/>
    <w:rsid w:val="002E7181"/>
    <w:rsid w:val="002F1438"/>
    <w:rsid w:val="002F3A41"/>
    <w:rsid w:val="002F6FF0"/>
    <w:rsid w:val="002F7257"/>
    <w:rsid w:val="003003BF"/>
    <w:rsid w:val="00300791"/>
    <w:rsid w:val="00301372"/>
    <w:rsid w:val="003022EF"/>
    <w:rsid w:val="003167C3"/>
    <w:rsid w:val="0032272E"/>
    <w:rsid w:val="00324555"/>
    <w:rsid w:val="003268FE"/>
    <w:rsid w:val="003304D6"/>
    <w:rsid w:val="0033110C"/>
    <w:rsid w:val="00332618"/>
    <w:rsid w:val="0033316C"/>
    <w:rsid w:val="0033515D"/>
    <w:rsid w:val="003363F1"/>
    <w:rsid w:val="003447D2"/>
    <w:rsid w:val="0034497B"/>
    <w:rsid w:val="00344D49"/>
    <w:rsid w:val="003451FC"/>
    <w:rsid w:val="00350776"/>
    <w:rsid w:val="00350795"/>
    <w:rsid w:val="0035131E"/>
    <w:rsid w:val="00351830"/>
    <w:rsid w:val="003532EF"/>
    <w:rsid w:val="00355669"/>
    <w:rsid w:val="0036061C"/>
    <w:rsid w:val="00361F92"/>
    <w:rsid w:val="00364F81"/>
    <w:rsid w:val="00366384"/>
    <w:rsid w:val="00366783"/>
    <w:rsid w:val="0037162B"/>
    <w:rsid w:val="00371AC2"/>
    <w:rsid w:val="00373C1A"/>
    <w:rsid w:val="00375046"/>
    <w:rsid w:val="00375067"/>
    <w:rsid w:val="00375580"/>
    <w:rsid w:val="003803DC"/>
    <w:rsid w:val="003809B3"/>
    <w:rsid w:val="00385B0D"/>
    <w:rsid w:val="00387B2A"/>
    <w:rsid w:val="00387CA2"/>
    <w:rsid w:val="003928B4"/>
    <w:rsid w:val="00394A0A"/>
    <w:rsid w:val="003953F0"/>
    <w:rsid w:val="0039577A"/>
    <w:rsid w:val="003A3609"/>
    <w:rsid w:val="003A366A"/>
    <w:rsid w:val="003A4D54"/>
    <w:rsid w:val="003B00A2"/>
    <w:rsid w:val="003B1709"/>
    <w:rsid w:val="003B32DF"/>
    <w:rsid w:val="003B4B00"/>
    <w:rsid w:val="003B4E76"/>
    <w:rsid w:val="003B7144"/>
    <w:rsid w:val="003C129C"/>
    <w:rsid w:val="003C28DC"/>
    <w:rsid w:val="003C3ABB"/>
    <w:rsid w:val="003C7A9F"/>
    <w:rsid w:val="003D1B28"/>
    <w:rsid w:val="003D3943"/>
    <w:rsid w:val="003D7904"/>
    <w:rsid w:val="003E1481"/>
    <w:rsid w:val="003E2A4F"/>
    <w:rsid w:val="003E3E22"/>
    <w:rsid w:val="003E7FA0"/>
    <w:rsid w:val="003F1036"/>
    <w:rsid w:val="003F2F4F"/>
    <w:rsid w:val="003F3ADA"/>
    <w:rsid w:val="003F62F7"/>
    <w:rsid w:val="003F639A"/>
    <w:rsid w:val="003F7963"/>
    <w:rsid w:val="003F7E91"/>
    <w:rsid w:val="0040003A"/>
    <w:rsid w:val="004008EA"/>
    <w:rsid w:val="00404120"/>
    <w:rsid w:val="00410A1B"/>
    <w:rsid w:val="00410EC4"/>
    <w:rsid w:val="00410FFD"/>
    <w:rsid w:val="0041225F"/>
    <w:rsid w:val="004127B7"/>
    <w:rsid w:val="00416938"/>
    <w:rsid w:val="00420D81"/>
    <w:rsid w:val="00421B22"/>
    <w:rsid w:val="00424AA4"/>
    <w:rsid w:val="004250EA"/>
    <w:rsid w:val="00426D09"/>
    <w:rsid w:val="00426E63"/>
    <w:rsid w:val="00430AF0"/>
    <w:rsid w:val="00431A5F"/>
    <w:rsid w:val="00433ECB"/>
    <w:rsid w:val="00435189"/>
    <w:rsid w:val="004355C6"/>
    <w:rsid w:val="00436F8C"/>
    <w:rsid w:val="0044144A"/>
    <w:rsid w:val="004423CC"/>
    <w:rsid w:val="00446DD7"/>
    <w:rsid w:val="00450BFC"/>
    <w:rsid w:val="00451905"/>
    <w:rsid w:val="00452813"/>
    <w:rsid w:val="00452AD4"/>
    <w:rsid w:val="004543E5"/>
    <w:rsid w:val="00454C7E"/>
    <w:rsid w:val="00455854"/>
    <w:rsid w:val="004559A4"/>
    <w:rsid w:val="00455D4E"/>
    <w:rsid w:val="00463077"/>
    <w:rsid w:val="004664F3"/>
    <w:rsid w:val="00467A41"/>
    <w:rsid w:val="00470851"/>
    <w:rsid w:val="00471629"/>
    <w:rsid w:val="0047173F"/>
    <w:rsid w:val="00474423"/>
    <w:rsid w:val="00475260"/>
    <w:rsid w:val="004804BE"/>
    <w:rsid w:val="00486EDF"/>
    <w:rsid w:val="004903D2"/>
    <w:rsid w:val="004906DA"/>
    <w:rsid w:val="00490CE4"/>
    <w:rsid w:val="0049136E"/>
    <w:rsid w:val="00493C6A"/>
    <w:rsid w:val="004970FE"/>
    <w:rsid w:val="00497CEC"/>
    <w:rsid w:val="004A1290"/>
    <w:rsid w:val="004A69F0"/>
    <w:rsid w:val="004B1E0F"/>
    <w:rsid w:val="004B24A5"/>
    <w:rsid w:val="004B2B9D"/>
    <w:rsid w:val="004B2C06"/>
    <w:rsid w:val="004B4F30"/>
    <w:rsid w:val="004B6497"/>
    <w:rsid w:val="004B6AC8"/>
    <w:rsid w:val="004B6BF3"/>
    <w:rsid w:val="004B6D58"/>
    <w:rsid w:val="004B6FEE"/>
    <w:rsid w:val="004C1549"/>
    <w:rsid w:val="004C2416"/>
    <w:rsid w:val="004C479E"/>
    <w:rsid w:val="004C5976"/>
    <w:rsid w:val="004C625B"/>
    <w:rsid w:val="004D12EE"/>
    <w:rsid w:val="004D5262"/>
    <w:rsid w:val="004D7E78"/>
    <w:rsid w:val="004E21B9"/>
    <w:rsid w:val="004E3556"/>
    <w:rsid w:val="004E4498"/>
    <w:rsid w:val="004E7588"/>
    <w:rsid w:val="004F03CA"/>
    <w:rsid w:val="004F0EAC"/>
    <w:rsid w:val="004F1586"/>
    <w:rsid w:val="004F78A8"/>
    <w:rsid w:val="00500941"/>
    <w:rsid w:val="00507794"/>
    <w:rsid w:val="0051049D"/>
    <w:rsid w:val="00512190"/>
    <w:rsid w:val="00513252"/>
    <w:rsid w:val="005216F2"/>
    <w:rsid w:val="005237F4"/>
    <w:rsid w:val="00524597"/>
    <w:rsid w:val="00525532"/>
    <w:rsid w:val="0052688D"/>
    <w:rsid w:val="00526C22"/>
    <w:rsid w:val="00530A40"/>
    <w:rsid w:val="0053280C"/>
    <w:rsid w:val="00533EDA"/>
    <w:rsid w:val="00535AEB"/>
    <w:rsid w:val="0053607A"/>
    <w:rsid w:val="00536B02"/>
    <w:rsid w:val="00536FA8"/>
    <w:rsid w:val="00537E38"/>
    <w:rsid w:val="00540216"/>
    <w:rsid w:val="00540BEC"/>
    <w:rsid w:val="005443EC"/>
    <w:rsid w:val="0054569E"/>
    <w:rsid w:val="005456BE"/>
    <w:rsid w:val="005470D1"/>
    <w:rsid w:val="00547C23"/>
    <w:rsid w:val="005507EE"/>
    <w:rsid w:val="005545DF"/>
    <w:rsid w:val="005546A5"/>
    <w:rsid w:val="005656DD"/>
    <w:rsid w:val="00566C36"/>
    <w:rsid w:val="00566E1D"/>
    <w:rsid w:val="005714A2"/>
    <w:rsid w:val="00572470"/>
    <w:rsid w:val="00575114"/>
    <w:rsid w:val="005820FF"/>
    <w:rsid w:val="00584A37"/>
    <w:rsid w:val="00584B2D"/>
    <w:rsid w:val="00584D12"/>
    <w:rsid w:val="00586BEE"/>
    <w:rsid w:val="005873C1"/>
    <w:rsid w:val="00591829"/>
    <w:rsid w:val="00595E3A"/>
    <w:rsid w:val="00596B4B"/>
    <w:rsid w:val="0059703B"/>
    <w:rsid w:val="005A0304"/>
    <w:rsid w:val="005A34CA"/>
    <w:rsid w:val="005A395E"/>
    <w:rsid w:val="005A4E54"/>
    <w:rsid w:val="005A5051"/>
    <w:rsid w:val="005A57ED"/>
    <w:rsid w:val="005A6714"/>
    <w:rsid w:val="005B1B1C"/>
    <w:rsid w:val="005B35C9"/>
    <w:rsid w:val="005B3EA9"/>
    <w:rsid w:val="005B404B"/>
    <w:rsid w:val="005B5AB7"/>
    <w:rsid w:val="005B77E1"/>
    <w:rsid w:val="005C25C2"/>
    <w:rsid w:val="005C283C"/>
    <w:rsid w:val="005C2AA7"/>
    <w:rsid w:val="005C2FCA"/>
    <w:rsid w:val="005C3837"/>
    <w:rsid w:val="005C403F"/>
    <w:rsid w:val="005C53E7"/>
    <w:rsid w:val="005C5AB8"/>
    <w:rsid w:val="005C7603"/>
    <w:rsid w:val="005D0166"/>
    <w:rsid w:val="005D09CA"/>
    <w:rsid w:val="005D592B"/>
    <w:rsid w:val="005D64B7"/>
    <w:rsid w:val="005D6A59"/>
    <w:rsid w:val="005E03F2"/>
    <w:rsid w:val="005E682C"/>
    <w:rsid w:val="005F3130"/>
    <w:rsid w:val="005F38D7"/>
    <w:rsid w:val="005F63CE"/>
    <w:rsid w:val="005F6E69"/>
    <w:rsid w:val="0060050C"/>
    <w:rsid w:val="00601494"/>
    <w:rsid w:val="006040D4"/>
    <w:rsid w:val="0061019D"/>
    <w:rsid w:val="00611AAD"/>
    <w:rsid w:val="00614E9D"/>
    <w:rsid w:val="0062095E"/>
    <w:rsid w:val="00621581"/>
    <w:rsid w:val="00624C6B"/>
    <w:rsid w:val="00627729"/>
    <w:rsid w:val="006279FB"/>
    <w:rsid w:val="006300AD"/>
    <w:rsid w:val="00631C33"/>
    <w:rsid w:val="00632C65"/>
    <w:rsid w:val="00641079"/>
    <w:rsid w:val="00644ED3"/>
    <w:rsid w:val="00647351"/>
    <w:rsid w:val="006503C4"/>
    <w:rsid w:val="00651252"/>
    <w:rsid w:val="00653436"/>
    <w:rsid w:val="00655A0F"/>
    <w:rsid w:val="00656253"/>
    <w:rsid w:val="00656858"/>
    <w:rsid w:val="00660DB0"/>
    <w:rsid w:val="00662C86"/>
    <w:rsid w:val="00662F6A"/>
    <w:rsid w:val="0066422C"/>
    <w:rsid w:val="0066428B"/>
    <w:rsid w:val="00665FA8"/>
    <w:rsid w:val="00672202"/>
    <w:rsid w:val="00673B74"/>
    <w:rsid w:val="00680322"/>
    <w:rsid w:val="00681753"/>
    <w:rsid w:val="00685825"/>
    <w:rsid w:val="006877BF"/>
    <w:rsid w:val="00694F0B"/>
    <w:rsid w:val="00695FE6"/>
    <w:rsid w:val="006A1F5A"/>
    <w:rsid w:val="006A53CC"/>
    <w:rsid w:val="006A6A5E"/>
    <w:rsid w:val="006A6E07"/>
    <w:rsid w:val="006B0573"/>
    <w:rsid w:val="006B3F14"/>
    <w:rsid w:val="006B70D9"/>
    <w:rsid w:val="006C5EC8"/>
    <w:rsid w:val="006C7A77"/>
    <w:rsid w:val="006D3194"/>
    <w:rsid w:val="006D3869"/>
    <w:rsid w:val="006D3CF9"/>
    <w:rsid w:val="006D3DB5"/>
    <w:rsid w:val="006E079D"/>
    <w:rsid w:val="006E62F9"/>
    <w:rsid w:val="006E70AD"/>
    <w:rsid w:val="006E7C0E"/>
    <w:rsid w:val="006F3364"/>
    <w:rsid w:val="006F4C72"/>
    <w:rsid w:val="006F4D3F"/>
    <w:rsid w:val="006F5FFA"/>
    <w:rsid w:val="006F62C9"/>
    <w:rsid w:val="007016F7"/>
    <w:rsid w:val="00705E4F"/>
    <w:rsid w:val="00707F1A"/>
    <w:rsid w:val="0071074A"/>
    <w:rsid w:val="007109F4"/>
    <w:rsid w:val="00712867"/>
    <w:rsid w:val="007139CB"/>
    <w:rsid w:val="0071580C"/>
    <w:rsid w:val="00717AA1"/>
    <w:rsid w:val="0072666B"/>
    <w:rsid w:val="0073219E"/>
    <w:rsid w:val="0073239E"/>
    <w:rsid w:val="00732904"/>
    <w:rsid w:val="00732DB5"/>
    <w:rsid w:val="007334CD"/>
    <w:rsid w:val="007349DB"/>
    <w:rsid w:val="007351A7"/>
    <w:rsid w:val="007423E1"/>
    <w:rsid w:val="00743E4D"/>
    <w:rsid w:val="00747BA2"/>
    <w:rsid w:val="00750BE1"/>
    <w:rsid w:val="00752295"/>
    <w:rsid w:val="0075542D"/>
    <w:rsid w:val="007605FE"/>
    <w:rsid w:val="00761BC0"/>
    <w:rsid w:val="00766502"/>
    <w:rsid w:val="00773AF2"/>
    <w:rsid w:val="00774ED0"/>
    <w:rsid w:val="007753C1"/>
    <w:rsid w:val="00785539"/>
    <w:rsid w:val="0079149E"/>
    <w:rsid w:val="007A3708"/>
    <w:rsid w:val="007A5D78"/>
    <w:rsid w:val="007B08B1"/>
    <w:rsid w:val="007B1F25"/>
    <w:rsid w:val="007B5CE6"/>
    <w:rsid w:val="007B7B65"/>
    <w:rsid w:val="007B7C5E"/>
    <w:rsid w:val="007C08D8"/>
    <w:rsid w:val="007C0C70"/>
    <w:rsid w:val="007C2882"/>
    <w:rsid w:val="007C568F"/>
    <w:rsid w:val="007D16A2"/>
    <w:rsid w:val="007D5787"/>
    <w:rsid w:val="007D712F"/>
    <w:rsid w:val="007E0398"/>
    <w:rsid w:val="007E3807"/>
    <w:rsid w:val="007E7230"/>
    <w:rsid w:val="007F07E4"/>
    <w:rsid w:val="007F1BFF"/>
    <w:rsid w:val="007F48CC"/>
    <w:rsid w:val="007F75E9"/>
    <w:rsid w:val="007F7A5A"/>
    <w:rsid w:val="008005D7"/>
    <w:rsid w:val="00800BD2"/>
    <w:rsid w:val="00803762"/>
    <w:rsid w:val="0081089E"/>
    <w:rsid w:val="008108CE"/>
    <w:rsid w:val="00815EA3"/>
    <w:rsid w:val="00821569"/>
    <w:rsid w:val="0082212F"/>
    <w:rsid w:val="0082392A"/>
    <w:rsid w:val="00825AFE"/>
    <w:rsid w:val="0082622D"/>
    <w:rsid w:val="0083002E"/>
    <w:rsid w:val="00830DB6"/>
    <w:rsid w:val="008325A4"/>
    <w:rsid w:val="00832C83"/>
    <w:rsid w:val="00834711"/>
    <w:rsid w:val="008402F3"/>
    <w:rsid w:val="008439B7"/>
    <w:rsid w:val="0085071E"/>
    <w:rsid w:val="00851866"/>
    <w:rsid w:val="00854BBE"/>
    <w:rsid w:val="00856227"/>
    <w:rsid w:val="0085785B"/>
    <w:rsid w:val="00863B59"/>
    <w:rsid w:val="00863F28"/>
    <w:rsid w:val="0087148C"/>
    <w:rsid w:val="0087405D"/>
    <w:rsid w:val="008747D1"/>
    <w:rsid w:val="00877598"/>
    <w:rsid w:val="00880CAF"/>
    <w:rsid w:val="00881F1E"/>
    <w:rsid w:val="0088431C"/>
    <w:rsid w:val="008852B7"/>
    <w:rsid w:val="00887A87"/>
    <w:rsid w:val="00887D4B"/>
    <w:rsid w:val="008913EC"/>
    <w:rsid w:val="0089220C"/>
    <w:rsid w:val="0089410A"/>
    <w:rsid w:val="00894EE0"/>
    <w:rsid w:val="00896862"/>
    <w:rsid w:val="00897936"/>
    <w:rsid w:val="00897F62"/>
    <w:rsid w:val="008A5CD3"/>
    <w:rsid w:val="008A6DBC"/>
    <w:rsid w:val="008B06C4"/>
    <w:rsid w:val="008B07BE"/>
    <w:rsid w:val="008B0D59"/>
    <w:rsid w:val="008B1C58"/>
    <w:rsid w:val="008B252B"/>
    <w:rsid w:val="008B3540"/>
    <w:rsid w:val="008B488E"/>
    <w:rsid w:val="008C07E8"/>
    <w:rsid w:val="008C2339"/>
    <w:rsid w:val="008C2F36"/>
    <w:rsid w:val="008C322D"/>
    <w:rsid w:val="008C3AB9"/>
    <w:rsid w:val="008C3BB7"/>
    <w:rsid w:val="008C40EA"/>
    <w:rsid w:val="008D177D"/>
    <w:rsid w:val="008D3340"/>
    <w:rsid w:val="008D4460"/>
    <w:rsid w:val="008D4B22"/>
    <w:rsid w:val="008D66D8"/>
    <w:rsid w:val="008E617D"/>
    <w:rsid w:val="008F1ABE"/>
    <w:rsid w:val="008F38A4"/>
    <w:rsid w:val="008F43A9"/>
    <w:rsid w:val="008F6BED"/>
    <w:rsid w:val="008F7FFD"/>
    <w:rsid w:val="009074E3"/>
    <w:rsid w:val="0091143B"/>
    <w:rsid w:val="0091161B"/>
    <w:rsid w:val="00912552"/>
    <w:rsid w:val="009132DC"/>
    <w:rsid w:val="00921914"/>
    <w:rsid w:val="00925894"/>
    <w:rsid w:val="00926F1E"/>
    <w:rsid w:val="00927412"/>
    <w:rsid w:val="009331FB"/>
    <w:rsid w:val="0093606A"/>
    <w:rsid w:val="00941E97"/>
    <w:rsid w:val="00942FE6"/>
    <w:rsid w:val="00945F26"/>
    <w:rsid w:val="00946825"/>
    <w:rsid w:val="00947B0E"/>
    <w:rsid w:val="00947B8D"/>
    <w:rsid w:val="009510B3"/>
    <w:rsid w:val="009522B1"/>
    <w:rsid w:val="0095550D"/>
    <w:rsid w:val="009566B2"/>
    <w:rsid w:val="00956B4F"/>
    <w:rsid w:val="009607F9"/>
    <w:rsid w:val="0096307E"/>
    <w:rsid w:val="00963304"/>
    <w:rsid w:val="00963B50"/>
    <w:rsid w:val="0096410D"/>
    <w:rsid w:val="00967754"/>
    <w:rsid w:val="0097031E"/>
    <w:rsid w:val="0097332A"/>
    <w:rsid w:val="009754D3"/>
    <w:rsid w:val="00977F55"/>
    <w:rsid w:val="00980186"/>
    <w:rsid w:val="0098419F"/>
    <w:rsid w:val="009900F5"/>
    <w:rsid w:val="009912C4"/>
    <w:rsid w:val="009915FB"/>
    <w:rsid w:val="00993E2E"/>
    <w:rsid w:val="00994C0A"/>
    <w:rsid w:val="009A27A5"/>
    <w:rsid w:val="009A4103"/>
    <w:rsid w:val="009A464A"/>
    <w:rsid w:val="009A60C9"/>
    <w:rsid w:val="009A74C1"/>
    <w:rsid w:val="009C049C"/>
    <w:rsid w:val="009C2969"/>
    <w:rsid w:val="009C3C8C"/>
    <w:rsid w:val="009C5B10"/>
    <w:rsid w:val="009C6117"/>
    <w:rsid w:val="009C7DC7"/>
    <w:rsid w:val="009D3109"/>
    <w:rsid w:val="009D5651"/>
    <w:rsid w:val="009D5E07"/>
    <w:rsid w:val="009E37F0"/>
    <w:rsid w:val="009E3F70"/>
    <w:rsid w:val="009E3FD4"/>
    <w:rsid w:val="009E51B8"/>
    <w:rsid w:val="009E6116"/>
    <w:rsid w:val="009E7302"/>
    <w:rsid w:val="009F4741"/>
    <w:rsid w:val="009F54EB"/>
    <w:rsid w:val="009F7B67"/>
    <w:rsid w:val="009F7CBA"/>
    <w:rsid w:val="009F7F91"/>
    <w:rsid w:val="00A00EAF"/>
    <w:rsid w:val="00A06E52"/>
    <w:rsid w:val="00A11961"/>
    <w:rsid w:val="00A11E58"/>
    <w:rsid w:val="00A129EA"/>
    <w:rsid w:val="00A14187"/>
    <w:rsid w:val="00A20983"/>
    <w:rsid w:val="00A21EC4"/>
    <w:rsid w:val="00A23545"/>
    <w:rsid w:val="00A26281"/>
    <w:rsid w:val="00A27C27"/>
    <w:rsid w:val="00A33940"/>
    <w:rsid w:val="00A351F9"/>
    <w:rsid w:val="00A361E9"/>
    <w:rsid w:val="00A36534"/>
    <w:rsid w:val="00A3659E"/>
    <w:rsid w:val="00A41470"/>
    <w:rsid w:val="00A42D90"/>
    <w:rsid w:val="00A47281"/>
    <w:rsid w:val="00A5064A"/>
    <w:rsid w:val="00A50D19"/>
    <w:rsid w:val="00A53866"/>
    <w:rsid w:val="00A54C5D"/>
    <w:rsid w:val="00A558F7"/>
    <w:rsid w:val="00A55B85"/>
    <w:rsid w:val="00A56BB6"/>
    <w:rsid w:val="00A57933"/>
    <w:rsid w:val="00A61B3E"/>
    <w:rsid w:val="00A62DFD"/>
    <w:rsid w:val="00A64C26"/>
    <w:rsid w:val="00A6725B"/>
    <w:rsid w:val="00A75BB5"/>
    <w:rsid w:val="00A76B59"/>
    <w:rsid w:val="00A76FAE"/>
    <w:rsid w:val="00A8273E"/>
    <w:rsid w:val="00A86438"/>
    <w:rsid w:val="00A869B3"/>
    <w:rsid w:val="00A914A8"/>
    <w:rsid w:val="00A9217E"/>
    <w:rsid w:val="00A9454B"/>
    <w:rsid w:val="00A9487D"/>
    <w:rsid w:val="00A94DF7"/>
    <w:rsid w:val="00A95841"/>
    <w:rsid w:val="00A97216"/>
    <w:rsid w:val="00AA13D9"/>
    <w:rsid w:val="00AA4610"/>
    <w:rsid w:val="00AA620F"/>
    <w:rsid w:val="00AB0A12"/>
    <w:rsid w:val="00AB1897"/>
    <w:rsid w:val="00AB323D"/>
    <w:rsid w:val="00AB4353"/>
    <w:rsid w:val="00AB4F43"/>
    <w:rsid w:val="00AB70B0"/>
    <w:rsid w:val="00AC212F"/>
    <w:rsid w:val="00AC2CD4"/>
    <w:rsid w:val="00AC55DF"/>
    <w:rsid w:val="00AC58C7"/>
    <w:rsid w:val="00AC7CAF"/>
    <w:rsid w:val="00AD3F9C"/>
    <w:rsid w:val="00AE1716"/>
    <w:rsid w:val="00AE17CB"/>
    <w:rsid w:val="00AE1CFA"/>
    <w:rsid w:val="00AE7EF8"/>
    <w:rsid w:val="00AF201B"/>
    <w:rsid w:val="00AF3EBE"/>
    <w:rsid w:val="00AF530E"/>
    <w:rsid w:val="00AF5810"/>
    <w:rsid w:val="00AF70CD"/>
    <w:rsid w:val="00B00444"/>
    <w:rsid w:val="00B00B87"/>
    <w:rsid w:val="00B054F8"/>
    <w:rsid w:val="00B06A3D"/>
    <w:rsid w:val="00B10257"/>
    <w:rsid w:val="00B10C72"/>
    <w:rsid w:val="00B147B0"/>
    <w:rsid w:val="00B15D75"/>
    <w:rsid w:val="00B1657A"/>
    <w:rsid w:val="00B16653"/>
    <w:rsid w:val="00B16C00"/>
    <w:rsid w:val="00B22565"/>
    <w:rsid w:val="00B24252"/>
    <w:rsid w:val="00B26372"/>
    <w:rsid w:val="00B273E6"/>
    <w:rsid w:val="00B307B8"/>
    <w:rsid w:val="00B318ED"/>
    <w:rsid w:val="00B31CD8"/>
    <w:rsid w:val="00B40593"/>
    <w:rsid w:val="00B41557"/>
    <w:rsid w:val="00B430CD"/>
    <w:rsid w:val="00B4364D"/>
    <w:rsid w:val="00B46963"/>
    <w:rsid w:val="00B50ABA"/>
    <w:rsid w:val="00B5155A"/>
    <w:rsid w:val="00B52DD0"/>
    <w:rsid w:val="00B5377F"/>
    <w:rsid w:val="00B562DA"/>
    <w:rsid w:val="00B6086F"/>
    <w:rsid w:val="00B63F8A"/>
    <w:rsid w:val="00B670E6"/>
    <w:rsid w:val="00B7040E"/>
    <w:rsid w:val="00B70A74"/>
    <w:rsid w:val="00B736E7"/>
    <w:rsid w:val="00B73B00"/>
    <w:rsid w:val="00B7413D"/>
    <w:rsid w:val="00B750B4"/>
    <w:rsid w:val="00B75981"/>
    <w:rsid w:val="00B80D03"/>
    <w:rsid w:val="00B82B34"/>
    <w:rsid w:val="00B8348D"/>
    <w:rsid w:val="00B834F5"/>
    <w:rsid w:val="00B83DCA"/>
    <w:rsid w:val="00B8473B"/>
    <w:rsid w:val="00B87896"/>
    <w:rsid w:val="00B91A77"/>
    <w:rsid w:val="00B9492D"/>
    <w:rsid w:val="00B95242"/>
    <w:rsid w:val="00B95954"/>
    <w:rsid w:val="00B95D90"/>
    <w:rsid w:val="00B96B91"/>
    <w:rsid w:val="00BA1F5E"/>
    <w:rsid w:val="00BA488A"/>
    <w:rsid w:val="00BA4CC7"/>
    <w:rsid w:val="00BA5E80"/>
    <w:rsid w:val="00BB361C"/>
    <w:rsid w:val="00BB6323"/>
    <w:rsid w:val="00BB73E4"/>
    <w:rsid w:val="00BC49AF"/>
    <w:rsid w:val="00BC6BAE"/>
    <w:rsid w:val="00BD2D1F"/>
    <w:rsid w:val="00BD316A"/>
    <w:rsid w:val="00BD357F"/>
    <w:rsid w:val="00BD78F2"/>
    <w:rsid w:val="00BE21FA"/>
    <w:rsid w:val="00BE24AD"/>
    <w:rsid w:val="00BE26C8"/>
    <w:rsid w:val="00BE58FD"/>
    <w:rsid w:val="00BF24EC"/>
    <w:rsid w:val="00BF7759"/>
    <w:rsid w:val="00C018C4"/>
    <w:rsid w:val="00C02679"/>
    <w:rsid w:val="00C04EC9"/>
    <w:rsid w:val="00C12D74"/>
    <w:rsid w:val="00C13047"/>
    <w:rsid w:val="00C13A4F"/>
    <w:rsid w:val="00C215C1"/>
    <w:rsid w:val="00C2363E"/>
    <w:rsid w:val="00C25081"/>
    <w:rsid w:val="00C273B3"/>
    <w:rsid w:val="00C278C0"/>
    <w:rsid w:val="00C33AAB"/>
    <w:rsid w:val="00C365BC"/>
    <w:rsid w:val="00C369E3"/>
    <w:rsid w:val="00C378A0"/>
    <w:rsid w:val="00C41AD7"/>
    <w:rsid w:val="00C43D25"/>
    <w:rsid w:val="00C441D3"/>
    <w:rsid w:val="00C44B7E"/>
    <w:rsid w:val="00C51341"/>
    <w:rsid w:val="00C52E18"/>
    <w:rsid w:val="00C565D7"/>
    <w:rsid w:val="00C61A2C"/>
    <w:rsid w:val="00C63B8E"/>
    <w:rsid w:val="00C712B5"/>
    <w:rsid w:val="00C717B1"/>
    <w:rsid w:val="00C72BAB"/>
    <w:rsid w:val="00C749BA"/>
    <w:rsid w:val="00C74FCF"/>
    <w:rsid w:val="00C76F16"/>
    <w:rsid w:val="00C80BAE"/>
    <w:rsid w:val="00C817EC"/>
    <w:rsid w:val="00C8261A"/>
    <w:rsid w:val="00C931BF"/>
    <w:rsid w:val="00C93943"/>
    <w:rsid w:val="00C94358"/>
    <w:rsid w:val="00C97C55"/>
    <w:rsid w:val="00CA1274"/>
    <w:rsid w:val="00CA3EAB"/>
    <w:rsid w:val="00CA6C42"/>
    <w:rsid w:val="00CB2F0C"/>
    <w:rsid w:val="00CB3DE8"/>
    <w:rsid w:val="00CB40EB"/>
    <w:rsid w:val="00CB63FB"/>
    <w:rsid w:val="00CC1386"/>
    <w:rsid w:val="00CC1DA4"/>
    <w:rsid w:val="00CC22F2"/>
    <w:rsid w:val="00CC233B"/>
    <w:rsid w:val="00CC2A4C"/>
    <w:rsid w:val="00CC3C5D"/>
    <w:rsid w:val="00CC52F1"/>
    <w:rsid w:val="00CC5B43"/>
    <w:rsid w:val="00CC5E14"/>
    <w:rsid w:val="00CC5E9D"/>
    <w:rsid w:val="00CC62BE"/>
    <w:rsid w:val="00CC7F94"/>
    <w:rsid w:val="00CD0CDE"/>
    <w:rsid w:val="00CD1ABE"/>
    <w:rsid w:val="00CD64E2"/>
    <w:rsid w:val="00CD6604"/>
    <w:rsid w:val="00CD6BF1"/>
    <w:rsid w:val="00CD7019"/>
    <w:rsid w:val="00CE148F"/>
    <w:rsid w:val="00CE4318"/>
    <w:rsid w:val="00CE470B"/>
    <w:rsid w:val="00CE5585"/>
    <w:rsid w:val="00CE621C"/>
    <w:rsid w:val="00CF50C5"/>
    <w:rsid w:val="00CF58B0"/>
    <w:rsid w:val="00CF58F1"/>
    <w:rsid w:val="00CF5DDF"/>
    <w:rsid w:val="00D00A39"/>
    <w:rsid w:val="00D052BB"/>
    <w:rsid w:val="00D10EDE"/>
    <w:rsid w:val="00D15275"/>
    <w:rsid w:val="00D22638"/>
    <w:rsid w:val="00D22BBA"/>
    <w:rsid w:val="00D2319F"/>
    <w:rsid w:val="00D251D3"/>
    <w:rsid w:val="00D279A9"/>
    <w:rsid w:val="00D301C1"/>
    <w:rsid w:val="00D3056C"/>
    <w:rsid w:val="00D31A73"/>
    <w:rsid w:val="00D36FA0"/>
    <w:rsid w:val="00D428E6"/>
    <w:rsid w:val="00D449C3"/>
    <w:rsid w:val="00D44EEF"/>
    <w:rsid w:val="00D45EAD"/>
    <w:rsid w:val="00D47C2D"/>
    <w:rsid w:val="00D556CA"/>
    <w:rsid w:val="00D60AC0"/>
    <w:rsid w:val="00D60F37"/>
    <w:rsid w:val="00D6309B"/>
    <w:rsid w:val="00D6456B"/>
    <w:rsid w:val="00D64C66"/>
    <w:rsid w:val="00D65270"/>
    <w:rsid w:val="00D66662"/>
    <w:rsid w:val="00D67BC9"/>
    <w:rsid w:val="00D703FC"/>
    <w:rsid w:val="00D7169C"/>
    <w:rsid w:val="00D71890"/>
    <w:rsid w:val="00D76582"/>
    <w:rsid w:val="00D765B8"/>
    <w:rsid w:val="00D76C47"/>
    <w:rsid w:val="00D77C95"/>
    <w:rsid w:val="00D8026E"/>
    <w:rsid w:val="00D8136A"/>
    <w:rsid w:val="00D81475"/>
    <w:rsid w:val="00D850FC"/>
    <w:rsid w:val="00D92588"/>
    <w:rsid w:val="00D93833"/>
    <w:rsid w:val="00D94B5F"/>
    <w:rsid w:val="00D97346"/>
    <w:rsid w:val="00D97A64"/>
    <w:rsid w:val="00DA2BCC"/>
    <w:rsid w:val="00DA7B1F"/>
    <w:rsid w:val="00DB3FA9"/>
    <w:rsid w:val="00DB594A"/>
    <w:rsid w:val="00DB5BE4"/>
    <w:rsid w:val="00DB5D71"/>
    <w:rsid w:val="00DB6317"/>
    <w:rsid w:val="00DB646A"/>
    <w:rsid w:val="00DB6FEB"/>
    <w:rsid w:val="00DC0A72"/>
    <w:rsid w:val="00DC22E9"/>
    <w:rsid w:val="00DC3B3C"/>
    <w:rsid w:val="00DC56CD"/>
    <w:rsid w:val="00DC6A56"/>
    <w:rsid w:val="00DC771D"/>
    <w:rsid w:val="00DD22F3"/>
    <w:rsid w:val="00DD30BD"/>
    <w:rsid w:val="00DD36E8"/>
    <w:rsid w:val="00DD3B90"/>
    <w:rsid w:val="00DD3E16"/>
    <w:rsid w:val="00DD46F5"/>
    <w:rsid w:val="00DD5419"/>
    <w:rsid w:val="00DD7708"/>
    <w:rsid w:val="00DE097B"/>
    <w:rsid w:val="00DE3743"/>
    <w:rsid w:val="00DE447C"/>
    <w:rsid w:val="00DE4BDA"/>
    <w:rsid w:val="00DE54D3"/>
    <w:rsid w:val="00DF015A"/>
    <w:rsid w:val="00DF26A8"/>
    <w:rsid w:val="00DF4C83"/>
    <w:rsid w:val="00DF5FA2"/>
    <w:rsid w:val="00E00323"/>
    <w:rsid w:val="00E00747"/>
    <w:rsid w:val="00E00F90"/>
    <w:rsid w:val="00E016A6"/>
    <w:rsid w:val="00E022DC"/>
    <w:rsid w:val="00E02E3B"/>
    <w:rsid w:val="00E0514B"/>
    <w:rsid w:val="00E05987"/>
    <w:rsid w:val="00E07F27"/>
    <w:rsid w:val="00E11667"/>
    <w:rsid w:val="00E1301A"/>
    <w:rsid w:val="00E13902"/>
    <w:rsid w:val="00E14753"/>
    <w:rsid w:val="00E15ACF"/>
    <w:rsid w:val="00E15FA2"/>
    <w:rsid w:val="00E164C3"/>
    <w:rsid w:val="00E16FE2"/>
    <w:rsid w:val="00E20CFB"/>
    <w:rsid w:val="00E23EF7"/>
    <w:rsid w:val="00E24D16"/>
    <w:rsid w:val="00E26A46"/>
    <w:rsid w:val="00E27051"/>
    <w:rsid w:val="00E30FF4"/>
    <w:rsid w:val="00E32207"/>
    <w:rsid w:val="00E32AB8"/>
    <w:rsid w:val="00E350BA"/>
    <w:rsid w:val="00E35EAF"/>
    <w:rsid w:val="00E37266"/>
    <w:rsid w:val="00E4056F"/>
    <w:rsid w:val="00E40D88"/>
    <w:rsid w:val="00E41DA0"/>
    <w:rsid w:val="00E42D16"/>
    <w:rsid w:val="00E44FA0"/>
    <w:rsid w:val="00E460BB"/>
    <w:rsid w:val="00E46281"/>
    <w:rsid w:val="00E51F5D"/>
    <w:rsid w:val="00E557E9"/>
    <w:rsid w:val="00E561E5"/>
    <w:rsid w:val="00E57CBE"/>
    <w:rsid w:val="00E600AD"/>
    <w:rsid w:val="00E638E8"/>
    <w:rsid w:val="00E65B7E"/>
    <w:rsid w:val="00E70164"/>
    <w:rsid w:val="00E70FE3"/>
    <w:rsid w:val="00E740DC"/>
    <w:rsid w:val="00E76168"/>
    <w:rsid w:val="00E762BE"/>
    <w:rsid w:val="00E808B0"/>
    <w:rsid w:val="00E818CF"/>
    <w:rsid w:val="00E81948"/>
    <w:rsid w:val="00E838AB"/>
    <w:rsid w:val="00E8755C"/>
    <w:rsid w:val="00E91267"/>
    <w:rsid w:val="00E9234D"/>
    <w:rsid w:val="00EA1C30"/>
    <w:rsid w:val="00EA22EA"/>
    <w:rsid w:val="00EA2B8D"/>
    <w:rsid w:val="00EA391F"/>
    <w:rsid w:val="00EA5D4D"/>
    <w:rsid w:val="00EB38A8"/>
    <w:rsid w:val="00EB3F89"/>
    <w:rsid w:val="00EC1875"/>
    <w:rsid w:val="00EC2034"/>
    <w:rsid w:val="00EC6086"/>
    <w:rsid w:val="00EC6F10"/>
    <w:rsid w:val="00EC7083"/>
    <w:rsid w:val="00ED128E"/>
    <w:rsid w:val="00ED3A53"/>
    <w:rsid w:val="00ED67A1"/>
    <w:rsid w:val="00ED74F4"/>
    <w:rsid w:val="00EF096D"/>
    <w:rsid w:val="00EF2885"/>
    <w:rsid w:val="00EF60F9"/>
    <w:rsid w:val="00EF6506"/>
    <w:rsid w:val="00EF657B"/>
    <w:rsid w:val="00EF690B"/>
    <w:rsid w:val="00EF725A"/>
    <w:rsid w:val="00F02FCD"/>
    <w:rsid w:val="00F03272"/>
    <w:rsid w:val="00F04F3D"/>
    <w:rsid w:val="00F05813"/>
    <w:rsid w:val="00F078DB"/>
    <w:rsid w:val="00F16C43"/>
    <w:rsid w:val="00F17AB5"/>
    <w:rsid w:val="00F23EB9"/>
    <w:rsid w:val="00F247DA"/>
    <w:rsid w:val="00F264DF"/>
    <w:rsid w:val="00F2710C"/>
    <w:rsid w:val="00F376C9"/>
    <w:rsid w:val="00F4505E"/>
    <w:rsid w:val="00F45A6A"/>
    <w:rsid w:val="00F55F85"/>
    <w:rsid w:val="00F616F4"/>
    <w:rsid w:val="00F623A2"/>
    <w:rsid w:val="00F63993"/>
    <w:rsid w:val="00F647C9"/>
    <w:rsid w:val="00F653BD"/>
    <w:rsid w:val="00F65915"/>
    <w:rsid w:val="00F703DD"/>
    <w:rsid w:val="00F712E8"/>
    <w:rsid w:val="00F71BDE"/>
    <w:rsid w:val="00F73E13"/>
    <w:rsid w:val="00F8069F"/>
    <w:rsid w:val="00F817F8"/>
    <w:rsid w:val="00F82123"/>
    <w:rsid w:val="00F84588"/>
    <w:rsid w:val="00F84CF3"/>
    <w:rsid w:val="00F85DB9"/>
    <w:rsid w:val="00F86694"/>
    <w:rsid w:val="00F87090"/>
    <w:rsid w:val="00F9057F"/>
    <w:rsid w:val="00F967D2"/>
    <w:rsid w:val="00FA07DF"/>
    <w:rsid w:val="00FA1719"/>
    <w:rsid w:val="00FA17C7"/>
    <w:rsid w:val="00FA4E07"/>
    <w:rsid w:val="00FA6B71"/>
    <w:rsid w:val="00FB0397"/>
    <w:rsid w:val="00FB10F8"/>
    <w:rsid w:val="00FB61BF"/>
    <w:rsid w:val="00FC1380"/>
    <w:rsid w:val="00FC1553"/>
    <w:rsid w:val="00FC2A9D"/>
    <w:rsid w:val="00FC53F0"/>
    <w:rsid w:val="00FC6975"/>
    <w:rsid w:val="00FE0DC6"/>
    <w:rsid w:val="00FE5D20"/>
    <w:rsid w:val="00FE604C"/>
    <w:rsid w:val="00FE6F73"/>
    <w:rsid w:val="00FE7C52"/>
    <w:rsid w:val="00FF230D"/>
    <w:rsid w:val="00FF2CE2"/>
    <w:rsid w:val="00FF398B"/>
    <w:rsid w:val="00FF55E3"/>
    <w:rsid w:val="00FF5C43"/>
    <w:rsid w:val="00FF6466"/>
    <w:rsid w:val="00FF6D91"/>
    <w:rsid w:val="00FF7CD9"/>
    <w:rsid w:val="013E2686"/>
    <w:rsid w:val="025630DF"/>
    <w:rsid w:val="027A149C"/>
    <w:rsid w:val="02AD5394"/>
    <w:rsid w:val="02B7624C"/>
    <w:rsid w:val="03086AA8"/>
    <w:rsid w:val="03DE5A5A"/>
    <w:rsid w:val="0478689E"/>
    <w:rsid w:val="04E92909"/>
    <w:rsid w:val="04FA2D68"/>
    <w:rsid w:val="053666FF"/>
    <w:rsid w:val="054A784B"/>
    <w:rsid w:val="056703FD"/>
    <w:rsid w:val="05791EDF"/>
    <w:rsid w:val="05853A15"/>
    <w:rsid w:val="05CF2FDE"/>
    <w:rsid w:val="05F17CC7"/>
    <w:rsid w:val="06565D7C"/>
    <w:rsid w:val="06693D01"/>
    <w:rsid w:val="06860357"/>
    <w:rsid w:val="07C239F7"/>
    <w:rsid w:val="07E402A1"/>
    <w:rsid w:val="07E850FA"/>
    <w:rsid w:val="07FA0125"/>
    <w:rsid w:val="083674D1"/>
    <w:rsid w:val="083D43FD"/>
    <w:rsid w:val="08406CE4"/>
    <w:rsid w:val="08512C9F"/>
    <w:rsid w:val="08762705"/>
    <w:rsid w:val="089C534D"/>
    <w:rsid w:val="089D7C92"/>
    <w:rsid w:val="08C648EA"/>
    <w:rsid w:val="0948656E"/>
    <w:rsid w:val="09C15C02"/>
    <w:rsid w:val="0A3D2C4F"/>
    <w:rsid w:val="0A4E393A"/>
    <w:rsid w:val="0A6071C9"/>
    <w:rsid w:val="0A66192D"/>
    <w:rsid w:val="0A9652E1"/>
    <w:rsid w:val="0B043FF8"/>
    <w:rsid w:val="0B4D355B"/>
    <w:rsid w:val="0C0A7D34"/>
    <w:rsid w:val="0C136600"/>
    <w:rsid w:val="0C2030B4"/>
    <w:rsid w:val="0C970E9C"/>
    <w:rsid w:val="0CE4769C"/>
    <w:rsid w:val="0D0B738C"/>
    <w:rsid w:val="0D215336"/>
    <w:rsid w:val="0D782A7C"/>
    <w:rsid w:val="0DB5782C"/>
    <w:rsid w:val="0DD541B6"/>
    <w:rsid w:val="0DF93BBD"/>
    <w:rsid w:val="0E256E87"/>
    <w:rsid w:val="0E260B26"/>
    <w:rsid w:val="0E503013"/>
    <w:rsid w:val="0EBF41F8"/>
    <w:rsid w:val="0ED91990"/>
    <w:rsid w:val="0EEF3211"/>
    <w:rsid w:val="0F0740B7"/>
    <w:rsid w:val="0F523898"/>
    <w:rsid w:val="0F827BE2"/>
    <w:rsid w:val="0F9E192A"/>
    <w:rsid w:val="101E35A3"/>
    <w:rsid w:val="10391A7A"/>
    <w:rsid w:val="10532637"/>
    <w:rsid w:val="10A06571"/>
    <w:rsid w:val="11074E1D"/>
    <w:rsid w:val="111C1C2B"/>
    <w:rsid w:val="12413D84"/>
    <w:rsid w:val="12891287"/>
    <w:rsid w:val="12CB118E"/>
    <w:rsid w:val="131D659F"/>
    <w:rsid w:val="139CB911"/>
    <w:rsid w:val="13A04ADA"/>
    <w:rsid w:val="13A54AE5"/>
    <w:rsid w:val="14DE16A6"/>
    <w:rsid w:val="15167A3A"/>
    <w:rsid w:val="15852F26"/>
    <w:rsid w:val="158741A4"/>
    <w:rsid w:val="158F3058"/>
    <w:rsid w:val="160E6673"/>
    <w:rsid w:val="16372D76"/>
    <w:rsid w:val="174560C4"/>
    <w:rsid w:val="177F4D0C"/>
    <w:rsid w:val="181A0179"/>
    <w:rsid w:val="183B3024"/>
    <w:rsid w:val="18664544"/>
    <w:rsid w:val="18F97167"/>
    <w:rsid w:val="19153D93"/>
    <w:rsid w:val="19B43684"/>
    <w:rsid w:val="1A057D8D"/>
    <w:rsid w:val="1A1B135F"/>
    <w:rsid w:val="1A2C531A"/>
    <w:rsid w:val="1A4E0334"/>
    <w:rsid w:val="1A78230D"/>
    <w:rsid w:val="1AD1077A"/>
    <w:rsid w:val="1AE47A1C"/>
    <w:rsid w:val="1AFA3CBE"/>
    <w:rsid w:val="1B627851"/>
    <w:rsid w:val="1B70246C"/>
    <w:rsid w:val="1B951CB3"/>
    <w:rsid w:val="1BAF1D5E"/>
    <w:rsid w:val="1C0A3439"/>
    <w:rsid w:val="1C1442B7"/>
    <w:rsid w:val="1C267155"/>
    <w:rsid w:val="1C2C7853"/>
    <w:rsid w:val="1C7217BC"/>
    <w:rsid w:val="1CC65609"/>
    <w:rsid w:val="1DAF6046"/>
    <w:rsid w:val="1DDF3F8E"/>
    <w:rsid w:val="1E535F7B"/>
    <w:rsid w:val="1E5F5CBE"/>
    <w:rsid w:val="1E656E03"/>
    <w:rsid w:val="1EA27958"/>
    <w:rsid w:val="1ED32208"/>
    <w:rsid w:val="1F1C3BAF"/>
    <w:rsid w:val="1F7F413E"/>
    <w:rsid w:val="1F8D23B7"/>
    <w:rsid w:val="200A7054"/>
    <w:rsid w:val="21627873"/>
    <w:rsid w:val="21B77BBF"/>
    <w:rsid w:val="21BB6D03"/>
    <w:rsid w:val="22D84291"/>
    <w:rsid w:val="2318643B"/>
    <w:rsid w:val="237925CB"/>
    <w:rsid w:val="23D54490"/>
    <w:rsid w:val="23FD11BD"/>
    <w:rsid w:val="24292023"/>
    <w:rsid w:val="244771D2"/>
    <w:rsid w:val="24561911"/>
    <w:rsid w:val="25165074"/>
    <w:rsid w:val="253357AE"/>
    <w:rsid w:val="253B4663"/>
    <w:rsid w:val="25421DCE"/>
    <w:rsid w:val="257F4BC4"/>
    <w:rsid w:val="2596448B"/>
    <w:rsid w:val="25A4045A"/>
    <w:rsid w:val="25B974F6"/>
    <w:rsid w:val="25CA6E09"/>
    <w:rsid w:val="26243349"/>
    <w:rsid w:val="265C75AF"/>
    <w:rsid w:val="26C568DA"/>
    <w:rsid w:val="27072CB4"/>
    <w:rsid w:val="27473922"/>
    <w:rsid w:val="2749405A"/>
    <w:rsid w:val="274C0DA9"/>
    <w:rsid w:val="27AE01CB"/>
    <w:rsid w:val="27B4443E"/>
    <w:rsid w:val="27C6580E"/>
    <w:rsid w:val="282B09BF"/>
    <w:rsid w:val="286D7229"/>
    <w:rsid w:val="2874680A"/>
    <w:rsid w:val="28833550"/>
    <w:rsid w:val="28A40771"/>
    <w:rsid w:val="28E60D8A"/>
    <w:rsid w:val="28FA423F"/>
    <w:rsid w:val="290D27BA"/>
    <w:rsid w:val="2935617C"/>
    <w:rsid w:val="29437FBC"/>
    <w:rsid w:val="295226D1"/>
    <w:rsid w:val="298A7967"/>
    <w:rsid w:val="2A5E6DB5"/>
    <w:rsid w:val="2A704DAF"/>
    <w:rsid w:val="2AA902C1"/>
    <w:rsid w:val="2B4776EE"/>
    <w:rsid w:val="2B596CB6"/>
    <w:rsid w:val="2B9D1BD3"/>
    <w:rsid w:val="2C091017"/>
    <w:rsid w:val="2C1350D5"/>
    <w:rsid w:val="2C444745"/>
    <w:rsid w:val="2CB41F7B"/>
    <w:rsid w:val="2CBE44F7"/>
    <w:rsid w:val="2CCB2770"/>
    <w:rsid w:val="2D6C5D01"/>
    <w:rsid w:val="2D9717BF"/>
    <w:rsid w:val="2DF357BC"/>
    <w:rsid w:val="2E203B26"/>
    <w:rsid w:val="2E225E54"/>
    <w:rsid w:val="2EAB2859"/>
    <w:rsid w:val="2EAE5EA6"/>
    <w:rsid w:val="2F146E7E"/>
    <w:rsid w:val="2F32415B"/>
    <w:rsid w:val="2F884949"/>
    <w:rsid w:val="2F9E4741"/>
    <w:rsid w:val="300A7A53"/>
    <w:rsid w:val="306B1D0C"/>
    <w:rsid w:val="307922F6"/>
    <w:rsid w:val="30C244C6"/>
    <w:rsid w:val="3100347A"/>
    <w:rsid w:val="31D702BA"/>
    <w:rsid w:val="322546D1"/>
    <w:rsid w:val="32807B59"/>
    <w:rsid w:val="329C12D3"/>
    <w:rsid w:val="329C73E6"/>
    <w:rsid w:val="32B83797"/>
    <w:rsid w:val="32E8035D"/>
    <w:rsid w:val="32F17874"/>
    <w:rsid w:val="32F32A21"/>
    <w:rsid w:val="333E1EEE"/>
    <w:rsid w:val="33435ACF"/>
    <w:rsid w:val="34207846"/>
    <w:rsid w:val="346A286F"/>
    <w:rsid w:val="34E73EBF"/>
    <w:rsid w:val="35095F6B"/>
    <w:rsid w:val="354D0F83"/>
    <w:rsid w:val="358144C0"/>
    <w:rsid w:val="35951B6D"/>
    <w:rsid w:val="3632560E"/>
    <w:rsid w:val="3643781B"/>
    <w:rsid w:val="36574ADD"/>
    <w:rsid w:val="36613D32"/>
    <w:rsid w:val="36A030EE"/>
    <w:rsid w:val="36DB3EF8"/>
    <w:rsid w:val="37600700"/>
    <w:rsid w:val="379257E6"/>
    <w:rsid w:val="37972CCD"/>
    <w:rsid w:val="38206066"/>
    <w:rsid w:val="384546EC"/>
    <w:rsid w:val="38815B49"/>
    <w:rsid w:val="38C31508"/>
    <w:rsid w:val="38C5453A"/>
    <w:rsid w:val="396C7072"/>
    <w:rsid w:val="398F6F13"/>
    <w:rsid w:val="39932868"/>
    <w:rsid w:val="39A82FD8"/>
    <w:rsid w:val="39AB195F"/>
    <w:rsid w:val="39B822CE"/>
    <w:rsid w:val="39D569DC"/>
    <w:rsid w:val="3A710126"/>
    <w:rsid w:val="3AA0348E"/>
    <w:rsid w:val="3BD038FF"/>
    <w:rsid w:val="3BEF1AA4"/>
    <w:rsid w:val="3BFD2C44"/>
    <w:rsid w:val="3C0D3BE9"/>
    <w:rsid w:val="3C6A5B02"/>
    <w:rsid w:val="3C714101"/>
    <w:rsid w:val="3C9A5CBB"/>
    <w:rsid w:val="3D70539A"/>
    <w:rsid w:val="3DAC214A"/>
    <w:rsid w:val="3DD00D25"/>
    <w:rsid w:val="3E1451AF"/>
    <w:rsid w:val="3E3A7756"/>
    <w:rsid w:val="3E530817"/>
    <w:rsid w:val="3E5C55B8"/>
    <w:rsid w:val="3E75253C"/>
    <w:rsid w:val="3E911177"/>
    <w:rsid w:val="3EAFD745"/>
    <w:rsid w:val="3EBE2135"/>
    <w:rsid w:val="3ED731F7"/>
    <w:rsid w:val="3EE85525"/>
    <w:rsid w:val="3F3E0B22"/>
    <w:rsid w:val="3F7BB33F"/>
    <w:rsid w:val="3F8E7D59"/>
    <w:rsid w:val="3FDC778A"/>
    <w:rsid w:val="3FE02D67"/>
    <w:rsid w:val="40B849CB"/>
    <w:rsid w:val="40CB077E"/>
    <w:rsid w:val="40EF2A79"/>
    <w:rsid w:val="41432F6C"/>
    <w:rsid w:val="414D77A0"/>
    <w:rsid w:val="414F176A"/>
    <w:rsid w:val="41E33C60"/>
    <w:rsid w:val="41FA16D6"/>
    <w:rsid w:val="42C910A8"/>
    <w:rsid w:val="42DE6590"/>
    <w:rsid w:val="43D86D60"/>
    <w:rsid w:val="442A5B77"/>
    <w:rsid w:val="44B042CE"/>
    <w:rsid w:val="45C30031"/>
    <w:rsid w:val="462B4068"/>
    <w:rsid w:val="46992876"/>
    <w:rsid w:val="469F3DA1"/>
    <w:rsid w:val="47415EAD"/>
    <w:rsid w:val="47923B00"/>
    <w:rsid w:val="47A4014E"/>
    <w:rsid w:val="48165F33"/>
    <w:rsid w:val="48A57EC2"/>
    <w:rsid w:val="48E64762"/>
    <w:rsid w:val="49105C83"/>
    <w:rsid w:val="49A07007"/>
    <w:rsid w:val="4A1672C9"/>
    <w:rsid w:val="4A630034"/>
    <w:rsid w:val="4A851D59"/>
    <w:rsid w:val="4B201A81"/>
    <w:rsid w:val="4B5C31FB"/>
    <w:rsid w:val="4B702A09"/>
    <w:rsid w:val="4B895879"/>
    <w:rsid w:val="4BD9235C"/>
    <w:rsid w:val="4C040B9E"/>
    <w:rsid w:val="4C2E13AB"/>
    <w:rsid w:val="4C5B45B9"/>
    <w:rsid w:val="4C6230B8"/>
    <w:rsid w:val="4DAD5823"/>
    <w:rsid w:val="4DFCD982"/>
    <w:rsid w:val="4E9718FE"/>
    <w:rsid w:val="4E9E163B"/>
    <w:rsid w:val="4EC03494"/>
    <w:rsid w:val="4ED92D06"/>
    <w:rsid w:val="4EEE25C2"/>
    <w:rsid w:val="4F103AB7"/>
    <w:rsid w:val="4F386309"/>
    <w:rsid w:val="4F5B7671"/>
    <w:rsid w:val="4FCE3316"/>
    <w:rsid w:val="50E13215"/>
    <w:rsid w:val="51135517"/>
    <w:rsid w:val="51375BC6"/>
    <w:rsid w:val="516923D4"/>
    <w:rsid w:val="519F1952"/>
    <w:rsid w:val="51BE1905"/>
    <w:rsid w:val="51FD2089"/>
    <w:rsid w:val="528A7204"/>
    <w:rsid w:val="529271E0"/>
    <w:rsid w:val="53193986"/>
    <w:rsid w:val="532E48C6"/>
    <w:rsid w:val="53591FD4"/>
    <w:rsid w:val="539F403D"/>
    <w:rsid w:val="53AE2320"/>
    <w:rsid w:val="53F02939"/>
    <w:rsid w:val="546724CF"/>
    <w:rsid w:val="547370C6"/>
    <w:rsid w:val="548117E3"/>
    <w:rsid w:val="54907C78"/>
    <w:rsid w:val="54972DB4"/>
    <w:rsid w:val="54DB601C"/>
    <w:rsid w:val="54E731C3"/>
    <w:rsid w:val="552D54C7"/>
    <w:rsid w:val="55995A7C"/>
    <w:rsid w:val="55A033F4"/>
    <w:rsid w:val="560F4C12"/>
    <w:rsid w:val="56A54412"/>
    <w:rsid w:val="574F3E1A"/>
    <w:rsid w:val="58152825"/>
    <w:rsid w:val="58855402"/>
    <w:rsid w:val="58E30CBE"/>
    <w:rsid w:val="595C637A"/>
    <w:rsid w:val="59633BAD"/>
    <w:rsid w:val="59973856"/>
    <w:rsid w:val="599975CF"/>
    <w:rsid w:val="59BB6414"/>
    <w:rsid w:val="59F42A57"/>
    <w:rsid w:val="5A5E3F05"/>
    <w:rsid w:val="5AB3021C"/>
    <w:rsid w:val="5B072C0E"/>
    <w:rsid w:val="5B3233DA"/>
    <w:rsid w:val="5B480C15"/>
    <w:rsid w:val="5BB66872"/>
    <w:rsid w:val="5BC32832"/>
    <w:rsid w:val="5DC866D4"/>
    <w:rsid w:val="5E034DA8"/>
    <w:rsid w:val="5E0B036F"/>
    <w:rsid w:val="5E244A16"/>
    <w:rsid w:val="5E9F11E3"/>
    <w:rsid w:val="5F3B5155"/>
    <w:rsid w:val="5F6F607A"/>
    <w:rsid w:val="5F750C41"/>
    <w:rsid w:val="5FF807E3"/>
    <w:rsid w:val="606963BA"/>
    <w:rsid w:val="60A24FBB"/>
    <w:rsid w:val="60AC408B"/>
    <w:rsid w:val="60F10DF5"/>
    <w:rsid w:val="61351EF3"/>
    <w:rsid w:val="61DC274E"/>
    <w:rsid w:val="61E138C1"/>
    <w:rsid w:val="62620EA5"/>
    <w:rsid w:val="627C51C4"/>
    <w:rsid w:val="62B2525D"/>
    <w:rsid w:val="62E01DCA"/>
    <w:rsid w:val="62F14919"/>
    <w:rsid w:val="62FE04A2"/>
    <w:rsid w:val="63454C68"/>
    <w:rsid w:val="643B74DE"/>
    <w:rsid w:val="64722EF6"/>
    <w:rsid w:val="64FF7F91"/>
    <w:rsid w:val="654A5C21"/>
    <w:rsid w:val="65FA7647"/>
    <w:rsid w:val="666716E2"/>
    <w:rsid w:val="66C832A1"/>
    <w:rsid w:val="670A4A37"/>
    <w:rsid w:val="674768BC"/>
    <w:rsid w:val="674943E2"/>
    <w:rsid w:val="679F4002"/>
    <w:rsid w:val="67A95A7C"/>
    <w:rsid w:val="67B56B69"/>
    <w:rsid w:val="67E11AC0"/>
    <w:rsid w:val="683D6F8A"/>
    <w:rsid w:val="6856103B"/>
    <w:rsid w:val="685A43CD"/>
    <w:rsid w:val="690802CD"/>
    <w:rsid w:val="691C1B8A"/>
    <w:rsid w:val="693B3D95"/>
    <w:rsid w:val="69951B60"/>
    <w:rsid w:val="69C53AC8"/>
    <w:rsid w:val="69E623BC"/>
    <w:rsid w:val="6A42336B"/>
    <w:rsid w:val="6A794FDE"/>
    <w:rsid w:val="6B5374D6"/>
    <w:rsid w:val="6B6D4417"/>
    <w:rsid w:val="6B7453C2"/>
    <w:rsid w:val="6BFB7711"/>
    <w:rsid w:val="6BFBA6B6"/>
    <w:rsid w:val="6CB665FF"/>
    <w:rsid w:val="6CC154F7"/>
    <w:rsid w:val="6CDE464C"/>
    <w:rsid w:val="6CE4695B"/>
    <w:rsid w:val="6D0C6964"/>
    <w:rsid w:val="6D8321F6"/>
    <w:rsid w:val="6DF66946"/>
    <w:rsid w:val="6E1E4028"/>
    <w:rsid w:val="6E623FDB"/>
    <w:rsid w:val="6ED30A35"/>
    <w:rsid w:val="6EE36ECA"/>
    <w:rsid w:val="6F1057E5"/>
    <w:rsid w:val="6F2A6AED"/>
    <w:rsid w:val="6F5E3144"/>
    <w:rsid w:val="6FB249A0"/>
    <w:rsid w:val="6FEE1FCA"/>
    <w:rsid w:val="6FF253A5"/>
    <w:rsid w:val="6FF60E7F"/>
    <w:rsid w:val="7089610A"/>
    <w:rsid w:val="70B51FE9"/>
    <w:rsid w:val="70BC5C25"/>
    <w:rsid w:val="70E62CA2"/>
    <w:rsid w:val="71C2C9E9"/>
    <w:rsid w:val="71C30155"/>
    <w:rsid w:val="71D01737"/>
    <w:rsid w:val="71E8069B"/>
    <w:rsid w:val="730C6296"/>
    <w:rsid w:val="73962B79"/>
    <w:rsid w:val="74455F31"/>
    <w:rsid w:val="74C64DF6"/>
    <w:rsid w:val="74E514C2"/>
    <w:rsid w:val="750A2CD7"/>
    <w:rsid w:val="75C86E1A"/>
    <w:rsid w:val="75F53C38"/>
    <w:rsid w:val="76315954"/>
    <w:rsid w:val="7691545E"/>
    <w:rsid w:val="774E079E"/>
    <w:rsid w:val="77974CF6"/>
    <w:rsid w:val="77AA5B4A"/>
    <w:rsid w:val="77D01FB6"/>
    <w:rsid w:val="7870119C"/>
    <w:rsid w:val="79091C23"/>
    <w:rsid w:val="792A3948"/>
    <w:rsid w:val="7931117A"/>
    <w:rsid w:val="79960FDD"/>
    <w:rsid w:val="79EA3ED7"/>
    <w:rsid w:val="7AAD2A82"/>
    <w:rsid w:val="7ABD2CC5"/>
    <w:rsid w:val="7AD40A65"/>
    <w:rsid w:val="7B0F7299"/>
    <w:rsid w:val="7B607622"/>
    <w:rsid w:val="7C217284"/>
    <w:rsid w:val="7C7D684C"/>
    <w:rsid w:val="7CB262EF"/>
    <w:rsid w:val="7CBA4FE2"/>
    <w:rsid w:val="7CCC6031"/>
    <w:rsid w:val="7D4A7FBF"/>
    <w:rsid w:val="7D8D4298"/>
    <w:rsid w:val="7E072858"/>
    <w:rsid w:val="7E7A711F"/>
    <w:rsid w:val="7EB42631"/>
    <w:rsid w:val="7EEF71C5"/>
    <w:rsid w:val="7F315A30"/>
    <w:rsid w:val="7F5F2C53"/>
    <w:rsid w:val="7F6B2CC2"/>
    <w:rsid w:val="7F89761A"/>
    <w:rsid w:val="7F977AC3"/>
    <w:rsid w:val="7FADE81B"/>
    <w:rsid w:val="7FD85EAB"/>
    <w:rsid w:val="7FE66BC4"/>
    <w:rsid w:val="7FE9BC67"/>
    <w:rsid w:val="7FED390B"/>
    <w:rsid w:val="7FEF4173"/>
    <w:rsid w:val="7FF13975"/>
    <w:rsid w:val="7FF57B9E"/>
    <w:rsid w:val="7FFF8CE6"/>
    <w:rsid w:val="94FDD20A"/>
    <w:rsid w:val="9BFF20DD"/>
    <w:rsid w:val="9F33227E"/>
    <w:rsid w:val="BFAEE2A1"/>
    <w:rsid w:val="DBB78076"/>
    <w:rsid w:val="DCBB2981"/>
    <w:rsid w:val="DF9A9798"/>
    <w:rsid w:val="DFEF2539"/>
    <w:rsid w:val="E3BF12C2"/>
    <w:rsid w:val="E7FE541E"/>
    <w:rsid w:val="EF5FF39D"/>
    <w:rsid w:val="EFEEF2AA"/>
    <w:rsid w:val="EFFF1DAF"/>
    <w:rsid w:val="F37FE9AE"/>
    <w:rsid w:val="F72928CC"/>
    <w:rsid w:val="FB3D68F6"/>
    <w:rsid w:val="FEF12ED1"/>
    <w:rsid w:val="FEFF7387"/>
    <w:rsid w:val="FFE5FC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kern w:val="2"/>
      <w:sz w:val="28"/>
      <w:szCs w:val="28"/>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Plain Text"/>
    <w:basedOn w:val="1"/>
    <w:link w:val="19"/>
    <w:unhideWhenUsed/>
    <w:qFormat/>
    <w:uiPriority w:val="99"/>
    <w:rPr>
      <w:rFonts w:ascii="等线" w:hAnsi="Courier New" w:eastAsia="等线" w:cs="Courier New"/>
      <w:sz w:val="21"/>
      <w:szCs w:val="22"/>
    </w:rPr>
  </w:style>
  <w:style w:type="paragraph" w:styleId="4">
    <w:name w:val="endnote text"/>
    <w:basedOn w:val="1"/>
    <w:link w:val="33"/>
    <w:qFormat/>
    <w:uiPriority w:val="0"/>
    <w:pPr>
      <w:snapToGrid w:val="0"/>
      <w:jc w:val="left"/>
    </w:pPr>
  </w:style>
  <w:style w:type="paragraph" w:styleId="5">
    <w:name w:val="Balloon Text"/>
    <w:basedOn w:val="1"/>
    <w:link w:val="20"/>
    <w:qFormat/>
    <w:uiPriority w:val="0"/>
    <w:rPr>
      <w:sz w:val="18"/>
      <w:szCs w:val="18"/>
    </w:rPr>
  </w:style>
  <w:style w:type="paragraph" w:styleId="6">
    <w:name w:val="footer"/>
    <w:basedOn w:val="1"/>
    <w:link w:val="21"/>
    <w:qFormat/>
    <w:uiPriority w:val="0"/>
    <w:pPr>
      <w:tabs>
        <w:tab w:val="center" w:pos="4153"/>
        <w:tab w:val="right" w:pos="8306"/>
      </w:tabs>
      <w:snapToGrid w:val="0"/>
      <w:jc w:val="left"/>
    </w:pPr>
    <w:rPr>
      <w:sz w:val="18"/>
      <w:szCs w:val="18"/>
    </w:rPr>
  </w:style>
  <w:style w:type="paragraph" w:styleId="7">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9">
    <w:name w:val="annotation subject"/>
    <w:basedOn w:val="2"/>
    <w:next w:val="2"/>
    <w:link w:val="23"/>
    <w:unhideWhenUsed/>
    <w:qFormat/>
    <w:uiPriority w:val="0"/>
    <w:rPr>
      <w:b/>
      <w:bCs/>
    </w:rPr>
  </w:style>
  <w:style w:type="table" w:styleId="11">
    <w:name w:val="Table Grid"/>
    <w:basedOn w:val="10"/>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0"/>
    <w:rPr>
      <w:b/>
      <w:bCs/>
    </w:rPr>
  </w:style>
  <w:style w:type="character" w:styleId="14">
    <w:name w:val="endnote reference"/>
    <w:basedOn w:val="12"/>
    <w:qFormat/>
    <w:uiPriority w:val="0"/>
    <w:rPr>
      <w:vertAlign w:val="superscript"/>
    </w:rPr>
  </w:style>
  <w:style w:type="character" w:styleId="15">
    <w:name w:val="Emphasis"/>
    <w:qFormat/>
    <w:uiPriority w:val="20"/>
    <w:rPr>
      <w:i/>
      <w:iCs/>
    </w:rPr>
  </w:style>
  <w:style w:type="character" w:styleId="16">
    <w:name w:val="Hyperlink"/>
    <w:unhideWhenUsed/>
    <w:qFormat/>
    <w:uiPriority w:val="99"/>
    <w:rPr>
      <w:color w:val="0000FF"/>
      <w:u w:val="single"/>
    </w:rPr>
  </w:style>
  <w:style w:type="character" w:styleId="17">
    <w:name w:val="annotation reference"/>
    <w:qFormat/>
    <w:uiPriority w:val="0"/>
    <w:rPr>
      <w:sz w:val="21"/>
      <w:szCs w:val="21"/>
    </w:rPr>
  </w:style>
  <w:style w:type="character" w:customStyle="1" w:styleId="18">
    <w:name w:val="批注文字 字符"/>
    <w:link w:val="2"/>
    <w:qFormat/>
    <w:uiPriority w:val="0"/>
    <w:rPr>
      <w:rFonts w:ascii="仿宋_GB2312" w:eastAsia="仿宋_GB2312"/>
      <w:kern w:val="2"/>
      <w:sz w:val="28"/>
      <w:szCs w:val="28"/>
    </w:rPr>
  </w:style>
  <w:style w:type="character" w:customStyle="1" w:styleId="19">
    <w:name w:val="纯文本 字符"/>
    <w:link w:val="3"/>
    <w:qFormat/>
    <w:uiPriority w:val="99"/>
    <w:rPr>
      <w:rFonts w:ascii="等线" w:hAnsi="Courier New" w:eastAsia="等线" w:cs="Courier New"/>
      <w:kern w:val="2"/>
      <w:sz w:val="21"/>
      <w:szCs w:val="22"/>
    </w:rPr>
  </w:style>
  <w:style w:type="character" w:customStyle="1" w:styleId="20">
    <w:name w:val="批注框文本 字符"/>
    <w:link w:val="5"/>
    <w:qFormat/>
    <w:uiPriority w:val="0"/>
    <w:rPr>
      <w:rFonts w:ascii="仿宋_GB2312" w:hAnsi="Times New Roman" w:eastAsia="仿宋_GB2312" w:cs="Times New Roman"/>
      <w:kern w:val="2"/>
      <w:sz w:val="18"/>
      <w:szCs w:val="18"/>
    </w:rPr>
  </w:style>
  <w:style w:type="character" w:customStyle="1" w:styleId="21">
    <w:name w:val="页脚 字符"/>
    <w:link w:val="6"/>
    <w:qFormat/>
    <w:uiPriority w:val="0"/>
    <w:rPr>
      <w:rFonts w:ascii="仿宋_GB2312" w:hAnsi="Times New Roman" w:eastAsia="仿宋_GB2312" w:cs="Times New Roman"/>
      <w:kern w:val="2"/>
      <w:sz w:val="18"/>
      <w:szCs w:val="18"/>
    </w:rPr>
  </w:style>
  <w:style w:type="character" w:customStyle="1" w:styleId="22">
    <w:name w:val="页眉 字符"/>
    <w:link w:val="7"/>
    <w:qFormat/>
    <w:uiPriority w:val="0"/>
    <w:rPr>
      <w:rFonts w:ascii="仿宋_GB2312" w:hAnsi="Times New Roman" w:eastAsia="仿宋_GB2312" w:cs="Times New Roman"/>
      <w:kern w:val="2"/>
      <w:sz w:val="18"/>
      <w:szCs w:val="18"/>
    </w:rPr>
  </w:style>
  <w:style w:type="character" w:customStyle="1" w:styleId="23">
    <w:name w:val="批注主题 字符"/>
    <w:link w:val="9"/>
    <w:semiHidden/>
    <w:qFormat/>
    <w:uiPriority w:val="0"/>
    <w:rPr>
      <w:rFonts w:ascii="仿宋_GB2312" w:eastAsia="仿宋_GB2312"/>
      <w:b/>
      <w:bCs/>
      <w:kern w:val="2"/>
      <w:sz w:val="28"/>
      <w:szCs w:val="28"/>
    </w:rPr>
  </w:style>
  <w:style w:type="character" w:customStyle="1" w:styleId="24">
    <w:name w:val="纯文本 Char"/>
    <w:qFormat/>
    <w:uiPriority w:val="99"/>
    <w:rPr>
      <w:rFonts w:ascii="等线" w:hAnsi="Courier New" w:eastAsia="等线" w:cs="Courier New"/>
      <w:kern w:val="2"/>
      <w:sz w:val="21"/>
      <w:szCs w:val="22"/>
    </w:rPr>
  </w:style>
  <w:style w:type="paragraph" w:customStyle="1" w:styleId="25">
    <w:name w:val="列出段落1"/>
    <w:basedOn w:val="1"/>
    <w:qFormat/>
    <w:uiPriority w:val="34"/>
    <w:pPr>
      <w:ind w:firstLine="420" w:firstLineChars="200"/>
    </w:pPr>
    <w:rPr>
      <w:rFonts w:ascii="等线" w:hAnsi="等线" w:eastAsia="等线"/>
      <w:sz w:val="21"/>
      <w:szCs w:val="22"/>
    </w:rPr>
  </w:style>
  <w:style w:type="paragraph" w:customStyle="1" w:styleId="26">
    <w:name w:val="修订1"/>
    <w:semiHidden/>
    <w:qFormat/>
    <w:uiPriority w:val="99"/>
    <w:rPr>
      <w:rFonts w:ascii="仿宋_GB2312" w:hAnsi="Times New Roman" w:eastAsia="仿宋_GB2312" w:cs="Times New Roman"/>
      <w:kern w:val="2"/>
      <w:sz w:val="28"/>
      <w:szCs w:val="28"/>
      <w:lang w:val="en-US" w:eastAsia="zh-CN" w:bidi="ar-SA"/>
    </w:rPr>
  </w:style>
  <w:style w:type="paragraph" w:customStyle="1" w:styleId="27">
    <w:name w:val="修订2"/>
    <w:unhideWhenUsed/>
    <w:qFormat/>
    <w:uiPriority w:val="99"/>
    <w:rPr>
      <w:rFonts w:ascii="仿宋_GB2312" w:hAnsi="Times New Roman" w:eastAsia="仿宋_GB2312" w:cs="Times New Roman"/>
      <w:kern w:val="2"/>
      <w:sz w:val="28"/>
      <w:szCs w:val="28"/>
      <w:lang w:val="en-US" w:eastAsia="zh-CN" w:bidi="ar-SA"/>
    </w:rPr>
  </w:style>
  <w:style w:type="paragraph" w:customStyle="1" w:styleId="28">
    <w:name w:val="修订3"/>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29">
    <w:name w:val="修订4"/>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0">
    <w:name w:val="修订5"/>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1">
    <w:name w:val="修订6"/>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2">
    <w:name w:val="修订7"/>
    <w:hidden/>
    <w:unhideWhenUsed/>
    <w:qFormat/>
    <w:uiPriority w:val="99"/>
    <w:rPr>
      <w:rFonts w:ascii="仿宋_GB2312" w:hAnsi="Times New Roman" w:eastAsia="仿宋_GB2312" w:cs="Times New Roman"/>
      <w:kern w:val="2"/>
      <w:sz w:val="28"/>
      <w:szCs w:val="28"/>
      <w:lang w:val="en-US" w:eastAsia="zh-CN" w:bidi="ar-SA"/>
    </w:rPr>
  </w:style>
  <w:style w:type="character" w:customStyle="1" w:styleId="33">
    <w:name w:val="尾注文本 字符"/>
    <w:basedOn w:val="12"/>
    <w:link w:val="4"/>
    <w:qFormat/>
    <w:uiPriority w:val="0"/>
    <w:rPr>
      <w:rFonts w:ascii="仿宋_GB2312" w:eastAsia="仿宋_GB2312"/>
      <w:kern w:val="2"/>
      <w:sz w:val="28"/>
      <w:szCs w:val="28"/>
    </w:rPr>
  </w:style>
  <w:style w:type="paragraph" w:customStyle="1" w:styleId="34">
    <w:name w:val="修订8"/>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5">
    <w:name w:val="修订9"/>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6">
    <w:name w:val="修订10"/>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7">
    <w:name w:val="修订11"/>
    <w:hidden/>
    <w:unhideWhenUsed/>
    <w:qFormat/>
    <w:uiPriority w:val="99"/>
    <w:rPr>
      <w:rFonts w:ascii="仿宋_GB2312" w:hAnsi="Times New Roman" w:eastAsia="仿宋_GB2312" w:cs="Times New Roman"/>
      <w:kern w:val="2"/>
      <w:sz w:val="28"/>
      <w:szCs w:val="28"/>
      <w:lang w:val="en-US" w:eastAsia="zh-CN" w:bidi="ar-SA"/>
    </w:rPr>
  </w:style>
  <w:style w:type="paragraph" w:customStyle="1" w:styleId="38">
    <w:name w:val="Revision"/>
    <w:hidden/>
    <w:unhideWhenUsed/>
    <w:qFormat/>
    <w:uiPriority w:val="99"/>
    <w:rPr>
      <w:rFonts w:ascii="仿宋_GB2312" w:hAnsi="Times New Roman" w:eastAsia="仿宋_GB2312" w:cs="Times New Roman"/>
      <w:kern w:val="2"/>
      <w:sz w:val="28"/>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5e9b9d88-58ed-4be3-a5f5-d22fb1e2b228</errorID>
      <errorWord>投资者</errorWord>
      <group>L1_Format</group>
      <groupName>格式问题</groupName>
      <ability>L2_Ordinal</ability>
      <abilityName>序号格式</abilityName>
      <candidateList>
        <item>一、投资者</item>
      </candidateList>
      <explain>标题顺序错误，请检查标题顺序是否合理。</explain>
      <paraID>355B02C3</paraID>
      <start>0</start>
      <end>3</end>
      <status>unmodified</status>
      <modifiedWord/>
      <trackRevisions>false</trackRevisions>
    </reviewItem>
    <reviewItem>
      <errorID>d3a9e772-99a4-4eaf-bc98-113a60b4b836</errorID>
      <errorWord>投资者</errorWord>
      <group>L1_Format</group>
      <groupName>格式问题</groupName>
      <ability>L2_Ordinal</ability>
      <abilityName>序号格式</abilityName>
      <candidateList>
        <item>二、投资者</item>
      </candidateList>
      <explain>标题顺序错误，请检查标题顺序是否合理。</explain>
      <paraID>167B5877</paraID>
      <start>0</start>
      <end>3</end>
      <status>unmodified</status>
      <modifiedWord/>
      <trackRevisions>false</trackRevisions>
    </reviewItem>
    <reviewItem>
      <errorID>22994db5-59b6-46a3-996c-086a5b8c0f65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3D9C53DF</paraID>
      <start>0</start>
      <end>2</end>
      <status>unmodified</status>
      <modifiedWord/>
      <trackRevisions>false</trackRevisions>
    </reviewItem>
    <reviewItem>
      <errorID>871e3d63-1496-4fd8-a1c9-d6640d050c5c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6B56FD00</paraID>
      <start>0</start>
      <end>2</end>
      <status>unmodified</status>
      <modifiedWord/>
      <trackRevisions>false</trackRevisions>
    </reviewItem>
    <reviewItem>
      <errorID>b784d854-c658-40b8-87f4-9e424c923555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2370550D</paraID>
      <start>0</start>
      <end>2</end>
      <status>unmodified</status>
      <modifiedWord/>
      <trackRevisions>false</trackRevisions>
    </reviewItem>
    <reviewItem>
      <errorID>653aab6d-85c6-4e1f-a386-b4f96621e09b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EF26CF3</paraID>
      <start>0</start>
      <end>2</end>
      <status>unmodified</status>
      <modifiedWord/>
      <trackRevisions>false</trackRevisions>
    </reviewItem>
    <reviewItem>
      <errorID>f9d44db2-930e-4155-ab08-4179982370b8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2E4010CA</paraID>
      <start>0</start>
      <end>2</end>
      <status>unmodified</status>
      <modifiedWord/>
      <trackRevisions>false</trackRevisions>
    </reviewItem>
    <reviewItem>
      <errorID>43e1de6e-de45-4b6a-8f95-19b31b6bb3dc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78A04D20</paraID>
      <start>0</start>
      <end>2</end>
      <status>unmodified</status>
      <modifiedWord/>
      <trackRevisions>false</trackRevisions>
    </reviewItem>
    <reviewItem>
      <errorID>0aace6b9-0b5c-405e-8334-6f3a592b3a6d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6A63EA12</paraID>
      <start>0</start>
      <end>2</end>
      <status>unmodified</status>
      <modifiedWord/>
      <trackRevisions>false</trackRevisions>
    </reviewItem>
    <reviewItem>
      <errorID>3390a9a5-4da2-4144-b3c7-9849e09e396e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3CD3299</paraID>
      <start>0</start>
      <end>2</end>
      <status>unmodified</status>
      <modifiedWord/>
      <trackRevisions>false</trackRevisions>
    </reviewItem>
    <reviewItem>
      <errorID>94794ae4-17ad-4d0a-b52f-1cb75d7e2d52</errorID>
      <errorWord>。。</errorWord>
      <group>L1_Punc</group>
      <groupName>标点问题</groupName>
      <ability>L2_Punc</ability>
      <abilityName>标点符号检查</abilityName>
      <candidateList>
        <item>。</item>
      </candidateList>
      <explain/>
      <paraID>3A976BA5</paraID>
      <start>140</start>
      <end>142</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EC2D6308-BF20-47CA-9074-8B10D24185E8}">
  <ds:schemaRefs/>
</ds:datastoreItem>
</file>

<file path=customXml/itemProps2.xml><?xml version="1.0" encoding="utf-8"?>
<ds:datastoreItem xmlns:ds="http://schemas.openxmlformats.org/officeDocument/2006/customXml" ds:itemID="{17FFA7A3-6AD2-48EB-A92E-507472465188}">
  <ds:schemaRefs/>
</ds:datastoreItem>
</file>

<file path=docProps/app.xml><?xml version="1.0" encoding="utf-8"?>
<Properties xmlns="http://schemas.openxmlformats.org/officeDocument/2006/extended-properties" xmlns:vt="http://schemas.openxmlformats.org/officeDocument/2006/docPropsVTypes">
  <Template>Normal</Template>
  <Company>otc</Company>
  <Pages>5</Pages>
  <Words>2047</Words>
  <Characters>2115</Characters>
  <Lines>17</Lines>
  <Paragraphs>4</Paragraphs>
  <TotalTime>1</TotalTime>
  <ScaleCrop>false</ScaleCrop>
  <LinksUpToDate>false</LinksUpToDate>
  <CharactersWithSpaces>2177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2026-09-24T16:10:00Z</dcterms:created>
  <dc:creator>张媛</dc:creator>
  <cp:lastModifiedBy>子涵</cp:lastModifiedBy>
  <cp:lastPrinted>2026-03-31T16:33:00Z</cp:lastPrinted>
  <dcterms:modified xsi:type="dcterms:W3CDTF">2026-10-20T07:49:45Z</dcterms:modified>
  <dc:title>天津滨海柜台交易市场非上市股份公司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EE63076EF59BDCBDD701D76A4D104274_43</vt:lpwstr>
  </property>
  <property fmtid="{D5CDD505-2E9C-101B-9397-08002B2CF9AE}" pid="4" name="KSOTemplateDocerSaveRecord">
    <vt:lpwstr>eyJoZGlkIjoiYjFjN2MzNDVjZDlmZmUwMTViNTkxOTVjNDMzOGM2ZjYiLCJ1c2VySWQiOiI2MTc0MDAwODEifQ==</vt:lpwstr>
  </property>
</Properties>
</file>