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AD12E" w14:textId="77777777" w:rsidR="003136B1" w:rsidRDefault="00431B80">
      <w:pPr>
        <w:spacing w:beforeLines="50" w:before="120" w:afterLines="50" w:after="120" w:line="400" w:lineRule="exact"/>
        <w:jc w:val="center"/>
        <w:rPr>
          <w:rFonts w:ascii="宋体" w:hAnsi="宋体" w:hint="eastAsia"/>
          <w:bCs/>
          <w:iCs/>
          <w:color w:val="000000"/>
          <w:sz w:val="24"/>
        </w:rPr>
      </w:pPr>
      <w:r>
        <w:rPr>
          <w:rFonts w:ascii="宋体" w:hAnsi="宋体" w:hint="eastAsia"/>
          <w:bCs/>
          <w:iCs/>
          <w:color w:val="000000"/>
          <w:sz w:val="24"/>
        </w:rPr>
        <w:t>证券代码：</w:t>
      </w:r>
      <w:r>
        <w:rPr>
          <w:rFonts w:ascii="Times New Roman" w:hAnsi="Times New Roman"/>
          <w:bCs/>
          <w:iCs/>
          <w:color w:val="000000"/>
          <w:sz w:val="24"/>
        </w:rPr>
        <w:t xml:space="preserve">688253 </w:t>
      </w:r>
      <w:r>
        <w:rPr>
          <w:rFonts w:ascii="宋体" w:hAnsi="宋体" w:hint="eastAsia"/>
          <w:bCs/>
          <w:iCs/>
          <w:color w:val="000000"/>
          <w:sz w:val="24"/>
        </w:rPr>
        <w:t xml:space="preserve">           </w:t>
      </w:r>
      <w:r w:rsidR="00EE6D7B">
        <w:rPr>
          <w:rFonts w:ascii="宋体" w:hAnsi="宋体" w:hint="eastAsia"/>
          <w:bCs/>
          <w:iCs/>
          <w:color w:val="000000"/>
          <w:sz w:val="24"/>
        </w:rPr>
        <w:t xml:space="preserve">  </w:t>
      </w:r>
      <w:r>
        <w:rPr>
          <w:rFonts w:ascii="宋体" w:hAnsi="宋体" w:hint="eastAsia"/>
          <w:bCs/>
          <w:iCs/>
          <w:color w:val="000000"/>
          <w:sz w:val="24"/>
        </w:rPr>
        <w:t xml:space="preserve">       </w:t>
      </w:r>
      <w:r w:rsidR="00EE6D7B">
        <w:rPr>
          <w:rFonts w:ascii="宋体" w:hAnsi="宋体" w:hint="eastAsia"/>
          <w:bCs/>
          <w:iCs/>
          <w:color w:val="000000"/>
          <w:sz w:val="24"/>
        </w:rPr>
        <w:t xml:space="preserve"> </w:t>
      </w:r>
      <w:r>
        <w:rPr>
          <w:rFonts w:ascii="宋体" w:hAnsi="宋体" w:hint="eastAsia"/>
          <w:bCs/>
          <w:iCs/>
          <w:color w:val="000000"/>
          <w:sz w:val="24"/>
        </w:rPr>
        <w:t xml:space="preserve">               证券简称：英诺特</w:t>
      </w:r>
    </w:p>
    <w:p w14:paraId="2B478796" w14:textId="77777777" w:rsidR="003136B1" w:rsidRDefault="00431B80">
      <w:pPr>
        <w:spacing w:line="600" w:lineRule="exact"/>
        <w:jc w:val="center"/>
        <w:rPr>
          <w:rFonts w:ascii="Times New Roman" w:hAnsi="宋体" w:hint="eastAsia"/>
          <w:b/>
          <w:sz w:val="32"/>
          <w:szCs w:val="20"/>
        </w:rPr>
      </w:pPr>
      <w:r>
        <w:rPr>
          <w:rFonts w:ascii="Times New Roman" w:hAnsi="宋体" w:hint="eastAsia"/>
          <w:b/>
          <w:sz w:val="32"/>
          <w:szCs w:val="20"/>
        </w:rPr>
        <w:t>北京英诺特生物技术股份有限公司</w:t>
      </w:r>
    </w:p>
    <w:p w14:paraId="72294FF8" w14:textId="77777777" w:rsidR="003136B1" w:rsidRDefault="00431B80">
      <w:pPr>
        <w:spacing w:line="600" w:lineRule="exact"/>
        <w:jc w:val="center"/>
        <w:rPr>
          <w:rFonts w:ascii="Times New Roman" w:hAnsi="宋体" w:hint="eastAsia"/>
          <w:b/>
          <w:sz w:val="32"/>
          <w:szCs w:val="20"/>
        </w:rPr>
      </w:pPr>
      <w:r>
        <w:rPr>
          <w:rFonts w:ascii="Times New Roman" w:hAnsi="宋体" w:hint="eastAsia"/>
          <w:b/>
          <w:sz w:val="32"/>
          <w:szCs w:val="20"/>
        </w:rPr>
        <w:t>投资者关系活动记录表</w:t>
      </w:r>
    </w:p>
    <w:p w14:paraId="35EDCC10" w14:textId="77777777" w:rsidR="003136B1" w:rsidRDefault="00431B80">
      <w:pPr>
        <w:spacing w:line="400" w:lineRule="exact"/>
        <w:rPr>
          <w:rFonts w:ascii="宋体" w:hAnsi="宋体" w:hint="eastAsia"/>
          <w:bCs/>
          <w:iCs/>
          <w:color w:val="000000"/>
          <w:sz w:val="24"/>
        </w:rPr>
      </w:pPr>
      <w:r>
        <w:rPr>
          <w:rFonts w:ascii="宋体" w:hAnsi="宋体" w:hint="eastAsia"/>
          <w:bCs/>
          <w:iCs/>
          <w:color w:val="000000"/>
          <w:sz w:val="24"/>
        </w:rPr>
        <w:t xml:space="preserve">                                                      编号：</w:t>
      </w:r>
      <w:r>
        <w:rPr>
          <w:rFonts w:ascii="Times New Roman" w:hAnsi="Times New Roman"/>
          <w:bCs/>
          <w:iCs/>
          <w:color w:val="000000"/>
          <w:sz w:val="24"/>
        </w:rPr>
        <w:t>202</w:t>
      </w:r>
      <w:r w:rsidR="00EE6D7B">
        <w:rPr>
          <w:rFonts w:ascii="Times New Roman" w:hAnsi="Times New Roman" w:hint="eastAsia"/>
          <w:bCs/>
          <w:iCs/>
          <w:color w:val="000000"/>
          <w:sz w:val="24"/>
        </w:rPr>
        <w:t>6</w:t>
      </w:r>
      <w:r>
        <w:rPr>
          <w:rFonts w:ascii="Times New Roman" w:hAnsi="Times New Roman"/>
          <w:bCs/>
          <w:iCs/>
          <w:color w:val="000000"/>
          <w:sz w:val="24"/>
        </w:rPr>
        <w:t>-</w:t>
      </w:r>
      <w:r w:rsidR="00A41A42">
        <w:rPr>
          <w:rFonts w:ascii="Times New Roman" w:hAnsi="Times New Roman" w:hint="eastAsia"/>
          <w:bCs/>
          <w:iCs/>
          <w:color w:val="000000"/>
          <w:sz w:val="24"/>
        </w:rPr>
        <w:t>00</w:t>
      </w:r>
      <w:r w:rsidR="00274BC7">
        <w:rPr>
          <w:rFonts w:ascii="Times New Roman" w:hAnsi="Times New Roman" w:hint="eastAsia"/>
          <w:bCs/>
          <w:iCs/>
          <w:color w:val="000000"/>
          <w:sz w:val="24"/>
        </w:rPr>
        <w:t>3</w:t>
      </w:r>
    </w:p>
    <w:tbl>
      <w:tblPr>
        <w:tblW w:w="981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70"/>
        <w:gridCol w:w="7840"/>
      </w:tblGrid>
      <w:tr w:rsidR="003136B1" w14:paraId="297E5F41" w14:textId="77777777" w:rsidTr="009D1E17">
        <w:trPr>
          <w:trHeight w:val="397"/>
          <w:jc w:val="center"/>
        </w:trPr>
        <w:tc>
          <w:tcPr>
            <w:tcW w:w="1970" w:type="dxa"/>
            <w:tcBorders>
              <w:top w:val="single" w:sz="12" w:space="0" w:color="auto"/>
              <w:left w:val="single" w:sz="12" w:space="0" w:color="auto"/>
              <w:bottom w:val="single" w:sz="6" w:space="0" w:color="auto"/>
              <w:right w:val="single" w:sz="6" w:space="0" w:color="auto"/>
            </w:tcBorders>
            <w:vAlign w:val="center"/>
          </w:tcPr>
          <w:p w14:paraId="7EBA5C19" w14:textId="77777777" w:rsidR="003136B1" w:rsidRDefault="00431B80">
            <w:pPr>
              <w:rPr>
                <w:rFonts w:ascii="宋体" w:hAnsi="宋体" w:hint="eastAsia"/>
                <w:b/>
                <w:bCs/>
                <w:iCs/>
                <w:color w:val="000000"/>
                <w:sz w:val="24"/>
              </w:rPr>
            </w:pPr>
            <w:r>
              <w:rPr>
                <w:rFonts w:ascii="宋体" w:hAnsi="宋体" w:hint="eastAsia"/>
                <w:b/>
                <w:bCs/>
                <w:iCs/>
                <w:color w:val="000000"/>
                <w:sz w:val="24"/>
              </w:rPr>
              <w:t>投资者关系活动类别</w:t>
            </w:r>
          </w:p>
        </w:tc>
        <w:tc>
          <w:tcPr>
            <w:tcW w:w="7840" w:type="dxa"/>
            <w:tcBorders>
              <w:top w:val="single" w:sz="12" w:space="0" w:color="auto"/>
              <w:left w:val="single" w:sz="6" w:space="0" w:color="auto"/>
              <w:bottom w:val="single" w:sz="6" w:space="0" w:color="auto"/>
              <w:right w:val="single" w:sz="12" w:space="0" w:color="auto"/>
            </w:tcBorders>
          </w:tcPr>
          <w:p w14:paraId="4E6C2690" w14:textId="77777777" w:rsidR="003136B1" w:rsidRDefault="008B3039">
            <w:pPr>
              <w:jc w:val="left"/>
              <w:rPr>
                <w:rFonts w:ascii="宋体" w:hAnsi="宋体" w:hint="eastAsia"/>
                <w:bCs/>
                <w:iCs/>
                <w:color w:val="000000"/>
                <w:sz w:val="24"/>
              </w:rPr>
            </w:pPr>
            <w:r>
              <w:rPr>
                <w:rFonts w:ascii="宋体" w:hAnsi="宋体" w:hint="eastAsia"/>
                <w:sz w:val="24"/>
              </w:rPr>
              <w:t xml:space="preserve">□特定对象调研        </w:t>
            </w:r>
            <w:r>
              <w:rPr>
                <w:rFonts w:ascii="宋体" w:hAnsi="宋体" w:hint="eastAsia"/>
                <w:bCs/>
                <w:iCs/>
                <w:color w:val="000000"/>
                <w:sz w:val="24"/>
              </w:rPr>
              <w:t>□</w:t>
            </w:r>
            <w:r>
              <w:rPr>
                <w:rFonts w:ascii="宋体" w:hAnsi="宋体" w:hint="eastAsia"/>
                <w:sz w:val="24"/>
              </w:rPr>
              <w:t xml:space="preserve">分析师会议            </w:t>
            </w:r>
            <w:r>
              <w:rPr>
                <w:rFonts w:ascii="宋体" w:hAnsi="宋体" w:hint="eastAsia"/>
                <w:bCs/>
                <w:iCs/>
                <w:color w:val="000000"/>
                <w:sz w:val="24"/>
              </w:rPr>
              <w:t>□</w:t>
            </w:r>
            <w:r>
              <w:rPr>
                <w:rFonts w:ascii="宋体" w:hAnsi="宋体" w:hint="eastAsia"/>
                <w:sz w:val="24"/>
              </w:rPr>
              <w:t>媒体采访</w:t>
            </w:r>
          </w:p>
          <w:p w14:paraId="26104957" w14:textId="77777777" w:rsidR="003136B1" w:rsidRDefault="00274BC7">
            <w:pPr>
              <w:jc w:val="left"/>
              <w:rPr>
                <w:rFonts w:ascii="宋体" w:hAnsi="宋体" w:hint="eastAsia"/>
                <w:bCs/>
                <w:iCs/>
                <w:color w:val="000000"/>
                <w:sz w:val="24"/>
              </w:rPr>
            </w:pPr>
            <w:r>
              <w:rPr>
                <w:rFonts w:ascii="宋体" w:hAnsi="宋体" w:hint="eastAsia"/>
                <w:sz w:val="24"/>
              </w:rPr>
              <w:t>□</w:t>
            </w:r>
            <w:r w:rsidR="008B3039">
              <w:rPr>
                <w:rFonts w:ascii="Times New Roman" w:hAnsi="Times New Roman" w:hint="eastAsia"/>
                <w:bCs/>
                <w:iCs/>
                <w:color w:val="000000"/>
                <w:sz w:val="24"/>
              </w:rPr>
              <w:t>业绩说明会</w:t>
            </w:r>
            <w:r w:rsidR="008B3039">
              <w:rPr>
                <w:rFonts w:ascii="Times New Roman" w:hAnsi="Times New Roman"/>
                <w:bCs/>
                <w:iCs/>
                <w:color w:val="000000"/>
                <w:sz w:val="24"/>
              </w:rPr>
              <w:t xml:space="preserve"> </w:t>
            </w:r>
            <w:r w:rsidR="008B3039">
              <w:rPr>
                <w:rFonts w:ascii="宋体" w:hAnsi="宋体"/>
                <w:sz w:val="24"/>
              </w:rPr>
              <w:t xml:space="preserve">         </w:t>
            </w:r>
            <w:r w:rsidR="008B3039">
              <w:rPr>
                <w:rFonts w:ascii="宋体" w:hAnsi="宋体" w:hint="eastAsia"/>
                <w:bCs/>
                <w:iCs/>
                <w:color w:val="000000"/>
                <w:sz w:val="24"/>
              </w:rPr>
              <w:t>□</w:t>
            </w:r>
            <w:r w:rsidR="008B3039">
              <w:rPr>
                <w:rFonts w:ascii="宋体" w:hAnsi="宋体" w:hint="eastAsia"/>
                <w:sz w:val="24"/>
              </w:rPr>
              <w:t xml:space="preserve">新闻发布会            </w:t>
            </w:r>
            <w:r>
              <w:rPr>
                <w:rFonts w:ascii="宋体" w:hAnsi="宋体"/>
                <w:sz w:val="24"/>
              </w:rPr>
              <w:sym w:font="Wingdings 2" w:char="F052"/>
            </w:r>
            <w:r w:rsidR="008B3039">
              <w:rPr>
                <w:rFonts w:ascii="宋体" w:hAnsi="宋体" w:hint="eastAsia"/>
                <w:sz w:val="24"/>
              </w:rPr>
              <w:t>路演活动</w:t>
            </w:r>
          </w:p>
          <w:p w14:paraId="59DA5F14" w14:textId="77777777" w:rsidR="003136B1" w:rsidRDefault="00431B80">
            <w:pPr>
              <w:tabs>
                <w:tab w:val="left" w:pos="3045"/>
                <w:tab w:val="center" w:pos="3199"/>
              </w:tabs>
              <w:jc w:val="left"/>
              <w:rPr>
                <w:rFonts w:ascii="宋体" w:hAnsi="宋体" w:hint="eastAsia"/>
                <w:bCs/>
                <w:iCs/>
                <w:color w:val="000000"/>
                <w:sz w:val="24"/>
              </w:rPr>
            </w:pPr>
            <w:bookmarkStart w:id="0" w:name="OLE_LINK27"/>
            <w:r>
              <w:rPr>
                <w:rFonts w:ascii="宋体" w:hAnsi="宋体" w:hint="eastAsia"/>
                <w:sz w:val="24"/>
              </w:rPr>
              <w:t>□</w:t>
            </w:r>
            <w:bookmarkEnd w:id="0"/>
            <w:r>
              <w:rPr>
                <w:rFonts w:ascii="Times New Roman" w:hAnsi="Times New Roman" w:hint="eastAsia"/>
                <w:bCs/>
                <w:iCs/>
                <w:color w:val="000000"/>
                <w:sz w:val="24"/>
              </w:rPr>
              <w:t>现场参观</w:t>
            </w:r>
            <w:r>
              <w:rPr>
                <w:rFonts w:ascii="Times New Roman" w:hAnsi="Times New Roman" w:hint="eastAsia"/>
                <w:bCs/>
                <w:iCs/>
                <w:color w:val="000000"/>
                <w:sz w:val="24"/>
              </w:rPr>
              <w:t xml:space="preserve"> </w:t>
            </w:r>
            <w:r>
              <w:rPr>
                <w:rFonts w:ascii="宋体" w:hAnsi="宋体" w:hint="eastAsia"/>
                <w:sz w:val="24"/>
              </w:rPr>
              <w:t xml:space="preserve">           </w:t>
            </w:r>
            <w:r>
              <w:rPr>
                <w:rFonts w:ascii="宋体" w:hAnsi="宋体" w:hint="eastAsia"/>
                <w:bCs/>
                <w:iCs/>
                <w:color w:val="000000"/>
                <w:sz w:val="24"/>
              </w:rPr>
              <w:t>□</w:t>
            </w:r>
            <w:r>
              <w:rPr>
                <w:rFonts w:ascii="宋体" w:hAnsi="宋体" w:hint="eastAsia"/>
                <w:sz w:val="24"/>
              </w:rPr>
              <w:t>其他（）</w:t>
            </w:r>
          </w:p>
        </w:tc>
      </w:tr>
      <w:tr w:rsidR="003136B1" w14:paraId="166048B9" w14:textId="77777777" w:rsidTr="009D1E17">
        <w:trPr>
          <w:trHeight w:val="397"/>
          <w:jc w:val="center"/>
        </w:trPr>
        <w:tc>
          <w:tcPr>
            <w:tcW w:w="1970" w:type="dxa"/>
            <w:tcBorders>
              <w:top w:val="single" w:sz="6" w:space="0" w:color="auto"/>
              <w:left w:val="single" w:sz="12" w:space="0" w:color="auto"/>
              <w:bottom w:val="single" w:sz="6" w:space="0" w:color="auto"/>
              <w:right w:val="single" w:sz="6" w:space="0" w:color="auto"/>
            </w:tcBorders>
            <w:vAlign w:val="center"/>
          </w:tcPr>
          <w:p w14:paraId="7019040C" w14:textId="77777777" w:rsidR="003136B1" w:rsidRDefault="00431B80">
            <w:pPr>
              <w:rPr>
                <w:rFonts w:ascii="宋体" w:hAnsi="宋体" w:hint="eastAsia"/>
                <w:b/>
                <w:bCs/>
                <w:iCs/>
                <w:color w:val="000000"/>
                <w:sz w:val="24"/>
              </w:rPr>
            </w:pPr>
            <w:r>
              <w:rPr>
                <w:rFonts w:ascii="宋体" w:hAnsi="宋体" w:hint="eastAsia"/>
                <w:b/>
                <w:bCs/>
                <w:iCs/>
                <w:color w:val="000000"/>
                <w:sz w:val="24"/>
              </w:rPr>
              <w:t>参与单位名称及人员姓名</w:t>
            </w:r>
          </w:p>
        </w:tc>
        <w:tc>
          <w:tcPr>
            <w:tcW w:w="7840" w:type="dxa"/>
            <w:tcBorders>
              <w:top w:val="single" w:sz="6" w:space="0" w:color="auto"/>
              <w:left w:val="single" w:sz="6" w:space="0" w:color="auto"/>
              <w:bottom w:val="single" w:sz="6" w:space="0" w:color="auto"/>
              <w:right w:val="single" w:sz="12" w:space="0" w:color="auto"/>
            </w:tcBorders>
            <w:vAlign w:val="center"/>
          </w:tcPr>
          <w:p w14:paraId="0ABD2C7C" w14:textId="77777777" w:rsidR="003136B1" w:rsidRDefault="008515C2" w:rsidP="008515C2">
            <w:pPr>
              <w:rPr>
                <w:rFonts w:ascii="Times New Roman" w:hAnsi="Times New Roman"/>
                <w:bCs/>
                <w:iCs/>
                <w:color w:val="000000"/>
                <w:sz w:val="24"/>
              </w:rPr>
            </w:pPr>
            <w:r w:rsidRPr="008515C2">
              <w:rPr>
                <w:rFonts w:ascii="Times New Roman" w:hAnsi="Times New Roman"/>
                <w:bCs/>
                <w:iCs/>
                <w:color w:val="000000"/>
                <w:sz w:val="24"/>
              </w:rPr>
              <w:t>惠升基金</w:t>
            </w:r>
            <w:r>
              <w:rPr>
                <w:rFonts w:ascii="Times New Roman" w:hAnsi="Times New Roman" w:hint="eastAsia"/>
                <w:bCs/>
                <w:iCs/>
                <w:color w:val="000000"/>
                <w:sz w:val="24"/>
              </w:rPr>
              <w:t>：</w:t>
            </w:r>
            <w:r w:rsidRPr="008515C2">
              <w:rPr>
                <w:rFonts w:ascii="Times New Roman" w:hAnsi="Times New Roman"/>
                <w:bCs/>
                <w:iCs/>
                <w:color w:val="000000"/>
                <w:sz w:val="24"/>
              </w:rPr>
              <w:t>邵雅璇</w:t>
            </w:r>
            <w:r>
              <w:rPr>
                <w:rFonts w:ascii="Times New Roman" w:hAnsi="Times New Roman" w:hint="eastAsia"/>
                <w:bCs/>
                <w:iCs/>
                <w:color w:val="000000"/>
                <w:sz w:val="24"/>
              </w:rPr>
              <w:t>；</w:t>
            </w:r>
            <w:r w:rsidRPr="008515C2">
              <w:rPr>
                <w:rFonts w:ascii="Times New Roman" w:hAnsi="Times New Roman"/>
                <w:bCs/>
                <w:iCs/>
                <w:color w:val="000000"/>
                <w:sz w:val="24"/>
              </w:rPr>
              <w:t>华安基金</w:t>
            </w:r>
            <w:r w:rsidRPr="008515C2">
              <w:rPr>
                <w:rFonts w:ascii="Times New Roman" w:hAnsi="Times New Roman" w:hint="eastAsia"/>
                <w:bCs/>
                <w:iCs/>
                <w:color w:val="000000"/>
                <w:sz w:val="24"/>
              </w:rPr>
              <w:t>：</w:t>
            </w:r>
            <w:r w:rsidRPr="008515C2">
              <w:rPr>
                <w:rFonts w:ascii="Times New Roman" w:hAnsi="Times New Roman"/>
                <w:bCs/>
                <w:iCs/>
                <w:color w:val="000000"/>
                <w:sz w:val="24"/>
              </w:rPr>
              <w:t>于嘉轩、周飞、翁启森、陆奔</w:t>
            </w:r>
            <w:r>
              <w:rPr>
                <w:rFonts w:ascii="Times New Roman" w:hAnsi="Times New Roman" w:hint="eastAsia"/>
                <w:bCs/>
                <w:iCs/>
                <w:color w:val="000000"/>
                <w:sz w:val="24"/>
              </w:rPr>
              <w:t>；</w:t>
            </w:r>
            <w:r w:rsidRPr="008515C2">
              <w:rPr>
                <w:rFonts w:ascii="Times New Roman" w:hAnsi="Times New Roman"/>
                <w:bCs/>
                <w:iCs/>
                <w:color w:val="000000"/>
                <w:sz w:val="24"/>
              </w:rPr>
              <w:t>中金资管</w:t>
            </w:r>
            <w:r w:rsidRPr="008515C2">
              <w:rPr>
                <w:rFonts w:ascii="Times New Roman" w:hAnsi="Times New Roman" w:hint="eastAsia"/>
                <w:bCs/>
                <w:iCs/>
                <w:color w:val="000000"/>
                <w:sz w:val="24"/>
              </w:rPr>
              <w:t>：</w:t>
            </w:r>
            <w:r w:rsidRPr="008515C2">
              <w:rPr>
                <w:rFonts w:ascii="Times New Roman" w:hAnsi="Times New Roman"/>
                <w:bCs/>
                <w:iCs/>
                <w:color w:val="000000"/>
                <w:sz w:val="24"/>
              </w:rPr>
              <w:t>杨钟男</w:t>
            </w:r>
            <w:r>
              <w:rPr>
                <w:rFonts w:ascii="Times New Roman" w:hAnsi="Times New Roman" w:hint="eastAsia"/>
                <w:bCs/>
                <w:iCs/>
                <w:color w:val="000000"/>
                <w:sz w:val="24"/>
              </w:rPr>
              <w:t>；</w:t>
            </w:r>
            <w:r w:rsidRPr="008515C2">
              <w:rPr>
                <w:rFonts w:ascii="Times New Roman" w:hAnsi="Times New Roman"/>
                <w:bCs/>
                <w:iCs/>
                <w:color w:val="000000"/>
                <w:sz w:val="24"/>
              </w:rPr>
              <w:t>农银汇理基金</w:t>
            </w:r>
            <w:r w:rsidRPr="008515C2">
              <w:rPr>
                <w:rFonts w:ascii="Times New Roman" w:hAnsi="Times New Roman" w:hint="eastAsia"/>
                <w:bCs/>
                <w:iCs/>
                <w:color w:val="000000"/>
                <w:sz w:val="24"/>
              </w:rPr>
              <w:t>：</w:t>
            </w:r>
            <w:r w:rsidRPr="008515C2">
              <w:rPr>
                <w:rFonts w:ascii="Times New Roman" w:hAnsi="Times New Roman"/>
                <w:bCs/>
                <w:iCs/>
                <w:color w:val="000000"/>
                <w:sz w:val="24"/>
              </w:rPr>
              <w:t>梦圆、毛雅婷</w:t>
            </w:r>
            <w:r>
              <w:rPr>
                <w:rFonts w:ascii="Times New Roman" w:hAnsi="Times New Roman" w:hint="eastAsia"/>
                <w:bCs/>
                <w:iCs/>
                <w:color w:val="000000"/>
                <w:sz w:val="24"/>
              </w:rPr>
              <w:t>；</w:t>
            </w:r>
            <w:r w:rsidRPr="008515C2">
              <w:rPr>
                <w:rFonts w:ascii="Times New Roman" w:hAnsi="Times New Roman"/>
                <w:bCs/>
                <w:iCs/>
                <w:color w:val="000000"/>
                <w:sz w:val="24"/>
              </w:rPr>
              <w:t>平安资产</w:t>
            </w:r>
            <w:r w:rsidRPr="008515C2">
              <w:rPr>
                <w:rFonts w:ascii="Times New Roman" w:hAnsi="Times New Roman" w:hint="eastAsia"/>
                <w:bCs/>
                <w:iCs/>
                <w:color w:val="000000"/>
                <w:sz w:val="24"/>
              </w:rPr>
              <w:t>：</w:t>
            </w:r>
            <w:r w:rsidRPr="008515C2">
              <w:rPr>
                <w:rFonts w:ascii="Times New Roman" w:hAnsi="Times New Roman"/>
                <w:bCs/>
                <w:iCs/>
                <w:color w:val="000000"/>
                <w:sz w:val="24"/>
              </w:rPr>
              <w:t>林启姜、俞冰</w:t>
            </w:r>
            <w:r>
              <w:rPr>
                <w:rFonts w:ascii="Times New Roman" w:hAnsi="Times New Roman" w:hint="eastAsia"/>
                <w:bCs/>
                <w:iCs/>
                <w:color w:val="000000"/>
                <w:sz w:val="24"/>
              </w:rPr>
              <w:t>；</w:t>
            </w:r>
            <w:r w:rsidRPr="008515C2">
              <w:rPr>
                <w:rFonts w:ascii="Times New Roman" w:hAnsi="Times New Roman"/>
                <w:bCs/>
                <w:iCs/>
                <w:color w:val="000000"/>
                <w:sz w:val="24"/>
              </w:rPr>
              <w:t>东方红资产</w:t>
            </w:r>
            <w:r w:rsidRPr="008515C2">
              <w:rPr>
                <w:rFonts w:ascii="Times New Roman" w:hAnsi="Times New Roman" w:hint="eastAsia"/>
                <w:bCs/>
                <w:iCs/>
                <w:color w:val="000000"/>
                <w:sz w:val="24"/>
              </w:rPr>
              <w:t>：</w:t>
            </w:r>
            <w:r w:rsidRPr="008515C2">
              <w:rPr>
                <w:rFonts w:ascii="Times New Roman" w:hAnsi="Times New Roman"/>
                <w:bCs/>
                <w:iCs/>
                <w:color w:val="000000"/>
                <w:sz w:val="24"/>
              </w:rPr>
              <w:t>邹秉昂、江琦</w:t>
            </w:r>
            <w:r>
              <w:rPr>
                <w:rFonts w:ascii="Times New Roman" w:hAnsi="Times New Roman" w:hint="eastAsia"/>
                <w:bCs/>
                <w:iCs/>
                <w:color w:val="000000"/>
                <w:sz w:val="24"/>
              </w:rPr>
              <w:t>；</w:t>
            </w:r>
            <w:r w:rsidRPr="008515C2">
              <w:rPr>
                <w:rFonts w:ascii="Times New Roman" w:hAnsi="Times New Roman"/>
                <w:bCs/>
                <w:iCs/>
                <w:color w:val="000000"/>
                <w:sz w:val="24"/>
              </w:rPr>
              <w:t>华夏基金</w:t>
            </w:r>
            <w:r w:rsidRPr="008515C2">
              <w:rPr>
                <w:rFonts w:ascii="Times New Roman" w:hAnsi="Times New Roman" w:hint="eastAsia"/>
                <w:bCs/>
                <w:iCs/>
                <w:color w:val="000000"/>
                <w:sz w:val="24"/>
              </w:rPr>
              <w:t>：</w:t>
            </w:r>
            <w:r w:rsidRPr="008515C2">
              <w:rPr>
                <w:rFonts w:ascii="Times New Roman" w:hAnsi="Times New Roman"/>
                <w:bCs/>
                <w:iCs/>
                <w:color w:val="000000"/>
                <w:sz w:val="24"/>
              </w:rPr>
              <w:t>周天翎</w:t>
            </w:r>
            <w:r>
              <w:rPr>
                <w:rFonts w:ascii="Times New Roman" w:hAnsi="Times New Roman" w:hint="eastAsia"/>
                <w:bCs/>
                <w:iCs/>
                <w:color w:val="000000"/>
                <w:sz w:val="24"/>
              </w:rPr>
              <w:t>；</w:t>
            </w:r>
            <w:r w:rsidRPr="008515C2">
              <w:rPr>
                <w:rFonts w:ascii="Times New Roman" w:hAnsi="Times New Roman"/>
                <w:bCs/>
                <w:iCs/>
                <w:color w:val="000000"/>
                <w:sz w:val="24"/>
              </w:rPr>
              <w:t>嘉实基金</w:t>
            </w:r>
            <w:r w:rsidRPr="008515C2">
              <w:rPr>
                <w:rFonts w:ascii="Times New Roman" w:hAnsi="Times New Roman" w:hint="eastAsia"/>
                <w:bCs/>
                <w:iCs/>
                <w:color w:val="000000"/>
                <w:sz w:val="24"/>
              </w:rPr>
              <w:t>：</w:t>
            </w:r>
            <w:r w:rsidRPr="008515C2">
              <w:rPr>
                <w:rFonts w:ascii="Times New Roman" w:hAnsi="Times New Roman"/>
                <w:bCs/>
                <w:iCs/>
                <w:color w:val="000000"/>
                <w:sz w:val="24"/>
              </w:rPr>
              <w:t>程佳、孙晓晖</w:t>
            </w:r>
            <w:r>
              <w:rPr>
                <w:rFonts w:ascii="Times New Roman" w:hAnsi="Times New Roman" w:hint="eastAsia"/>
                <w:bCs/>
                <w:iCs/>
                <w:color w:val="000000"/>
                <w:sz w:val="24"/>
              </w:rPr>
              <w:t>；</w:t>
            </w:r>
            <w:r w:rsidRPr="008515C2">
              <w:rPr>
                <w:rFonts w:ascii="Times New Roman" w:hAnsi="Times New Roman"/>
                <w:bCs/>
                <w:iCs/>
                <w:color w:val="000000"/>
                <w:sz w:val="24"/>
              </w:rPr>
              <w:t>信达澳亚</w:t>
            </w:r>
            <w:r w:rsidRPr="008515C2">
              <w:rPr>
                <w:rFonts w:ascii="Times New Roman" w:hAnsi="Times New Roman" w:hint="eastAsia"/>
                <w:bCs/>
                <w:iCs/>
                <w:color w:val="000000"/>
                <w:sz w:val="24"/>
              </w:rPr>
              <w:t>：</w:t>
            </w:r>
            <w:r w:rsidRPr="008515C2">
              <w:rPr>
                <w:rFonts w:ascii="Times New Roman" w:hAnsi="Times New Roman"/>
                <w:bCs/>
                <w:iCs/>
                <w:color w:val="000000"/>
                <w:sz w:val="24"/>
              </w:rPr>
              <w:t>李东升</w:t>
            </w:r>
            <w:r>
              <w:rPr>
                <w:rFonts w:ascii="Times New Roman" w:hAnsi="Times New Roman" w:hint="eastAsia"/>
                <w:bCs/>
                <w:iCs/>
                <w:color w:val="000000"/>
                <w:sz w:val="24"/>
              </w:rPr>
              <w:t>；</w:t>
            </w:r>
            <w:r w:rsidRPr="008515C2">
              <w:rPr>
                <w:rFonts w:ascii="Times New Roman" w:hAnsi="Times New Roman"/>
                <w:bCs/>
                <w:iCs/>
                <w:color w:val="000000"/>
                <w:sz w:val="24"/>
              </w:rPr>
              <w:t>中银基金</w:t>
            </w:r>
            <w:r w:rsidRPr="008515C2">
              <w:rPr>
                <w:rFonts w:ascii="Times New Roman" w:hAnsi="Times New Roman" w:hint="eastAsia"/>
                <w:bCs/>
                <w:iCs/>
                <w:color w:val="000000"/>
                <w:sz w:val="24"/>
              </w:rPr>
              <w:t>：</w:t>
            </w:r>
            <w:r w:rsidRPr="008515C2">
              <w:rPr>
                <w:rFonts w:ascii="Times New Roman" w:hAnsi="Times New Roman"/>
                <w:bCs/>
                <w:iCs/>
                <w:color w:val="000000"/>
                <w:sz w:val="24"/>
              </w:rPr>
              <w:t>廖冯昌、郝梦娇</w:t>
            </w:r>
            <w:r>
              <w:rPr>
                <w:rFonts w:ascii="Times New Roman" w:hAnsi="Times New Roman" w:hint="eastAsia"/>
                <w:bCs/>
                <w:iCs/>
                <w:color w:val="000000"/>
                <w:sz w:val="24"/>
              </w:rPr>
              <w:t>。</w:t>
            </w:r>
          </w:p>
        </w:tc>
      </w:tr>
      <w:tr w:rsidR="003136B1" w14:paraId="76BACD92" w14:textId="77777777" w:rsidTr="009D1E17">
        <w:trPr>
          <w:trHeight w:val="397"/>
          <w:jc w:val="center"/>
        </w:trPr>
        <w:tc>
          <w:tcPr>
            <w:tcW w:w="1970" w:type="dxa"/>
            <w:tcBorders>
              <w:top w:val="single" w:sz="6" w:space="0" w:color="auto"/>
              <w:left w:val="single" w:sz="12" w:space="0" w:color="auto"/>
              <w:bottom w:val="single" w:sz="6" w:space="0" w:color="auto"/>
              <w:right w:val="single" w:sz="6" w:space="0" w:color="auto"/>
            </w:tcBorders>
            <w:vAlign w:val="center"/>
          </w:tcPr>
          <w:p w14:paraId="06D2931D" w14:textId="77777777" w:rsidR="003136B1" w:rsidRDefault="00431B80">
            <w:pPr>
              <w:rPr>
                <w:rFonts w:ascii="宋体" w:hAnsi="宋体" w:hint="eastAsia"/>
                <w:b/>
                <w:bCs/>
                <w:iCs/>
                <w:color w:val="000000"/>
                <w:sz w:val="24"/>
              </w:rPr>
            </w:pPr>
            <w:r>
              <w:rPr>
                <w:rFonts w:ascii="宋体" w:hAnsi="宋体" w:hint="eastAsia"/>
                <w:b/>
                <w:bCs/>
                <w:iCs/>
                <w:color w:val="000000"/>
                <w:sz w:val="24"/>
              </w:rPr>
              <w:t>时间</w:t>
            </w:r>
          </w:p>
        </w:tc>
        <w:tc>
          <w:tcPr>
            <w:tcW w:w="7840" w:type="dxa"/>
            <w:tcBorders>
              <w:top w:val="single" w:sz="6" w:space="0" w:color="auto"/>
              <w:left w:val="single" w:sz="6" w:space="0" w:color="auto"/>
              <w:bottom w:val="single" w:sz="6" w:space="0" w:color="auto"/>
              <w:right w:val="single" w:sz="12" w:space="0" w:color="auto"/>
            </w:tcBorders>
            <w:vAlign w:val="center"/>
          </w:tcPr>
          <w:p w14:paraId="576271F6" w14:textId="77777777" w:rsidR="003136B1" w:rsidRDefault="00431B80">
            <w:pPr>
              <w:rPr>
                <w:rFonts w:ascii="Times New Roman" w:hAnsi="Times New Roman"/>
                <w:bCs/>
                <w:iCs/>
                <w:color w:val="000000"/>
                <w:sz w:val="24"/>
              </w:rPr>
            </w:pPr>
            <w:r>
              <w:rPr>
                <w:rFonts w:ascii="Times New Roman" w:hAnsi="Times New Roman" w:hint="eastAsia"/>
                <w:bCs/>
                <w:iCs/>
                <w:color w:val="000000"/>
                <w:sz w:val="24"/>
              </w:rPr>
              <w:t>2</w:t>
            </w:r>
            <w:r>
              <w:rPr>
                <w:rFonts w:ascii="Times New Roman" w:hAnsi="Times New Roman"/>
                <w:bCs/>
                <w:iCs/>
                <w:color w:val="000000"/>
                <w:sz w:val="24"/>
              </w:rPr>
              <w:t>02</w:t>
            </w:r>
            <w:r w:rsidR="00EE6D7B">
              <w:rPr>
                <w:rFonts w:ascii="Times New Roman" w:hAnsi="Times New Roman" w:hint="eastAsia"/>
                <w:bCs/>
                <w:iCs/>
                <w:color w:val="000000"/>
                <w:sz w:val="24"/>
              </w:rPr>
              <w:t>6</w:t>
            </w:r>
            <w:r>
              <w:rPr>
                <w:rFonts w:ascii="Times New Roman" w:hAnsi="Times New Roman" w:hint="eastAsia"/>
                <w:bCs/>
                <w:iCs/>
                <w:color w:val="000000"/>
                <w:sz w:val="24"/>
              </w:rPr>
              <w:t>年</w:t>
            </w:r>
            <w:r w:rsidR="006C73AE">
              <w:rPr>
                <w:rFonts w:ascii="Times New Roman" w:hAnsi="Times New Roman" w:hint="eastAsia"/>
                <w:bCs/>
                <w:iCs/>
                <w:color w:val="000000"/>
                <w:sz w:val="24"/>
              </w:rPr>
              <w:t>10</w:t>
            </w:r>
            <w:r>
              <w:rPr>
                <w:rFonts w:ascii="Times New Roman" w:hAnsi="Times New Roman" w:hint="eastAsia"/>
                <w:bCs/>
                <w:iCs/>
                <w:color w:val="000000"/>
                <w:sz w:val="24"/>
              </w:rPr>
              <w:t>月</w:t>
            </w:r>
            <w:r w:rsidR="006C73AE">
              <w:rPr>
                <w:rFonts w:ascii="Times New Roman" w:hAnsi="Times New Roman" w:hint="eastAsia"/>
                <w:bCs/>
                <w:iCs/>
                <w:color w:val="000000"/>
                <w:sz w:val="24"/>
              </w:rPr>
              <w:t>1</w:t>
            </w:r>
            <w:r w:rsidR="00DE53C6">
              <w:rPr>
                <w:rFonts w:ascii="Times New Roman" w:hAnsi="Times New Roman" w:hint="eastAsia"/>
                <w:bCs/>
                <w:iCs/>
                <w:color w:val="000000"/>
                <w:sz w:val="24"/>
              </w:rPr>
              <w:t>3</w:t>
            </w:r>
            <w:r>
              <w:rPr>
                <w:rFonts w:ascii="Times New Roman" w:hAnsi="Times New Roman" w:hint="eastAsia"/>
                <w:bCs/>
                <w:iCs/>
                <w:color w:val="000000"/>
                <w:sz w:val="24"/>
              </w:rPr>
              <w:t>日</w:t>
            </w:r>
            <w:r w:rsidR="006C73AE">
              <w:rPr>
                <w:rFonts w:ascii="Times New Roman" w:hAnsi="Times New Roman" w:hint="eastAsia"/>
                <w:bCs/>
                <w:iCs/>
                <w:color w:val="000000"/>
                <w:sz w:val="24"/>
              </w:rPr>
              <w:t>-10</w:t>
            </w:r>
            <w:r w:rsidR="006C73AE">
              <w:rPr>
                <w:rFonts w:ascii="Times New Roman" w:hAnsi="Times New Roman" w:hint="eastAsia"/>
                <w:bCs/>
                <w:iCs/>
                <w:color w:val="000000"/>
                <w:sz w:val="24"/>
              </w:rPr>
              <w:t>月</w:t>
            </w:r>
            <w:r w:rsidR="006C73AE">
              <w:rPr>
                <w:rFonts w:ascii="Times New Roman" w:hAnsi="Times New Roman" w:hint="eastAsia"/>
                <w:bCs/>
                <w:iCs/>
                <w:color w:val="000000"/>
                <w:sz w:val="24"/>
              </w:rPr>
              <w:t>15</w:t>
            </w:r>
            <w:r w:rsidR="006C73AE">
              <w:rPr>
                <w:rFonts w:ascii="Times New Roman" w:hAnsi="Times New Roman" w:hint="eastAsia"/>
                <w:bCs/>
                <w:iCs/>
                <w:color w:val="000000"/>
                <w:sz w:val="24"/>
              </w:rPr>
              <w:t>日</w:t>
            </w:r>
          </w:p>
        </w:tc>
      </w:tr>
      <w:tr w:rsidR="003136B1" w14:paraId="611181ED" w14:textId="77777777" w:rsidTr="009D1E17">
        <w:trPr>
          <w:trHeight w:val="397"/>
          <w:jc w:val="center"/>
        </w:trPr>
        <w:tc>
          <w:tcPr>
            <w:tcW w:w="1970" w:type="dxa"/>
            <w:tcBorders>
              <w:top w:val="single" w:sz="6" w:space="0" w:color="auto"/>
              <w:left w:val="single" w:sz="12" w:space="0" w:color="auto"/>
              <w:bottom w:val="single" w:sz="6" w:space="0" w:color="auto"/>
              <w:right w:val="single" w:sz="6" w:space="0" w:color="auto"/>
            </w:tcBorders>
            <w:vAlign w:val="center"/>
          </w:tcPr>
          <w:p w14:paraId="776D46C2" w14:textId="77777777" w:rsidR="003136B1" w:rsidRDefault="00431B80">
            <w:pPr>
              <w:rPr>
                <w:rFonts w:ascii="宋体" w:hAnsi="宋体" w:hint="eastAsia"/>
                <w:b/>
                <w:bCs/>
                <w:iCs/>
                <w:color w:val="000000"/>
                <w:sz w:val="24"/>
              </w:rPr>
            </w:pPr>
            <w:r>
              <w:rPr>
                <w:rFonts w:ascii="宋体" w:hAnsi="宋体" w:hint="eastAsia"/>
                <w:b/>
                <w:bCs/>
                <w:iCs/>
                <w:color w:val="000000"/>
                <w:sz w:val="24"/>
              </w:rPr>
              <w:t>地点</w:t>
            </w:r>
          </w:p>
        </w:tc>
        <w:tc>
          <w:tcPr>
            <w:tcW w:w="7840" w:type="dxa"/>
            <w:tcBorders>
              <w:top w:val="single" w:sz="6" w:space="0" w:color="auto"/>
              <w:left w:val="single" w:sz="6" w:space="0" w:color="auto"/>
              <w:bottom w:val="single" w:sz="6" w:space="0" w:color="auto"/>
              <w:right w:val="single" w:sz="12" w:space="0" w:color="auto"/>
            </w:tcBorders>
            <w:vAlign w:val="center"/>
          </w:tcPr>
          <w:p w14:paraId="36406FE5" w14:textId="77777777" w:rsidR="003136B1" w:rsidRDefault="004F33CF" w:rsidP="004F33CF">
            <w:pPr>
              <w:rPr>
                <w:rFonts w:ascii="Times New Roman" w:hAnsi="Times New Roman"/>
                <w:bCs/>
                <w:iCs/>
                <w:color w:val="000000"/>
                <w:sz w:val="24"/>
              </w:rPr>
            </w:pPr>
            <w:r w:rsidRPr="004F33CF">
              <w:rPr>
                <w:rFonts w:ascii="Times New Roman" w:hAnsi="Times New Roman" w:hint="eastAsia"/>
                <w:bCs/>
                <w:iCs/>
                <w:color w:val="000000"/>
                <w:sz w:val="24"/>
              </w:rPr>
              <w:t>上海</w:t>
            </w:r>
            <w:r w:rsidR="00AE16D9">
              <w:rPr>
                <w:rFonts w:ascii="Times New Roman" w:hAnsi="Times New Roman" w:hint="eastAsia"/>
                <w:bCs/>
                <w:iCs/>
                <w:color w:val="000000"/>
                <w:sz w:val="24"/>
              </w:rPr>
              <w:t>各机构会议室</w:t>
            </w:r>
          </w:p>
        </w:tc>
      </w:tr>
      <w:tr w:rsidR="003136B1" w14:paraId="52133C60" w14:textId="77777777" w:rsidTr="009D1E17">
        <w:trPr>
          <w:trHeight w:val="397"/>
          <w:jc w:val="center"/>
        </w:trPr>
        <w:tc>
          <w:tcPr>
            <w:tcW w:w="1970" w:type="dxa"/>
            <w:tcBorders>
              <w:top w:val="single" w:sz="6" w:space="0" w:color="auto"/>
              <w:left w:val="single" w:sz="12" w:space="0" w:color="auto"/>
              <w:bottom w:val="single" w:sz="6" w:space="0" w:color="auto"/>
              <w:right w:val="single" w:sz="6" w:space="0" w:color="auto"/>
            </w:tcBorders>
            <w:vAlign w:val="center"/>
          </w:tcPr>
          <w:p w14:paraId="77B243DA" w14:textId="77777777" w:rsidR="003136B1" w:rsidRDefault="00431B80">
            <w:pPr>
              <w:snapToGrid w:val="0"/>
              <w:rPr>
                <w:rFonts w:ascii="宋体" w:hAnsi="宋体" w:hint="eastAsia"/>
                <w:b/>
                <w:bCs/>
                <w:iCs/>
                <w:color w:val="000000"/>
                <w:sz w:val="24"/>
              </w:rPr>
            </w:pPr>
            <w:r>
              <w:rPr>
                <w:rFonts w:ascii="宋体" w:hAnsi="宋体" w:hint="eastAsia"/>
                <w:b/>
                <w:bCs/>
                <w:iCs/>
                <w:color w:val="000000"/>
                <w:sz w:val="24"/>
              </w:rPr>
              <w:t>上市公司接待人员姓名</w:t>
            </w:r>
          </w:p>
        </w:tc>
        <w:tc>
          <w:tcPr>
            <w:tcW w:w="7840" w:type="dxa"/>
            <w:tcBorders>
              <w:top w:val="single" w:sz="6" w:space="0" w:color="auto"/>
              <w:left w:val="single" w:sz="6" w:space="0" w:color="auto"/>
              <w:bottom w:val="single" w:sz="6" w:space="0" w:color="auto"/>
              <w:right w:val="single" w:sz="12" w:space="0" w:color="auto"/>
            </w:tcBorders>
            <w:vAlign w:val="center"/>
          </w:tcPr>
          <w:p w14:paraId="0CE1EB79" w14:textId="77777777" w:rsidR="003136B1" w:rsidRDefault="00431B80">
            <w:pPr>
              <w:rPr>
                <w:rFonts w:ascii="Times New Roman" w:hAnsi="Times New Roman"/>
                <w:bCs/>
                <w:iCs/>
                <w:color w:val="000000"/>
                <w:sz w:val="24"/>
              </w:rPr>
            </w:pPr>
            <w:r>
              <w:rPr>
                <w:rFonts w:ascii="Times New Roman" w:hAnsi="Times New Roman" w:hint="eastAsia"/>
                <w:bCs/>
                <w:iCs/>
                <w:color w:val="000000"/>
                <w:sz w:val="24"/>
              </w:rPr>
              <w:t>证券事务代表：何裕恒</w:t>
            </w:r>
          </w:p>
        </w:tc>
      </w:tr>
      <w:tr w:rsidR="003136B1" w14:paraId="65F24417" w14:textId="77777777" w:rsidTr="009D1E17">
        <w:trPr>
          <w:jc w:val="center"/>
        </w:trPr>
        <w:tc>
          <w:tcPr>
            <w:tcW w:w="1970" w:type="dxa"/>
            <w:tcBorders>
              <w:top w:val="single" w:sz="6" w:space="0" w:color="auto"/>
              <w:left w:val="single" w:sz="12" w:space="0" w:color="auto"/>
              <w:bottom w:val="single" w:sz="6" w:space="0" w:color="auto"/>
              <w:right w:val="single" w:sz="6" w:space="0" w:color="auto"/>
            </w:tcBorders>
            <w:vAlign w:val="center"/>
          </w:tcPr>
          <w:p w14:paraId="47000A4A" w14:textId="77777777" w:rsidR="003136B1" w:rsidRDefault="00431B80">
            <w:pPr>
              <w:rPr>
                <w:rFonts w:ascii="宋体" w:hAnsi="宋体" w:hint="eastAsia"/>
                <w:b/>
                <w:bCs/>
                <w:iCs/>
                <w:color w:val="000000"/>
                <w:sz w:val="24"/>
              </w:rPr>
            </w:pPr>
            <w:bookmarkStart w:id="1" w:name="_Hlk101521043"/>
            <w:r>
              <w:rPr>
                <w:rFonts w:ascii="宋体" w:hAnsi="宋体" w:hint="eastAsia"/>
                <w:b/>
                <w:bCs/>
                <w:iCs/>
                <w:color w:val="000000"/>
                <w:sz w:val="24"/>
              </w:rPr>
              <w:t>投资者关系活动主要内容介绍</w:t>
            </w:r>
          </w:p>
        </w:tc>
        <w:tc>
          <w:tcPr>
            <w:tcW w:w="7840" w:type="dxa"/>
            <w:tcBorders>
              <w:top w:val="single" w:sz="6" w:space="0" w:color="auto"/>
              <w:left w:val="single" w:sz="6" w:space="0" w:color="auto"/>
              <w:bottom w:val="single" w:sz="6" w:space="0" w:color="auto"/>
              <w:right w:val="single" w:sz="12" w:space="0" w:color="auto"/>
            </w:tcBorders>
          </w:tcPr>
          <w:p w14:paraId="6797836F" w14:textId="77777777" w:rsidR="005A0E21" w:rsidRDefault="00C12B34" w:rsidP="00734A9B">
            <w:pPr>
              <w:keepNext/>
              <w:widowControl/>
              <w:spacing w:line="360" w:lineRule="auto"/>
              <w:pPrChange w:id="2" w:author="- zmd" w:date="2026-10-20T16:04:00Z" w16du:dateUtc="2026-10-20T08:04:00Z">
                <w:pPr>
                  <w:keepNext/>
                  <w:widowControl/>
                  <w:spacing w:before="140" w:after="60" w:line="276" w:lineRule="auto"/>
                  <w:ind w:firstLine="480"/>
                </w:pPr>
              </w:pPrChange>
            </w:pPr>
            <w:r>
              <w:rPr>
                <w:rFonts w:ascii="Times New Roman" w:hAnsi="Times New Roman"/>
                <w:b/>
                <w:color w:val="000000"/>
                <w:sz w:val="24"/>
              </w:rPr>
              <w:t>一、投资者问答</w:t>
            </w:r>
          </w:p>
          <w:p w14:paraId="3A9A2F43" w14:textId="77777777" w:rsidR="005A0E21" w:rsidRDefault="00C12B34" w:rsidP="00734A9B">
            <w:pPr>
              <w:keepNext/>
              <w:widowControl/>
              <w:spacing w:line="360" w:lineRule="auto"/>
              <w:ind w:firstLineChars="200" w:firstLine="482"/>
            </w:pPr>
            <w:r>
              <w:rPr>
                <w:rFonts w:ascii="Times New Roman" w:hAnsi="Times New Roman"/>
                <w:b/>
                <w:color w:val="000000"/>
                <w:sz w:val="24"/>
              </w:rPr>
              <w:t>1</w:t>
            </w:r>
            <w:r>
              <w:rPr>
                <w:rFonts w:ascii="Times New Roman" w:hAnsi="Times New Roman"/>
                <w:b/>
                <w:color w:val="000000"/>
                <w:sz w:val="24"/>
              </w:rPr>
              <w:t>、公司目前的业务布局及发展思路是什么？</w:t>
            </w:r>
          </w:p>
          <w:p w14:paraId="5199A048" w14:textId="77777777" w:rsidR="007A12BF" w:rsidRDefault="00C12B34" w:rsidP="00734A9B">
            <w:pPr>
              <w:widowControl/>
              <w:spacing w:line="360" w:lineRule="auto"/>
              <w:ind w:firstLineChars="200" w:firstLine="480"/>
              <w:rPr>
                <w:rFonts w:ascii="Times New Roman" w:hAnsi="Times New Roman"/>
                <w:color w:val="000000"/>
                <w:sz w:val="24"/>
              </w:rPr>
            </w:pPr>
            <w:r>
              <w:rPr>
                <w:rFonts w:ascii="Times New Roman" w:hAnsi="Times New Roman"/>
                <w:color w:val="000000"/>
                <w:sz w:val="24"/>
              </w:rPr>
              <w:t>公司在持续深耕传染病检测业务的基础上，</w:t>
            </w:r>
            <w:r w:rsidR="005C6E44">
              <w:rPr>
                <w:rFonts w:ascii="Times New Roman" w:hAnsi="Times New Roman" w:hint="eastAsia"/>
                <w:color w:val="000000"/>
                <w:sz w:val="24"/>
              </w:rPr>
              <w:t>将</w:t>
            </w:r>
            <w:r>
              <w:rPr>
                <w:rFonts w:ascii="Times New Roman" w:hAnsi="Times New Roman"/>
                <w:color w:val="000000"/>
                <w:sz w:val="24"/>
              </w:rPr>
              <w:t>神经系统疾病检测</w:t>
            </w:r>
            <w:r w:rsidR="005C6E44">
              <w:rPr>
                <w:rFonts w:ascii="Times New Roman" w:hAnsi="Times New Roman" w:hint="eastAsia"/>
                <w:color w:val="000000"/>
                <w:sz w:val="24"/>
              </w:rPr>
              <w:t>业务作为中期发展的主要着力点，并进一步以检测为入口，</w:t>
            </w:r>
            <w:r w:rsidR="005C6E44" w:rsidRPr="005C6E44">
              <w:rPr>
                <w:rFonts w:ascii="Times New Roman" w:hAnsi="Times New Roman"/>
                <w:color w:val="000000"/>
                <w:sz w:val="24"/>
              </w:rPr>
              <w:t>围绕神经内科、神经外科及康复科患者的全病程需求，逐步构建覆盖早期筛查、疾病分型、辅助诊断、治疗决策、疗效监测以及慢病管理与康复的闭环服务生态。</w:t>
            </w:r>
            <w:r w:rsidR="007A12BF">
              <w:rPr>
                <w:rFonts w:ascii="Times New Roman" w:hAnsi="Times New Roman" w:hint="eastAsia"/>
                <w:color w:val="000000"/>
                <w:sz w:val="24"/>
              </w:rPr>
              <w:t>几大业务方向的定位如下：</w:t>
            </w:r>
          </w:p>
          <w:p w14:paraId="25AAD304" w14:textId="77777777" w:rsidR="005227C3" w:rsidRDefault="00C12B34" w:rsidP="00734A9B">
            <w:pPr>
              <w:widowControl/>
              <w:spacing w:line="360" w:lineRule="auto"/>
              <w:ind w:firstLineChars="200" w:firstLine="480"/>
              <w:rPr>
                <w:rFonts w:ascii="Times New Roman" w:hAnsi="Times New Roman"/>
                <w:color w:val="000000"/>
                <w:sz w:val="24"/>
              </w:rPr>
            </w:pPr>
            <w:r>
              <w:rPr>
                <w:rFonts w:ascii="Times New Roman" w:hAnsi="Times New Roman"/>
                <w:color w:val="000000"/>
                <w:sz w:val="24"/>
              </w:rPr>
              <w:t>传染病检测业务</w:t>
            </w:r>
            <w:r w:rsidR="007A2133">
              <w:rPr>
                <w:rFonts w:ascii="Times New Roman" w:hAnsi="Times New Roman" w:hint="eastAsia"/>
                <w:color w:val="000000"/>
                <w:sz w:val="24"/>
              </w:rPr>
              <w:t>作为公司发源业务，一方面</w:t>
            </w:r>
            <w:r>
              <w:rPr>
                <w:rFonts w:ascii="Times New Roman" w:hAnsi="Times New Roman"/>
                <w:color w:val="000000"/>
                <w:sz w:val="24"/>
              </w:rPr>
              <w:t>为公司积累了研发、注册、生产和市场推广</w:t>
            </w:r>
            <w:r w:rsidR="00393383">
              <w:rPr>
                <w:rFonts w:ascii="Times New Roman" w:hAnsi="Times New Roman" w:hint="eastAsia"/>
                <w:color w:val="000000"/>
                <w:sz w:val="24"/>
              </w:rPr>
              <w:t>等可迁移的平台</w:t>
            </w:r>
            <w:r>
              <w:rPr>
                <w:rFonts w:ascii="Times New Roman" w:hAnsi="Times New Roman"/>
                <w:color w:val="000000"/>
                <w:sz w:val="24"/>
              </w:rPr>
              <w:t>经验</w:t>
            </w:r>
            <w:r w:rsidR="00CA1DC3">
              <w:rPr>
                <w:rFonts w:ascii="Times New Roman" w:hAnsi="Times New Roman" w:hint="eastAsia"/>
                <w:color w:val="000000"/>
                <w:sz w:val="24"/>
              </w:rPr>
              <w:t>，</w:t>
            </w:r>
            <w:r w:rsidR="007A2133">
              <w:rPr>
                <w:rFonts w:ascii="Times New Roman" w:hAnsi="Times New Roman" w:hint="eastAsia"/>
                <w:color w:val="000000"/>
                <w:sz w:val="24"/>
              </w:rPr>
              <w:t>另一方面亦将</w:t>
            </w:r>
            <w:r w:rsidR="00CA1DC3">
              <w:rPr>
                <w:rFonts w:ascii="Times New Roman" w:hAnsi="Times New Roman" w:hint="eastAsia"/>
                <w:color w:val="000000"/>
                <w:sz w:val="24"/>
              </w:rPr>
              <w:t>在未来继续为公司创造现金流</w:t>
            </w:r>
            <w:r w:rsidR="007A2133">
              <w:rPr>
                <w:rFonts w:ascii="Times New Roman" w:hAnsi="Times New Roman" w:hint="eastAsia"/>
                <w:color w:val="000000"/>
                <w:sz w:val="24"/>
              </w:rPr>
              <w:t>，支持公司拓展新业务曲线</w:t>
            </w:r>
            <w:r>
              <w:rPr>
                <w:rFonts w:ascii="Times New Roman" w:hAnsi="Times New Roman"/>
                <w:color w:val="000000"/>
                <w:sz w:val="24"/>
              </w:rPr>
              <w:t>；神经系统检测业务依托单分子微阵列技术平台，着力解决低丰度生物标志物的检测需求</w:t>
            </w:r>
            <w:r w:rsidR="00B22278">
              <w:rPr>
                <w:rFonts w:ascii="Times New Roman" w:hAnsi="Times New Roman" w:hint="eastAsia"/>
                <w:color w:val="000000"/>
                <w:sz w:val="24"/>
              </w:rPr>
              <w:t>，公司</w:t>
            </w:r>
            <w:r w:rsidR="00136973">
              <w:rPr>
                <w:rFonts w:ascii="Times New Roman" w:hAnsi="Times New Roman" w:hint="eastAsia"/>
                <w:color w:val="000000"/>
                <w:sz w:val="24"/>
              </w:rPr>
              <w:t>目标</w:t>
            </w:r>
            <w:r w:rsidR="00B22278">
              <w:rPr>
                <w:rFonts w:ascii="Times New Roman" w:hAnsi="Times New Roman" w:hint="eastAsia"/>
                <w:color w:val="000000"/>
                <w:sz w:val="24"/>
              </w:rPr>
              <w:t>在神经系统检测这一较传染病检测业务市场空间更大的市场创造更大价值</w:t>
            </w:r>
            <w:r>
              <w:rPr>
                <w:rFonts w:ascii="Times New Roman" w:hAnsi="Times New Roman"/>
                <w:color w:val="000000"/>
                <w:sz w:val="24"/>
              </w:rPr>
              <w:t>；</w:t>
            </w:r>
            <w:r w:rsidR="00FB0C88">
              <w:rPr>
                <w:rFonts w:ascii="Times New Roman" w:hAnsi="Times New Roman" w:hint="eastAsia"/>
                <w:color w:val="000000"/>
                <w:sz w:val="24"/>
              </w:rPr>
              <w:t>脑健康管理业务</w:t>
            </w:r>
            <w:r>
              <w:rPr>
                <w:rFonts w:ascii="Times New Roman" w:hAnsi="Times New Roman"/>
                <w:color w:val="000000"/>
                <w:sz w:val="24"/>
              </w:rPr>
              <w:t>则围绕</w:t>
            </w:r>
            <w:r w:rsidR="00543B79">
              <w:rPr>
                <w:rFonts w:ascii="Times New Roman" w:hAnsi="Times New Roman" w:hint="eastAsia"/>
                <w:color w:val="000000"/>
                <w:sz w:val="24"/>
              </w:rPr>
              <w:t>重大</w:t>
            </w:r>
            <w:r>
              <w:rPr>
                <w:rFonts w:ascii="Times New Roman" w:hAnsi="Times New Roman"/>
                <w:color w:val="000000"/>
                <w:sz w:val="24"/>
              </w:rPr>
              <w:t>脑疾病诊疗中的实际需求，关注脑机接口、细胞治疗等方向，逐步探索覆盖早筛、诊断、治疗及康复的业务布局。</w:t>
            </w:r>
          </w:p>
          <w:p w14:paraId="406EB7D9" w14:textId="7AED5C78" w:rsidR="005A0E21" w:rsidRPr="00734A9B" w:rsidRDefault="00236403" w:rsidP="00734A9B">
            <w:pPr>
              <w:widowControl/>
              <w:spacing w:line="360" w:lineRule="auto"/>
              <w:ind w:firstLineChars="200" w:firstLine="480"/>
              <w:rPr>
                <w:rFonts w:ascii="Times New Roman" w:hAnsi="Times New Roman"/>
                <w:color w:val="000000"/>
                <w:sz w:val="24"/>
              </w:rPr>
            </w:pPr>
            <w:r>
              <w:rPr>
                <w:rFonts w:ascii="Times New Roman" w:hAnsi="Times New Roman" w:hint="eastAsia"/>
                <w:color w:val="000000"/>
                <w:sz w:val="24"/>
              </w:rPr>
              <w:t>传染病检测、神经系统检测、脑健康管理</w:t>
            </w:r>
            <w:r w:rsidR="005227C3">
              <w:rPr>
                <w:rFonts w:ascii="Times New Roman" w:hAnsi="Times New Roman" w:hint="eastAsia"/>
                <w:color w:val="000000"/>
                <w:sz w:val="24"/>
              </w:rPr>
              <w:t>三大业务方向所代表的市场规模、行业政策支持力度</w:t>
            </w:r>
            <w:r w:rsidR="007612AC">
              <w:rPr>
                <w:rFonts w:ascii="Times New Roman" w:hAnsi="Times New Roman" w:hint="eastAsia"/>
                <w:color w:val="000000"/>
                <w:sz w:val="24"/>
              </w:rPr>
              <w:t>等</w:t>
            </w:r>
            <w:r w:rsidR="005227C3">
              <w:rPr>
                <w:rFonts w:ascii="Times New Roman" w:hAnsi="Times New Roman" w:hint="eastAsia"/>
                <w:color w:val="000000"/>
                <w:sz w:val="24"/>
              </w:rPr>
              <w:t>均逐级大大提升，</w:t>
            </w:r>
            <w:r w:rsidR="008C4776">
              <w:rPr>
                <w:rFonts w:ascii="Times New Roman" w:hAnsi="Times New Roman" w:hint="eastAsia"/>
                <w:color w:val="000000"/>
                <w:sz w:val="24"/>
              </w:rPr>
              <w:t>三大业务方向</w:t>
            </w:r>
            <w:r>
              <w:rPr>
                <w:rFonts w:ascii="Times New Roman" w:hAnsi="Times New Roman" w:hint="eastAsia"/>
                <w:color w:val="000000"/>
                <w:sz w:val="24"/>
              </w:rPr>
              <w:t>完整构成公司</w:t>
            </w:r>
            <w:r>
              <w:rPr>
                <w:rFonts w:ascii="Times New Roman" w:hAnsi="Times New Roman" w:hint="eastAsia"/>
                <w:color w:val="000000"/>
                <w:sz w:val="24"/>
              </w:rPr>
              <w:lastRenderedPageBreak/>
              <w:t>的短、中、长期业务发展方向，是公司战略规划的重要组成部分</w:t>
            </w:r>
            <w:r w:rsidR="00C12B34">
              <w:rPr>
                <w:rFonts w:ascii="Times New Roman" w:hAnsi="Times New Roman"/>
                <w:color w:val="000000"/>
                <w:sz w:val="24"/>
              </w:rPr>
              <w:t>，公司将结合研发及市场进展</w:t>
            </w:r>
            <w:r w:rsidR="00BA16F1">
              <w:rPr>
                <w:rFonts w:ascii="Times New Roman" w:hAnsi="Times New Roman" w:hint="eastAsia"/>
                <w:color w:val="000000"/>
                <w:sz w:val="24"/>
              </w:rPr>
              <w:t>等要素</w:t>
            </w:r>
            <w:r w:rsidR="00C12B34">
              <w:rPr>
                <w:rFonts w:ascii="Times New Roman" w:hAnsi="Times New Roman"/>
                <w:color w:val="000000"/>
                <w:sz w:val="24"/>
              </w:rPr>
              <w:t>有序推进。</w:t>
            </w:r>
          </w:p>
          <w:p w14:paraId="728FE775" w14:textId="77777777" w:rsidR="005A0E21" w:rsidRDefault="00C12B34" w:rsidP="00734A9B">
            <w:pPr>
              <w:keepNext/>
              <w:widowControl/>
              <w:spacing w:line="360" w:lineRule="auto"/>
              <w:ind w:firstLineChars="200" w:firstLine="482"/>
            </w:pPr>
            <w:r>
              <w:rPr>
                <w:rFonts w:ascii="Times New Roman" w:hAnsi="Times New Roman"/>
                <w:b/>
                <w:color w:val="000000"/>
                <w:sz w:val="24"/>
              </w:rPr>
              <w:t>2</w:t>
            </w:r>
            <w:r>
              <w:rPr>
                <w:rFonts w:ascii="Times New Roman" w:hAnsi="Times New Roman"/>
                <w:b/>
                <w:color w:val="000000"/>
                <w:sz w:val="24"/>
              </w:rPr>
              <w:t>、公司如何看待传染病检测业务的发展？</w:t>
            </w:r>
          </w:p>
          <w:p w14:paraId="15AF555D" w14:textId="77777777" w:rsidR="005A0E21" w:rsidRPr="00734A9B" w:rsidRDefault="00C12B34" w:rsidP="00734A9B">
            <w:pPr>
              <w:widowControl/>
              <w:spacing w:line="360" w:lineRule="auto"/>
              <w:ind w:firstLineChars="200" w:firstLine="480"/>
              <w:rPr>
                <w:rFonts w:ascii="Times New Roman" w:hAnsi="Times New Roman"/>
                <w:color w:val="000000"/>
                <w:sz w:val="24"/>
              </w:rPr>
            </w:pPr>
            <w:r>
              <w:rPr>
                <w:rFonts w:ascii="Times New Roman" w:hAnsi="Times New Roman"/>
                <w:color w:val="000000"/>
                <w:sz w:val="24"/>
              </w:rPr>
              <w:t>传染病检测仍是公司的重要业务基础。相关检测需求受到呼吸道疾病流行强度、季节性变化及市场竞争等因素影响，经营表现存在一定波动。</w:t>
            </w:r>
          </w:p>
          <w:p w14:paraId="026A8CF5" w14:textId="5A168C67" w:rsidR="005A0E21" w:rsidRDefault="00C12B34" w:rsidP="00734A9B">
            <w:pPr>
              <w:widowControl/>
              <w:spacing w:line="360" w:lineRule="auto"/>
              <w:ind w:firstLineChars="200" w:firstLine="480"/>
              <w:rPr>
                <w:rFonts w:ascii="Times New Roman" w:hAnsi="Times New Roman"/>
                <w:color w:val="000000"/>
                <w:sz w:val="24"/>
              </w:rPr>
            </w:pPr>
            <w:r>
              <w:rPr>
                <w:rFonts w:ascii="Times New Roman" w:hAnsi="Times New Roman"/>
                <w:color w:val="000000"/>
                <w:sz w:val="24"/>
              </w:rPr>
              <w:t>公司将继续围绕临床需求推进产品迭代和多病原体联合检测布局，发挥抗原、抗体及核酸检测产品的组合优势</w:t>
            </w:r>
            <w:r w:rsidR="00E35005">
              <w:rPr>
                <w:rFonts w:ascii="Times New Roman" w:hAnsi="Times New Roman" w:hint="eastAsia"/>
                <w:color w:val="000000"/>
                <w:sz w:val="24"/>
              </w:rPr>
              <w:t>，以及丰富的</w:t>
            </w:r>
            <w:r w:rsidR="00E35005" w:rsidRPr="002C7DA6">
              <w:rPr>
                <w:rFonts w:ascii="Times New Roman" w:hAnsi="Times New Roman"/>
                <w:color w:val="000000"/>
                <w:sz w:val="24"/>
              </w:rPr>
              <w:t>菌（毒</w:t>
            </w:r>
            <w:r w:rsidR="00E35005" w:rsidRPr="00E35005">
              <w:rPr>
                <w:rFonts w:ascii="Times New Roman" w:hAnsi="Times New Roman"/>
                <w:color w:val="000000"/>
                <w:sz w:val="24"/>
              </w:rPr>
              <w:t>）种资源库、质控品体系及国家标准物质</w:t>
            </w:r>
            <w:r w:rsidR="00E35005">
              <w:rPr>
                <w:rFonts w:ascii="Times New Roman" w:hAnsi="Times New Roman" w:hint="eastAsia"/>
                <w:color w:val="000000"/>
                <w:sz w:val="24"/>
              </w:rPr>
              <w:t>资源所带来的差异化技术优势</w:t>
            </w:r>
            <w:r>
              <w:rPr>
                <w:rFonts w:ascii="Times New Roman" w:hAnsi="Times New Roman"/>
                <w:color w:val="000000"/>
                <w:sz w:val="24"/>
              </w:rPr>
              <w:t>，</w:t>
            </w:r>
            <w:r w:rsidR="00D56CC1">
              <w:rPr>
                <w:rFonts w:ascii="Times New Roman" w:hAnsi="Times New Roman" w:hint="eastAsia"/>
                <w:color w:val="000000"/>
                <w:sz w:val="24"/>
              </w:rPr>
              <w:t>在院端市场的基础上</w:t>
            </w:r>
            <w:r>
              <w:rPr>
                <w:rFonts w:ascii="Times New Roman" w:hAnsi="Times New Roman"/>
                <w:color w:val="000000"/>
                <w:sz w:val="24"/>
              </w:rPr>
              <w:t>同时拓展居家检测和海外市场。公司重视产品性能、使用便利性及渠道服务能力的持续提升</w:t>
            </w:r>
            <w:r w:rsidR="00D56CC1">
              <w:rPr>
                <w:rFonts w:ascii="Times New Roman" w:hAnsi="Times New Roman" w:hint="eastAsia"/>
                <w:color w:val="000000"/>
                <w:sz w:val="24"/>
              </w:rPr>
              <w:t>。</w:t>
            </w:r>
          </w:p>
          <w:p w14:paraId="7FCF7DC7" w14:textId="4DFCC5DB" w:rsidR="00D56CC1" w:rsidRPr="00734A9B" w:rsidRDefault="00B75F10" w:rsidP="00734A9B">
            <w:pPr>
              <w:widowControl/>
              <w:spacing w:line="360" w:lineRule="auto"/>
              <w:ind w:firstLineChars="200" w:firstLine="480"/>
              <w:rPr>
                <w:rFonts w:ascii="Times New Roman" w:hAnsi="Times New Roman"/>
                <w:color w:val="000000"/>
                <w:sz w:val="24"/>
              </w:rPr>
            </w:pPr>
            <w:r>
              <w:rPr>
                <w:rFonts w:ascii="Times New Roman" w:hAnsi="Times New Roman" w:hint="eastAsia"/>
                <w:color w:val="000000"/>
                <w:sz w:val="24"/>
              </w:rPr>
              <w:t>目前</w:t>
            </w:r>
            <w:r w:rsidR="00531A0C">
              <w:rPr>
                <w:rFonts w:ascii="Times New Roman" w:hAnsi="Times New Roman" w:hint="eastAsia"/>
                <w:color w:val="000000"/>
                <w:sz w:val="24"/>
              </w:rPr>
              <w:t>结合</w:t>
            </w:r>
            <w:r>
              <w:rPr>
                <w:rFonts w:ascii="Times New Roman" w:hAnsi="Times New Roman" w:hint="eastAsia"/>
                <w:color w:val="000000"/>
                <w:sz w:val="24"/>
              </w:rPr>
              <w:t>国家</w:t>
            </w:r>
            <w:r w:rsidRPr="00B75F10">
              <w:rPr>
                <w:rFonts w:ascii="Times New Roman" w:hAnsi="Times New Roman"/>
                <w:color w:val="000000"/>
                <w:sz w:val="24"/>
              </w:rPr>
              <w:t>《检验类医疗服务价格项目立项指南》</w:t>
            </w:r>
            <w:r>
              <w:rPr>
                <w:rFonts w:ascii="Times New Roman" w:hAnsi="Times New Roman" w:hint="eastAsia"/>
                <w:color w:val="000000"/>
                <w:sz w:val="24"/>
              </w:rPr>
              <w:t>及各省以此制定的收费情况来看，</w:t>
            </w:r>
            <w:r w:rsidR="00531A0C">
              <w:rPr>
                <w:rFonts w:ascii="Times New Roman" w:hAnsi="Times New Roman" w:hint="eastAsia"/>
                <w:color w:val="000000"/>
                <w:sz w:val="24"/>
              </w:rPr>
              <w:t>指南</w:t>
            </w:r>
            <w:r>
              <w:rPr>
                <w:rFonts w:ascii="Times New Roman" w:hAnsi="Times New Roman" w:hint="eastAsia"/>
                <w:color w:val="000000"/>
                <w:sz w:val="24"/>
              </w:rPr>
              <w:t>总体给传染病检测市场带来了更为明确、稳定的商业</w:t>
            </w:r>
            <w:r w:rsidR="004F5230">
              <w:rPr>
                <w:rFonts w:ascii="Times New Roman" w:hAnsi="Times New Roman" w:hint="eastAsia"/>
                <w:color w:val="000000"/>
                <w:sz w:val="24"/>
              </w:rPr>
              <w:t>发展</w:t>
            </w:r>
            <w:r>
              <w:rPr>
                <w:rFonts w:ascii="Times New Roman" w:hAnsi="Times New Roman" w:hint="eastAsia"/>
                <w:color w:val="000000"/>
                <w:sz w:val="24"/>
              </w:rPr>
              <w:t>环境。</w:t>
            </w:r>
          </w:p>
          <w:p w14:paraId="4CAE4102" w14:textId="77777777" w:rsidR="005A0E21" w:rsidRDefault="00C12B34" w:rsidP="00734A9B">
            <w:pPr>
              <w:keepNext/>
              <w:widowControl/>
              <w:spacing w:line="360" w:lineRule="auto"/>
              <w:ind w:firstLineChars="200" w:firstLine="482"/>
            </w:pPr>
            <w:r>
              <w:rPr>
                <w:rFonts w:ascii="Times New Roman" w:hAnsi="Times New Roman"/>
                <w:b/>
                <w:color w:val="000000"/>
                <w:sz w:val="24"/>
              </w:rPr>
              <w:t>3</w:t>
            </w:r>
            <w:r>
              <w:rPr>
                <w:rFonts w:ascii="Times New Roman" w:hAnsi="Times New Roman"/>
                <w:b/>
                <w:color w:val="000000"/>
                <w:sz w:val="24"/>
              </w:rPr>
              <w:t>、公司单分子检测技术的特点是什么，与</w:t>
            </w:r>
            <w:r>
              <w:rPr>
                <w:rFonts w:ascii="Times New Roman" w:hAnsi="Times New Roman"/>
                <w:b/>
                <w:color w:val="000000"/>
                <w:sz w:val="24"/>
              </w:rPr>
              <w:t>Quanterix</w:t>
            </w:r>
            <w:r>
              <w:rPr>
                <w:rFonts w:ascii="Times New Roman" w:hAnsi="Times New Roman"/>
                <w:b/>
                <w:color w:val="000000"/>
                <w:sz w:val="24"/>
              </w:rPr>
              <w:t>如何合作？</w:t>
            </w:r>
          </w:p>
          <w:p w14:paraId="5400D7CC" w14:textId="40BA6A5B" w:rsidR="005A0E21" w:rsidRDefault="00C12B34" w:rsidP="00734A9B">
            <w:pPr>
              <w:widowControl/>
              <w:spacing w:line="360" w:lineRule="auto"/>
              <w:ind w:firstLineChars="200" w:firstLine="480"/>
            </w:pPr>
            <w:r>
              <w:rPr>
                <w:rFonts w:ascii="Times New Roman" w:hAnsi="Times New Roman"/>
                <w:color w:val="000000"/>
                <w:sz w:val="24"/>
              </w:rPr>
              <w:t>公司于</w:t>
            </w:r>
            <w:r>
              <w:rPr>
                <w:rFonts w:ascii="Times New Roman" w:hAnsi="Times New Roman"/>
                <w:color w:val="000000"/>
                <w:sz w:val="24"/>
              </w:rPr>
              <w:t>2024</w:t>
            </w:r>
            <w:r>
              <w:rPr>
                <w:rFonts w:ascii="Times New Roman" w:hAnsi="Times New Roman"/>
                <w:color w:val="000000"/>
                <w:sz w:val="24"/>
              </w:rPr>
              <w:t>年末与</w:t>
            </w:r>
            <w:r>
              <w:rPr>
                <w:rFonts w:ascii="Times New Roman" w:hAnsi="Times New Roman"/>
                <w:color w:val="000000"/>
                <w:sz w:val="24"/>
              </w:rPr>
              <w:t>Quanterix Corporation</w:t>
            </w:r>
            <w:r>
              <w:rPr>
                <w:rFonts w:ascii="Times New Roman" w:hAnsi="Times New Roman"/>
                <w:color w:val="000000"/>
                <w:sz w:val="24"/>
              </w:rPr>
              <w:t>达成战略合作，引入</w:t>
            </w:r>
            <w:bookmarkStart w:id="3" w:name="OLE_LINK1"/>
            <w:r>
              <w:rPr>
                <w:rFonts w:ascii="Times New Roman" w:hAnsi="Times New Roman"/>
                <w:color w:val="000000"/>
                <w:sz w:val="24"/>
              </w:rPr>
              <w:t>单分子微阵列技术</w:t>
            </w:r>
            <w:bookmarkEnd w:id="3"/>
            <w:r>
              <w:rPr>
                <w:rFonts w:ascii="Times New Roman" w:hAnsi="Times New Roman"/>
                <w:color w:val="000000"/>
                <w:sz w:val="24"/>
              </w:rPr>
              <w:t>（</w:t>
            </w:r>
            <w:r>
              <w:rPr>
                <w:rFonts w:ascii="Times New Roman" w:hAnsi="Times New Roman"/>
                <w:color w:val="000000"/>
                <w:sz w:val="24"/>
              </w:rPr>
              <w:t>Simoa</w:t>
            </w:r>
            <w:r>
              <w:rPr>
                <w:rFonts w:ascii="Times New Roman" w:hAnsi="Times New Roman"/>
                <w:color w:val="000000"/>
                <w:sz w:val="24"/>
              </w:rPr>
              <w:t>），结合公司在国内的诊断产品开发、注册及商业化能力推进产品落地。</w:t>
            </w:r>
          </w:p>
          <w:p w14:paraId="3F63976F" w14:textId="3747B220" w:rsidR="005A0E21" w:rsidRDefault="00ED0E35" w:rsidP="00734A9B">
            <w:pPr>
              <w:widowControl/>
              <w:spacing w:line="360" w:lineRule="auto"/>
              <w:ind w:firstLineChars="200" w:firstLine="480"/>
            </w:pPr>
            <w:r>
              <w:rPr>
                <w:rFonts w:ascii="Times New Roman" w:hAnsi="Times New Roman"/>
                <w:color w:val="000000"/>
                <w:sz w:val="24"/>
              </w:rPr>
              <w:t>单分子微阵列技术</w:t>
            </w:r>
            <w:r>
              <w:rPr>
                <w:rFonts w:ascii="Times New Roman" w:hAnsi="Times New Roman" w:hint="eastAsia"/>
                <w:color w:val="000000"/>
                <w:sz w:val="24"/>
              </w:rPr>
              <w:t>创始人为</w:t>
            </w:r>
            <w:r w:rsidRPr="00ED0E35">
              <w:rPr>
                <w:rFonts w:ascii="Times New Roman" w:hAnsi="Times New Roman"/>
                <w:color w:val="000000"/>
                <w:sz w:val="24"/>
              </w:rPr>
              <w:t>David R. Walt</w:t>
            </w:r>
            <w:r>
              <w:rPr>
                <w:rFonts w:ascii="Times New Roman" w:hAnsi="Times New Roman" w:hint="eastAsia"/>
                <w:color w:val="000000"/>
                <w:sz w:val="24"/>
              </w:rPr>
              <w:t>教授，其同时系</w:t>
            </w:r>
            <w:r>
              <w:rPr>
                <w:rFonts w:ascii="Times New Roman" w:hAnsi="Times New Roman"/>
                <w:color w:val="000000"/>
                <w:sz w:val="24"/>
              </w:rPr>
              <w:t>Quanterix Corporation</w:t>
            </w:r>
            <w:r>
              <w:rPr>
                <w:rFonts w:ascii="Times New Roman" w:hAnsi="Times New Roman" w:hint="eastAsia"/>
                <w:color w:val="000000"/>
                <w:sz w:val="24"/>
              </w:rPr>
              <w:t>与</w:t>
            </w:r>
            <w:r>
              <w:rPr>
                <w:rFonts w:ascii="Times New Roman" w:hAnsi="Times New Roman" w:hint="eastAsia"/>
                <w:color w:val="000000"/>
                <w:sz w:val="24"/>
              </w:rPr>
              <w:t>Illumina</w:t>
            </w:r>
            <w:r>
              <w:rPr>
                <w:rFonts w:ascii="Times New Roman" w:hAnsi="Times New Roman" w:hint="eastAsia"/>
                <w:color w:val="000000"/>
                <w:sz w:val="24"/>
              </w:rPr>
              <w:t>公司的科学创始人，该</w:t>
            </w:r>
            <w:r w:rsidR="00730EF6">
              <w:rPr>
                <w:rFonts w:ascii="Times New Roman" w:hAnsi="Times New Roman" w:hint="eastAsia"/>
                <w:color w:val="000000"/>
                <w:sz w:val="24"/>
              </w:rPr>
              <w:t>技术</w:t>
            </w:r>
            <w:r w:rsidR="00C12B34">
              <w:rPr>
                <w:rFonts w:ascii="Times New Roman" w:hAnsi="Times New Roman"/>
                <w:color w:val="000000"/>
                <w:sz w:val="24"/>
              </w:rPr>
              <w:t>通过对微量蛋白信号进行数字化检测，</w:t>
            </w:r>
            <w:r w:rsidR="000B5FD6">
              <w:rPr>
                <w:rFonts w:ascii="Times New Roman" w:hAnsi="Times New Roman" w:hint="eastAsia"/>
                <w:color w:val="000000"/>
                <w:sz w:val="24"/>
              </w:rPr>
              <w:t>灵敏度较传统</w:t>
            </w:r>
            <w:r w:rsidR="000B5FD6">
              <w:rPr>
                <w:rFonts w:ascii="Times New Roman" w:hAnsi="Times New Roman" w:hint="eastAsia"/>
                <w:color w:val="000000"/>
                <w:sz w:val="24"/>
              </w:rPr>
              <w:t>ELISA</w:t>
            </w:r>
            <w:r w:rsidR="000B5FD6">
              <w:rPr>
                <w:rFonts w:ascii="Times New Roman" w:hAnsi="Times New Roman" w:hint="eastAsia"/>
                <w:color w:val="000000"/>
                <w:sz w:val="24"/>
              </w:rPr>
              <w:t>方法提升了</w:t>
            </w:r>
            <w:r w:rsidR="000B5FD6">
              <w:rPr>
                <w:rFonts w:ascii="Times New Roman" w:hAnsi="Times New Roman" w:hint="eastAsia"/>
                <w:color w:val="000000"/>
                <w:sz w:val="24"/>
              </w:rPr>
              <w:t>1000</w:t>
            </w:r>
            <w:r w:rsidR="000B5FD6">
              <w:rPr>
                <w:rFonts w:ascii="Times New Roman" w:hAnsi="Times New Roman" w:hint="eastAsia"/>
                <w:color w:val="000000"/>
                <w:sz w:val="24"/>
              </w:rPr>
              <w:t>倍（详见</w:t>
            </w:r>
            <w:bookmarkStart w:id="4" w:name="OLE_LINK2"/>
            <w:r w:rsidR="000B5FD6">
              <w:rPr>
                <w:rFonts w:ascii="Times New Roman" w:hAnsi="Times New Roman" w:hint="eastAsia"/>
                <w:color w:val="000000"/>
                <w:sz w:val="24"/>
              </w:rPr>
              <w:t>《</w:t>
            </w:r>
            <w:r w:rsidR="000B5FD6" w:rsidRPr="000B5FD6">
              <w:rPr>
                <w:rFonts w:ascii="Times New Roman" w:hAnsi="Times New Roman"/>
                <w:color w:val="000000"/>
                <w:sz w:val="24"/>
              </w:rPr>
              <w:t>阿尔茨海默病血液蛋白标志物及其检测技术专家共识（</w:t>
            </w:r>
            <w:r w:rsidR="000B5FD6" w:rsidRPr="000B5FD6">
              <w:rPr>
                <w:rFonts w:ascii="Times New Roman" w:hAnsi="Times New Roman"/>
                <w:color w:val="000000"/>
                <w:sz w:val="24"/>
              </w:rPr>
              <w:t>2026</w:t>
            </w:r>
            <w:r w:rsidR="000B5FD6" w:rsidRPr="000B5FD6">
              <w:rPr>
                <w:rFonts w:ascii="Times New Roman" w:hAnsi="Times New Roman"/>
                <w:color w:val="000000"/>
                <w:sz w:val="24"/>
              </w:rPr>
              <w:t>版）</w:t>
            </w:r>
            <w:r w:rsidR="000B5FD6">
              <w:rPr>
                <w:rFonts w:ascii="Times New Roman" w:hAnsi="Times New Roman" w:hint="eastAsia"/>
                <w:color w:val="000000"/>
                <w:sz w:val="24"/>
              </w:rPr>
              <w:t>》</w:t>
            </w:r>
            <w:bookmarkEnd w:id="4"/>
            <w:r w:rsidR="000B5FD6">
              <w:rPr>
                <w:rFonts w:ascii="Times New Roman" w:hAnsi="Times New Roman" w:hint="eastAsia"/>
                <w:color w:val="000000"/>
                <w:sz w:val="24"/>
              </w:rPr>
              <w:t>），</w:t>
            </w:r>
            <w:r w:rsidR="00730EF6">
              <w:rPr>
                <w:rFonts w:ascii="Times New Roman" w:hAnsi="Times New Roman" w:hint="eastAsia"/>
                <w:color w:val="000000"/>
                <w:sz w:val="24"/>
              </w:rPr>
              <w:t>大大</w:t>
            </w:r>
            <w:r w:rsidR="00730EF6" w:rsidRPr="00730EF6">
              <w:rPr>
                <w:rFonts w:ascii="Times New Roman" w:hAnsi="Times New Roman"/>
                <w:color w:val="000000"/>
                <w:sz w:val="24"/>
              </w:rPr>
              <w:t>提高</w:t>
            </w:r>
            <w:r w:rsidR="00730EF6">
              <w:rPr>
                <w:rFonts w:ascii="Times New Roman" w:hAnsi="Times New Roman" w:hint="eastAsia"/>
                <w:color w:val="000000"/>
                <w:sz w:val="24"/>
              </w:rPr>
              <w:t>了对</w:t>
            </w:r>
            <w:r w:rsidR="00730EF6" w:rsidRPr="00730EF6">
              <w:rPr>
                <w:rFonts w:ascii="Times New Roman" w:hAnsi="Times New Roman"/>
                <w:color w:val="000000"/>
                <w:sz w:val="24"/>
              </w:rPr>
              <w:t>低丰度生物标志物的检测能力，</w:t>
            </w:r>
            <w:r w:rsidR="00C12B34">
              <w:rPr>
                <w:rFonts w:ascii="Times New Roman" w:hAnsi="Times New Roman"/>
                <w:color w:val="000000"/>
                <w:sz w:val="24"/>
              </w:rPr>
              <w:t>为神经系统疾病相关血液标志物的检测提供技术支持。公司看重其平台的扩展性，将结合临床需求和研发验证进展，持续丰富检测项目，并探索神经系统检测及感染等领域的应用。</w:t>
            </w:r>
          </w:p>
          <w:p w14:paraId="6AB54D7F" w14:textId="77777777" w:rsidR="005A0E21" w:rsidRDefault="00C12B34" w:rsidP="00734A9B">
            <w:pPr>
              <w:keepNext/>
              <w:widowControl/>
              <w:spacing w:line="360" w:lineRule="auto"/>
              <w:ind w:firstLineChars="200" w:firstLine="482"/>
            </w:pPr>
            <w:r>
              <w:rPr>
                <w:rFonts w:ascii="Times New Roman" w:hAnsi="Times New Roman"/>
                <w:b/>
                <w:color w:val="000000"/>
                <w:sz w:val="24"/>
              </w:rPr>
              <w:t>4</w:t>
            </w:r>
            <w:r>
              <w:rPr>
                <w:rFonts w:ascii="Times New Roman" w:hAnsi="Times New Roman"/>
                <w:b/>
                <w:color w:val="000000"/>
                <w:sz w:val="24"/>
              </w:rPr>
              <w:t>、公司神经系统检测产品目前有哪些获证进展？</w:t>
            </w:r>
          </w:p>
          <w:p w14:paraId="486AE89D" w14:textId="3544E9BA" w:rsidR="005A0E21" w:rsidRDefault="00C12B34" w:rsidP="00734A9B">
            <w:pPr>
              <w:widowControl/>
              <w:spacing w:line="360" w:lineRule="auto"/>
              <w:ind w:firstLineChars="200" w:firstLine="480"/>
            </w:pPr>
            <w:r>
              <w:rPr>
                <w:rFonts w:ascii="Times New Roman" w:hAnsi="Times New Roman"/>
                <w:color w:val="000000"/>
                <w:sz w:val="24"/>
              </w:rPr>
              <w:t>公司已</w:t>
            </w:r>
            <w:r w:rsidR="009F17EA">
              <w:rPr>
                <w:rFonts w:ascii="Times New Roman" w:hAnsi="Times New Roman" w:hint="eastAsia"/>
                <w:color w:val="000000"/>
                <w:sz w:val="24"/>
              </w:rPr>
              <w:t>作为获证主体</w:t>
            </w:r>
            <w:r>
              <w:rPr>
                <w:rFonts w:ascii="Times New Roman" w:hAnsi="Times New Roman"/>
                <w:color w:val="000000"/>
                <w:sz w:val="24"/>
              </w:rPr>
              <w:t>取得数字化单分子免疫分析仪、全自动数字化单分子免疫分析仪，以及磷酸化</w:t>
            </w:r>
            <w:r>
              <w:rPr>
                <w:rFonts w:ascii="Times New Roman" w:hAnsi="Times New Roman"/>
                <w:color w:val="000000"/>
                <w:sz w:val="24"/>
              </w:rPr>
              <w:t>Tau 217</w:t>
            </w:r>
            <w:r>
              <w:rPr>
                <w:rFonts w:ascii="Times New Roman" w:hAnsi="Times New Roman"/>
                <w:color w:val="000000"/>
                <w:sz w:val="24"/>
              </w:rPr>
              <w:t>蛋白（</w:t>
            </w:r>
            <w:r>
              <w:rPr>
                <w:rFonts w:ascii="Times New Roman" w:hAnsi="Times New Roman"/>
                <w:color w:val="000000"/>
                <w:sz w:val="24"/>
              </w:rPr>
              <w:t>p-Tau 217</w:t>
            </w:r>
            <w:r>
              <w:rPr>
                <w:rFonts w:ascii="Times New Roman" w:hAnsi="Times New Roman"/>
                <w:color w:val="000000"/>
                <w:sz w:val="24"/>
              </w:rPr>
              <w:t>）、磷酸化</w:t>
            </w:r>
            <w:r>
              <w:rPr>
                <w:rFonts w:ascii="Times New Roman" w:hAnsi="Times New Roman"/>
                <w:color w:val="000000"/>
                <w:sz w:val="24"/>
              </w:rPr>
              <w:t>Tau 181</w:t>
            </w:r>
            <w:r>
              <w:rPr>
                <w:rFonts w:ascii="Times New Roman" w:hAnsi="Times New Roman"/>
                <w:color w:val="000000"/>
                <w:sz w:val="24"/>
              </w:rPr>
              <w:t>蛋白（</w:t>
            </w:r>
            <w:r>
              <w:rPr>
                <w:rFonts w:ascii="Times New Roman" w:hAnsi="Times New Roman"/>
                <w:color w:val="000000"/>
                <w:sz w:val="24"/>
              </w:rPr>
              <w:t>p-Tau 181</w:t>
            </w:r>
            <w:r>
              <w:rPr>
                <w:rFonts w:ascii="Times New Roman" w:hAnsi="Times New Roman"/>
                <w:color w:val="000000"/>
                <w:sz w:val="24"/>
              </w:rPr>
              <w:t>）、神经丝轻链蛋白（</w:t>
            </w:r>
            <w:r>
              <w:rPr>
                <w:rFonts w:ascii="Times New Roman" w:hAnsi="Times New Roman"/>
                <w:color w:val="000000"/>
                <w:sz w:val="24"/>
              </w:rPr>
              <w:t>NfL</w:t>
            </w:r>
            <w:r>
              <w:rPr>
                <w:rFonts w:ascii="Times New Roman" w:hAnsi="Times New Roman"/>
                <w:color w:val="000000"/>
                <w:sz w:val="24"/>
              </w:rPr>
              <w:t>）、胶质纤维酸性蛋白（</w:t>
            </w:r>
            <w:r>
              <w:rPr>
                <w:rFonts w:ascii="Times New Roman" w:hAnsi="Times New Roman"/>
                <w:color w:val="000000"/>
                <w:sz w:val="24"/>
              </w:rPr>
              <w:t>GFAP</w:t>
            </w:r>
            <w:r>
              <w:rPr>
                <w:rFonts w:ascii="Times New Roman" w:hAnsi="Times New Roman"/>
                <w:color w:val="000000"/>
                <w:sz w:val="24"/>
              </w:rPr>
              <w:t>）</w:t>
            </w:r>
            <w:r>
              <w:rPr>
                <w:rFonts w:ascii="Times New Roman" w:hAnsi="Times New Roman"/>
                <w:color w:val="000000"/>
                <w:sz w:val="24"/>
              </w:rPr>
              <w:lastRenderedPageBreak/>
              <w:t>四项</w:t>
            </w:r>
            <w:r w:rsidR="002D0D78">
              <w:rPr>
                <w:rFonts w:ascii="Times New Roman" w:hAnsi="Times New Roman" w:hint="eastAsia"/>
                <w:color w:val="000000"/>
                <w:sz w:val="24"/>
              </w:rPr>
              <w:t>核心</w:t>
            </w:r>
            <w:r>
              <w:rPr>
                <w:rFonts w:ascii="Times New Roman" w:hAnsi="Times New Roman"/>
                <w:color w:val="000000"/>
                <w:sz w:val="24"/>
              </w:rPr>
              <w:t>标志物配套测定试剂盒的产品注册证。</w:t>
            </w:r>
            <w:r w:rsidR="002D0D78">
              <w:rPr>
                <w:rFonts w:ascii="Times New Roman" w:hAnsi="Times New Roman" w:hint="eastAsia"/>
                <w:color w:val="000000"/>
                <w:sz w:val="24"/>
              </w:rPr>
              <w:t>相关检测指标的价值可参考《</w:t>
            </w:r>
            <w:r w:rsidR="002D0D78" w:rsidRPr="000B5FD6">
              <w:rPr>
                <w:rFonts w:ascii="Times New Roman" w:hAnsi="Times New Roman"/>
                <w:color w:val="000000"/>
                <w:sz w:val="24"/>
              </w:rPr>
              <w:t>阿尔茨海默病血液蛋白标志物及其检测技术专家共识（</w:t>
            </w:r>
            <w:r w:rsidR="002D0D78" w:rsidRPr="000B5FD6">
              <w:rPr>
                <w:rFonts w:ascii="Times New Roman" w:hAnsi="Times New Roman"/>
                <w:color w:val="000000"/>
                <w:sz w:val="24"/>
              </w:rPr>
              <w:t>2026</w:t>
            </w:r>
            <w:r w:rsidR="002D0D78" w:rsidRPr="000B5FD6">
              <w:rPr>
                <w:rFonts w:ascii="Times New Roman" w:hAnsi="Times New Roman"/>
                <w:color w:val="000000"/>
                <w:sz w:val="24"/>
              </w:rPr>
              <w:t>版）</w:t>
            </w:r>
            <w:r w:rsidR="002D0D78">
              <w:rPr>
                <w:rFonts w:ascii="Times New Roman" w:hAnsi="Times New Roman" w:hint="eastAsia"/>
                <w:color w:val="000000"/>
                <w:sz w:val="24"/>
              </w:rPr>
              <w:t>》。</w:t>
            </w:r>
          </w:p>
          <w:p w14:paraId="486AA2F4" w14:textId="30D47BD1" w:rsidR="005A0E21" w:rsidRDefault="00C12B34" w:rsidP="00734A9B">
            <w:pPr>
              <w:widowControl/>
              <w:spacing w:line="360" w:lineRule="auto"/>
              <w:ind w:firstLineChars="200" w:firstLine="480"/>
            </w:pPr>
            <w:r>
              <w:rPr>
                <w:rFonts w:ascii="Times New Roman" w:hAnsi="Times New Roman"/>
                <w:color w:val="000000"/>
                <w:sz w:val="24"/>
              </w:rPr>
              <w:t>上述进展使公司形成了仪器与</w:t>
            </w:r>
            <w:r w:rsidR="009F17EA">
              <w:rPr>
                <w:rFonts w:ascii="Times New Roman" w:hAnsi="Times New Roman" w:hint="eastAsia"/>
                <w:color w:val="000000"/>
                <w:sz w:val="24"/>
              </w:rPr>
              <w:t>核心</w:t>
            </w:r>
            <w:r>
              <w:rPr>
                <w:rFonts w:ascii="Times New Roman" w:hAnsi="Times New Roman"/>
                <w:color w:val="000000"/>
                <w:sz w:val="24"/>
              </w:rPr>
              <w:t>配套试剂的产品组合，为相关检测产品的临床推广和商业化奠定基础。检测结果应结合临床信息综合判断，产品获证不等同于已实现规模化销售，实际销售及利润贡献仍存在不确定性。</w:t>
            </w:r>
          </w:p>
          <w:p w14:paraId="3DFA5544" w14:textId="77777777" w:rsidR="005A0E21" w:rsidRDefault="00C12B34" w:rsidP="001E6E15">
            <w:pPr>
              <w:keepNext/>
              <w:widowControl/>
              <w:spacing w:line="360" w:lineRule="auto"/>
              <w:ind w:firstLineChars="200" w:firstLine="482"/>
            </w:pPr>
            <w:r>
              <w:rPr>
                <w:rFonts w:ascii="Times New Roman" w:hAnsi="Times New Roman"/>
                <w:b/>
                <w:color w:val="000000"/>
                <w:sz w:val="24"/>
              </w:rPr>
              <w:t>5</w:t>
            </w:r>
            <w:r>
              <w:rPr>
                <w:rFonts w:ascii="Times New Roman" w:hAnsi="Times New Roman"/>
                <w:b/>
                <w:color w:val="000000"/>
                <w:sz w:val="24"/>
              </w:rPr>
              <w:t>、神经系统检测业务将如何推进商业化，目前的重点是什么？</w:t>
            </w:r>
          </w:p>
          <w:p w14:paraId="47A5D763" w14:textId="5ABC401C" w:rsidR="005A0E21" w:rsidRDefault="00096B29" w:rsidP="00734A9B">
            <w:pPr>
              <w:widowControl/>
              <w:spacing w:line="360" w:lineRule="auto"/>
              <w:ind w:firstLineChars="200" w:firstLine="480"/>
            </w:pPr>
            <w:r>
              <w:rPr>
                <w:rFonts w:ascii="Times New Roman" w:hAnsi="Times New Roman"/>
                <w:color w:val="000000"/>
                <w:sz w:val="24"/>
              </w:rPr>
              <w:t>该业务由获证走向规模化应用，需要经历医院准入、临床认知建立及检测需求培育等过程</w:t>
            </w:r>
            <w:r>
              <w:rPr>
                <w:rFonts w:ascii="Times New Roman" w:hAnsi="Times New Roman" w:hint="eastAsia"/>
                <w:color w:val="000000"/>
                <w:sz w:val="24"/>
              </w:rPr>
              <w:t>，</w:t>
            </w:r>
            <w:r w:rsidR="00C12B34">
              <w:rPr>
                <w:rFonts w:ascii="Times New Roman" w:hAnsi="Times New Roman"/>
                <w:color w:val="000000"/>
                <w:sz w:val="24"/>
              </w:rPr>
              <w:t>公司现阶段重点</w:t>
            </w:r>
            <w:r>
              <w:rPr>
                <w:rFonts w:ascii="Times New Roman" w:hAnsi="Times New Roman" w:hint="eastAsia"/>
                <w:color w:val="000000"/>
                <w:sz w:val="24"/>
              </w:rPr>
              <w:t>是</w:t>
            </w:r>
            <w:r w:rsidR="00C12B34">
              <w:rPr>
                <w:rFonts w:ascii="Times New Roman" w:hAnsi="Times New Roman"/>
                <w:color w:val="000000"/>
                <w:sz w:val="24"/>
              </w:rPr>
              <w:t>推进标杆医院的临床应用沟通、进院准备及市场推广。</w:t>
            </w:r>
          </w:p>
          <w:p w14:paraId="29B7D76D" w14:textId="4F193638" w:rsidR="005A0E21" w:rsidRDefault="00C12B34" w:rsidP="00734A9B">
            <w:pPr>
              <w:keepNext/>
              <w:widowControl/>
              <w:spacing w:line="360" w:lineRule="auto"/>
              <w:ind w:firstLineChars="200" w:firstLine="482"/>
            </w:pPr>
            <w:r>
              <w:rPr>
                <w:rFonts w:ascii="Times New Roman" w:hAnsi="Times New Roman"/>
                <w:b/>
                <w:color w:val="000000"/>
                <w:sz w:val="24"/>
              </w:rPr>
              <w:t>6</w:t>
            </w:r>
            <w:r>
              <w:rPr>
                <w:rFonts w:ascii="Times New Roman" w:hAnsi="Times New Roman"/>
                <w:b/>
                <w:color w:val="000000"/>
                <w:sz w:val="24"/>
              </w:rPr>
              <w:t>、公司</w:t>
            </w:r>
            <w:r w:rsidR="00AC6924">
              <w:rPr>
                <w:rFonts w:ascii="Times New Roman" w:hAnsi="Times New Roman" w:hint="eastAsia"/>
                <w:b/>
                <w:color w:val="000000"/>
                <w:sz w:val="24"/>
              </w:rPr>
              <w:t>产业基金</w:t>
            </w:r>
            <w:r>
              <w:rPr>
                <w:rFonts w:ascii="Times New Roman" w:hAnsi="Times New Roman"/>
                <w:b/>
                <w:color w:val="000000"/>
                <w:sz w:val="24"/>
              </w:rPr>
              <w:t>为什么选择投资微灵医疗？</w:t>
            </w:r>
          </w:p>
          <w:p w14:paraId="0CD026C6" w14:textId="58299AB8" w:rsidR="005A0E21" w:rsidRDefault="00C12B34" w:rsidP="00734A9B">
            <w:pPr>
              <w:widowControl/>
              <w:spacing w:line="360" w:lineRule="auto"/>
              <w:ind w:firstLineChars="200" w:firstLine="480"/>
            </w:pPr>
            <w:bookmarkStart w:id="5" w:name="OLE_LINK4"/>
            <w:r>
              <w:rPr>
                <w:rFonts w:ascii="Times New Roman" w:hAnsi="Times New Roman" w:hint="eastAsia"/>
                <w:color w:val="000000"/>
                <w:sz w:val="24"/>
              </w:rPr>
              <w:t>公司参与设立的</w:t>
            </w:r>
            <w:r w:rsidR="001F2880">
              <w:rPr>
                <w:rFonts w:ascii="Times New Roman" w:hAnsi="Times New Roman" w:hint="eastAsia"/>
                <w:color w:val="000000"/>
                <w:sz w:val="24"/>
              </w:rPr>
              <w:t>产业基金</w:t>
            </w:r>
            <w:r>
              <w:rPr>
                <w:rFonts w:ascii="Times New Roman" w:hAnsi="Times New Roman" w:hint="eastAsia"/>
                <w:color w:val="000000"/>
                <w:sz w:val="24"/>
              </w:rPr>
              <w:t>嘉兴英诺特股权投资合伙企业（有限合伙）</w:t>
            </w:r>
            <w:bookmarkStart w:id="6" w:name="OLE_LINK3"/>
            <w:bookmarkEnd w:id="5"/>
            <w:r w:rsidR="00570B3D">
              <w:rPr>
                <w:rFonts w:ascii="Times New Roman" w:hAnsi="Times New Roman" w:hint="eastAsia"/>
                <w:color w:val="000000"/>
                <w:sz w:val="24"/>
              </w:rPr>
              <w:t>重仓投资了</w:t>
            </w:r>
            <w:r w:rsidR="00570B3D" w:rsidRPr="00BE7B11">
              <w:rPr>
                <w:rFonts w:ascii="Times New Roman" w:hAnsi="Times New Roman" w:hint="eastAsia"/>
                <w:color w:val="000000"/>
                <w:sz w:val="24"/>
              </w:rPr>
              <w:t>深圳微灵医疗科技有限公司（以下简称“微灵医疗”）</w:t>
            </w:r>
            <w:bookmarkEnd w:id="6"/>
            <w:r w:rsidR="0075799A">
              <w:rPr>
                <w:rFonts w:ascii="Times New Roman" w:hAnsi="Times New Roman" w:hint="eastAsia"/>
                <w:color w:val="000000"/>
                <w:sz w:val="24"/>
              </w:rPr>
              <w:t>，待相关投资交割完成后，产业基金将作为</w:t>
            </w:r>
            <w:r w:rsidR="00BE7B11">
              <w:rPr>
                <w:rFonts w:ascii="Times New Roman" w:hAnsi="Times New Roman" w:hint="eastAsia"/>
                <w:color w:val="000000"/>
                <w:sz w:val="24"/>
              </w:rPr>
              <w:t>微灵医疗</w:t>
            </w:r>
            <w:r w:rsidR="00FB6396">
              <w:rPr>
                <w:rFonts w:ascii="Times New Roman" w:hAnsi="Times New Roman" w:hint="eastAsia"/>
                <w:color w:val="000000"/>
                <w:sz w:val="24"/>
              </w:rPr>
              <w:t>重要</w:t>
            </w:r>
            <w:r w:rsidR="0075799A">
              <w:rPr>
                <w:rFonts w:ascii="Times New Roman" w:hAnsi="Times New Roman" w:hint="eastAsia"/>
                <w:color w:val="000000"/>
                <w:sz w:val="24"/>
              </w:rPr>
              <w:t>股东</w:t>
            </w:r>
            <w:r w:rsidR="00DC672B">
              <w:rPr>
                <w:rFonts w:ascii="Times New Roman" w:hAnsi="Times New Roman" w:hint="eastAsia"/>
                <w:color w:val="000000"/>
                <w:sz w:val="24"/>
              </w:rPr>
              <w:t>，相关信息可参考被投公司公开发布的融资概况</w:t>
            </w:r>
            <w:r w:rsidR="00910824">
              <w:rPr>
                <w:rFonts w:ascii="Times New Roman" w:hAnsi="Times New Roman" w:hint="eastAsia"/>
                <w:color w:val="000000"/>
                <w:sz w:val="24"/>
              </w:rPr>
              <w:t>。产业基金投资微灵医疗</w:t>
            </w:r>
            <w:r>
              <w:rPr>
                <w:rFonts w:ascii="Times New Roman" w:hAnsi="Times New Roman" w:hint="eastAsia"/>
                <w:color w:val="000000"/>
                <w:sz w:val="24"/>
              </w:rPr>
              <w:t>主要看重其以临床需求为导向的研发思路，以及医学研究与工程技术相结合的能力。</w:t>
            </w:r>
          </w:p>
          <w:p w14:paraId="286C39EC" w14:textId="77777777" w:rsidR="005A0E21" w:rsidRDefault="00C12B34" w:rsidP="00734A9B">
            <w:pPr>
              <w:widowControl/>
              <w:spacing w:line="360" w:lineRule="auto"/>
              <w:ind w:firstLineChars="200" w:firstLine="480"/>
            </w:pPr>
            <w:r>
              <w:rPr>
                <w:rFonts w:ascii="Times New Roman" w:hAnsi="Times New Roman"/>
                <w:color w:val="000000"/>
                <w:sz w:val="24"/>
              </w:rPr>
              <w:t>脑机接口技术能否进入医疗应用，关键在于能否为具体诊疗问题提供有价值的解决方案。微灵医疗关注神经外科术前评估、术中监测和神经功能修复等场景，将神经信号采集、分析与临床需求相结合。公司认为，这种从明确的医学问题出发确定产品方向的路径，有助于建立产品研发与临床应用之间的联系，是公司判断项目价值的重要依据。</w:t>
            </w:r>
          </w:p>
          <w:p w14:paraId="5AF6CADB" w14:textId="77777777" w:rsidR="005A0E21" w:rsidRDefault="00C12B34" w:rsidP="00734A9B">
            <w:pPr>
              <w:widowControl/>
              <w:spacing w:line="360" w:lineRule="auto"/>
              <w:ind w:firstLineChars="200" w:firstLine="480"/>
            </w:pPr>
            <w:r>
              <w:rPr>
                <w:rFonts w:ascii="Times New Roman" w:hAnsi="Times New Roman"/>
                <w:color w:val="000000"/>
                <w:sz w:val="24"/>
              </w:rPr>
              <w:t>此外，公司已布局神经系统疾病检测业务，对相关疾病及临床需求的理解，有助于公司评估项目的应用价值，并与被投企业探讨产业化合作。该项投资体现了公司围绕脑健康领域持续积累产业能力的发展思路。</w:t>
            </w:r>
          </w:p>
          <w:p w14:paraId="600CCD18" w14:textId="2AB34210" w:rsidR="005A0E21" w:rsidRDefault="00F92663" w:rsidP="00734A9B">
            <w:pPr>
              <w:keepNext/>
              <w:widowControl/>
              <w:spacing w:line="360" w:lineRule="auto"/>
              <w:ind w:firstLineChars="200" w:firstLine="482"/>
            </w:pPr>
            <w:r>
              <w:rPr>
                <w:rFonts w:ascii="Times New Roman" w:hAnsi="Times New Roman" w:hint="eastAsia"/>
                <w:b/>
                <w:color w:val="000000"/>
                <w:sz w:val="24"/>
              </w:rPr>
              <w:t>7</w:t>
            </w:r>
            <w:r w:rsidR="00C12B34">
              <w:rPr>
                <w:rFonts w:ascii="Times New Roman" w:hAnsi="Times New Roman"/>
                <w:b/>
                <w:color w:val="000000"/>
                <w:sz w:val="24"/>
              </w:rPr>
              <w:t>、公司投资士泽生物的逻辑是什么，与脑健康布局有什么关系？</w:t>
            </w:r>
          </w:p>
          <w:p w14:paraId="6624FB11" w14:textId="02790A56" w:rsidR="005A0E21" w:rsidRDefault="00546EF1" w:rsidP="00734A9B">
            <w:pPr>
              <w:widowControl/>
              <w:spacing w:line="360" w:lineRule="auto"/>
              <w:ind w:firstLineChars="200" w:firstLine="480"/>
            </w:pPr>
            <w:r>
              <w:rPr>
                <w:rFonts w:ascii="Times New Roman" w:hAnsi="Times New Roman" w:hint="eastAsia"/>
                <w:color w:val="000000"/>
                <w:sz w:val="24"/>
              </w:rPr>
              <w:t>公司参与设立的产业基金嘉兴英诺特股权投资合伙企业（有限合伙）</w:t>
            </w:r>
            <w:r w:rsidR="00DC672B">
              <w:rPr>
                <w:rFonts w:ascii="Times New Roman" w:hAnsi="Times New Roman" w:hint="eastAsia"/>
                <w:color w:val="000000"/>
                <w:sz w:val="24"/>
              </w:rPr>
              <w:t>参股</w:t>
            </w:r>
            <w:r w:rsidR="00C12B34">
              <w:rPr>
                <w:rFonts w:ascii="Times New Roman" w:hAnsi="Times New Roman" w:hint="eastAsia"/>
                <w:color w:val="000000"/>
                <w:sz w:val="24"/>
              </w:rPr>
              <w:t>投资</w:t>
            </w:r>
            <w:r>
              <w:rPr>
                <w:rFonts w:ascii="Times New Roman" w:hAnsi="Times New Roman" w:hint="eastAsia"/>
                <w:color w:val="000000"/>
                <w:sz w:val="24"/>
              </w:rPr>
              <w:t>了</w:t>
            </w:r>
            <w:bookmarkStart w:id="7" w:name="OLE_LINK5"/>
            <w:r w:rsidRPr="00546EF1">
              <w:rPr>
                <w:rFonts w:ascii="Times New Roman" w:hAnsi="Times New Roman" w:hint="eastAsia"/>
                <w:color w:val="000000"/>
                <w:sz w:val="24"/>
              </w:rPr>
              <w:t>士泽生物医药（苏州）有限公司（以下简称“士泽生物”）</w:t>
            </w:r>
            <w:bookmarkEnd w:id="7"/>
            <w:r w:rsidR="00C12B34">
              <w:rPr>
                <w:rFonts w:ascii="Times New Roman" w:hAnsi="Times New Roman" w:hint="eastAsia"/>
                <w:color w:val="000000"/>
                <w:sz w:val="24"/>
              </w:rPr>
              <w:t>，</w:t>
            </w:r>
            <w:r w:rsidR="00DC5142">
              <w:rPr>
                <w:rFonts w:ascii="Times New Roman" w:hAnsi="Times New Roman" w:hint="eastAsia"/>
                <w:color w:val="000000"/>
                <w:sz w:val="24"/>
              </w:rPr>
              <w:t>投资士泽生物一方面</w:t>
            </w:r>
            <w:r w:rsidR="00C12B34">
              <w:rPr>
                <w:rFonts w:ascii="Times New Roman" w:hAnsi="Times New Roman"/>
                <w:color w:val="000000"/>
                <w:sz w:val="24"/>
              </w:rPr>
              <w:t>主要关注其围绕神经系统疾病开展细胞治疗研发的方向，与公司脑健康布局的潜在互补性</w:t>
            </w:r>
            <w:r w:rsidR="002D6EA4">
              <w:rPr>
                <w:rFonts w:ascii="Times New Roman" w:hAnsi="Times New Roman" w:hint="eastAsia"/>
                <w:color w:val="000000"/>
                <w:sz w:val="24"/>
              </w:rPr>
              <w:t>；另一方面</w:t>
            </w:r>
            <w:r w:rsidR="002F1F15">
              <w:rPr>
                <w:rFonts w:ascii="Times New Roman" w:hAnsi="Times New Roman" w:hint="eastAsia"/>
                <w:color w:val="000000"/>
                <w:sz w:val="24"/>
              </w:rPr>
              <w:t>则</w:t>
            </w:r>
            <w:r w:rsidR="002D6EA4">
              <w:rPr>
                <w:rFonts w:ascii="Times New Roman" w:hAnsi="Times New Roman" w:hint="eastAsia"/>
                <w:color w:val="000000"/>
                <w:sz w:val="24"/>
              </w:rPr>
              <w:t>从神经修复</w:t>
            </w:r>
            <w:r w:rsidR="002F1F15">
              <w:rPr>
                <w:rFonts w:ascii="Times New Roman" w:hAnsi="Times New Roman" w:hint="eastAsia"/>
                <w:color w:val="000000"/>
                <w:sz w:val="24"/>
              </w:rPr>
              <w:t>的逻辑出发，</w:t>
            </w:r>
            <w:r w:rsidR="002F1F15">
              <w:rPr>
                <w:rFonts w:ascii="Times New Roman" w:hAnsi="Times New Roman" w:hint="eastAsia"/>
                <w:color w:val="000000"/>
                <w:sz w:val="24"/>
              </w:rPr>
              <w:lastRenderedPageBreak/>
              <w:t>看好干细胞治疗等再生医学与脑机接口等医疗器械相结合的潜在互补性</w:t>
            </w:r>
            <w:r w:rsidR="00C12B34">
              <w:rPr>
                <w:rFonts w:ascii="Times New Roman" w:hAnsi="Times New Roman"/>
                <w:color w:val="000000"/>
                <w:sz w:val="24"/>
              </w:rPr>
              <w:t>。士泽生物围绕诱导多能干细胞（</w:t>
            </w:r>
            <w:r w:rsidR="00C12B34">
              <w:rPr>
                <w:rFonts w:ascii="Times New Roman" w:hAnsi="Times New Roman"/>
                <w:color w:val="000000"/>
                <w:sz w:val="24"/>
              </w:rPr>
              <w:t>iPSC</w:t>
            </w:r>
            <w:r w:rsidR="00C12B34">
              <w:rPr>
                <w:rFonts w:ascii="Times New Roman" w:hAnsi="Times New Roman"/>
                <w:color w:val="000000"/>
                <w:sz w:val="24"/>
              </w:rPr>
              <w:t>）衍生细胞开展药物研发，其中帕金森病</w:t>
            </w:r>
            <w:r w:rsidR="00070E3F">
              <w:rPr>
                <w:rFonts w:ascii="Times New Roman" w:hAnsi="Times New Roman" w:hint="eastAsia"/>
                <w:color w:val="000000"/>
                <w:sz w:val="24"/>
              </w:rPr>
              <w:t>、脊髓损伤、渐冻症</w:t>
            </w:r>
            <w:r w:rsidR="00C12B34">
              <w:rPr>
                <w:rFonts w:ascii="Times New Roman" w:hAnsi="Times New Roman"/>
                <w:color w:val="000000"/>
                <w:sz w:val="24"/>
              </w:rPr>
              <w:t>是其重点研究方向。</w:t>
            </w:r>
          </w:p>
          <w:p w14:paraId="005AB286" w14:textId="52668F74" w:rsidR="005A0E21" w:rsidRDefault="00153F15" w:rsidP="00734A9B">
            <w:pPr>
              <w:widowControl/>
              <w:spacing w:line="360" w:lineRule="auto"/>
              <w:ind w:firstLineChars="200" w:firstLine="480"/>
            </w:pPr>
            <w:r>
              <w:rPr>
                <w:rFonts w:ascii="Times New Roman" w:hAnsi="Times New Roman" w:hint="eastAsia"/>
                <w:color w:val="000000"/>
                <w:sz w:val="24"/>
              </w:rPr>
              <w:t>另外</w:t>
            </w:r>
            <w:r w:rsidR="00C12B34">
              <w:rPr>
                <w:rFonts w:ascii="Times New Roman" w:hAnsi="Times New Roman"/>
                <w:color w:val="000000"/>
                <w:sz w:val="24"/>
              </w:rPr>
              <w:t>从产业布局看，检测提供疾病相关信息，脑机接口与细胞治疗分别探索不同的干预方式，使公司能够围绕同一疾病领域加深产业理解、拓展合作机会。不同技术之间能否形成协同，需要进一步研究；目前不能将其理解为公司已形成联合治疗方案。细胞治疗产品的安全性、有效性及商业化前景仍需临床试验和监管审批验证。</w:t>
            </w:r>
          </w:p>
          <w:p w14:paraId="327F675E" w14:textId="40E0D76A" w:rsidR="005A0E21" w:rsidRDefault="00D57FD9" w:rsidP="00734A9B">
            <w:pPr>
              <w:keepNext/>
              <w:widowControl/>
              <w:spacing w:line="360" w:lineRule="auto"/>
              <w:ind w:firstLineChars="200" w:firstLine="482"/>
            </w:pPr>
            <w:r>
              <w:rPr>
                <w:rFonts w:ascii="Times New Roman" w:hAnsi="Times New Roman" w:hint="eastAsia"/>
                <w:b/>
                <w:color w:val="000000"/>
                <w:sz w:val="24"/>
              </w:rPr>
              <w:t>8</w:t>
            </w:r>
            <w:r w:rsidR="00C12B34">
              <w:rPr>
                <w:rFonts w:ascii="Times New Roman" w:hAnsi="Times New Roman"/>
                <w:b/>
                <w:color w:val="000000"/>
                <w:sz w:val="24"/>
              </w:rPr>
              <w:t>、英诺特能为这些项目提供哪些支持，如何形成产业协同？</w:t>
            </w:r>
          </w:p>
          <w:p w14:paraId="5CAD4CD3" w14:textId="77777777" w:rsidR="005A0E21" w:rsidRDefault="00C12B34" w:rsidP="00734A9B">
            <w:pPr>
              <w:widowControl/>
              <w:spacing w:line="360" w:lineRule="auto"/>
              <w:ind w:firstLineChars="200" w:firstLine="480"/>
            </w:pPr>
            <w:r>
              <w:rPr>
                <w:rFonts w:ascii="Times New Roman" w:hAnsi="Times New Roman"/>
                <w:color w:val="000000"/>
                <w:sz w:val="24"/>
              </w:rPr>
              <w:t>公司在传染病检测业务中积累了从研发、注册、质量管理、生产到市场推广的经验，并通过神经系统检测业务持续拓展相关临床联系。这些经验为公司与创新企业就产品转化及产业化开展合作提供了基础。</w:t>
            </w:r>
          </w:p>
          <w:p w14:paraId="7F693468" w14:textId="0CB4CB96" w:rsidR="005A0E21" w:rsidRDefault="00C12B34" w:rsidP="00734A9B">
            <w:pPr>
              <w:widowControl/>
              <w:spacing w:line="360" w:lineRule="auto"/>
              <w:ind w:firstLineChars="200" w:firstLine="480"/>
            </w:pPr>
            <w:r>
              <w:rPr>
                <w:rFonts w:ascii="Times New Roman" w:hAnsi="Times New Roman"/>
                <w:color w:val="000000"/>
                <w:sz w:val="24"/>
              </w:rPr>
              <w:t>在项目选择上，公司围绕脑疾病领域的临床需求开展调研，结合技术、产品及应用场景评估投资价值；在投后工作中，公司及产业基金结合</w:t>
            </w:r>
            <w:r w:rsidR="0098251F">
              <w:rPr>
                <w:rFonts w:ascii="Times New Roman" w:hAnsi="Times New Roman" w:hint="eastAsia"/>
                <w:color w:val="000000"/>
                <w:sz w:val="24"/>
              </w:rPr>
              <w:t>部分</w:t>
            </w:r>
            <w:r>
              <w:rPr>
                <w:rFonts w:ascii="Times New Roman" w:hAnsi="Times New Roman"/>
                <w:color w:val="000000"/>
                <w:sz w:val="24"/>
              </w:rPr>
              <w:t>项目需要，协助对接产业资源、专业人才及后续融资等事项，并探索研发注册和商业化方面的合作。</w:t>
            </w:r>
          </w:p>
          <w:p w14:paraId="020C805B" w14:textId="77777777" w:rsidR="005A0E21" w:rsidRDefault="00C12B34" w:rsidP="00734A9B">
            <w:pPr>
              <w:widowControl/>
              <w:spacing w:line="360" w:lineRule="auto"/>
              <w:ind w:firstLineChars="200" w:firstLine="480"/>
            </w:pPr>
            <w:r>
              <w:rPr>
                <w:rFonts w:ascii="Times New Roman" w:hAnsi="Times New Roman"/>
                <w:color w:val="000000"/>
                <w:sz w:val="24"/>
              </w:rPr>
              <w:t>公司希望通过持续参与同一疾病领域的项目，积累对临床需求及技术路径的理解，逐步形成检测业务与产业投资相互支持的发展模式。微灵医疗、士泽生物等企业独立经营，具体合作及成果取决于各方实际推进情况。</w:t>
            </w:r>
          </w:p>
          <w:p w14:paraId="34A4DF3A" w14:textId="00A4763E" w:rsidR="005A0E21" w:rsidRDefault="00D57FD9" w:rsidP="00734A9B">
            <w:pPr>
              <w:keepNext/>
              <w:widowControl/>
              <w:spacing w:line="360" w:lineRule="auto"/>
              <w:ind w:firstLineChars="200" w:firstLine="482"/>
            </w:pPr>
            <w:r>
              <w:rPr>
                <w:rFonts w:ascii="Times New Roman" w:hAnsi="Times New Roman" w:hint="eastAsia"/>
                <w:b/>
                <w:color w:val="000000"/>
                <w:sz w:val="24"/>
              </w:rPr>
              <w:t>9</w:t>
            </w:r>
            <w:r w:rsidR="00C12B34">
              <w:rPr>
                <w:rFonts w:ascii="Times New Roman" w:hAnsi="Times New Roman"/>
                <w:b/>
                <w:color w:val="000000"/>
                <w:sz w:val="24"/>
              </w:rPr>
              <w:t>、公司后续产业投资将重点考虑哪些因素？</w:t>
            </w:r>
          </w:p>
          <w:p w14:paraId="4824B788" w14:textId="11DC4B9E" w:rsidR="00AC0A91" w:rsidRDefault="00C12B34" w:rsidP="00734A9B">
            <w:pPr>
              <w:widowControl/>
              <w:spacing w:line="360" w:lineRule="auto"/>
              <w:ind w:firstLineChars="200" w:firstLine="480"/>
              <w:rPr>
                <w:rFonts w:ascii="Times New Roman" w:hAnsi="Times New Roman"/>
                <w:color w:val="000000"/>
                <w:sz w:val="24"/>
              </w:rPr>
            </w:pPr>
            <w:r>
              <w:rPr>
                <w:rFonts w:ascii="Times New Roman" w:hAnsi="Times New Roman"/>
                <w:color w:val="000000"/>
                <w:sz w:val="24"/>
              </w:rPr>
              <w:t>公司将围绕脑健康领域，重点关注</w:t>
            </w:r>
            <w:r w:rsidR="00D406EF">
              <w:rPr>
                <w:rFonts w:ascii="Times New Roman" w:hAnsi="Times New Roman" w:hint="eastAsia"/>
                <w:color w:val="000000"/>
                <w:sz w:val="24"/>
              </w:rPr>
              <w:t>是否有</w:t>
            </w:r>
            <w:r>
              <w:rPr>
                <w:rFonts w:ascii="Times New Roman" w:hAnsi="Times New Roman"/>
                <w:color w:val="000000"/>
                <w:sz w:val="24"/>
              </w:rPr>
              <w:t>尚未充分满足的临床需求、技术和团队能力、产品验证基础，以及与公司现有业务的互补性。对于具有应用价值的相关技术、关键环节及治疗方向，公司将持续开展研究，结合项目成熟度和自身资金安排审慎选择合作方式。</w:t>
            </w:r>
          </w:p>
          <w:p w14:paraId="233760DC" w14:textId="77777777" w:rsidR="005625E6" w:rsidRDefault="005625E6" w:rsidP="00734A9B">
            <w:pPr>
              <w:widowControl/>
              <w:spacing w:line="360" w:lineRule="auto"/>
              <w:ind w:firstLineChars="200" w:firstLine="480"/>
              <w:rPr>
                <w:rFonts w:ascii="Times New Roman" w:hAnsi="Times New Roman"/>
                <w:color w:val="000000"/>
                <w:sz w:val="24"/>
              </w:rPr>
            </w:pPr>
          </w:p>
          <w:p w14:paraId="12C335C3" w14:textId="32B2AEA3" w:rsidR="005A0E21" w:rsidRDefault="00AC0A91" w:rsidP="000A71F2">
            <w:pPr>
              <w:widowControl/>
              <w:spacing w:line="360" w:lineRule="auto"/>
              <w:ind w:firstLineChars="200" w:firstLine="480"/>
            </w:pPr>
            <w:r>
              <w:rPr>
                <w:rFonts w:ascii="Times New Roman" w:hAnsi="Times New Roman" w:hint="eastAsia"/>
                <w:color w:val="000000"/>
                <w:sz w:val="24"/>
              </w:rPr>
              <w:t>风险提示：</w:t>
            </w:r>
            <w:r w:rsidR="00817AE0">
              <w:rPr>
                <w:rFonts w:ascii="Times New Roman" w:hAnsi="Times New Roman" w:hint="eastAsia"/>
                <w:color w:val="000000"/>
                <w:sz w:val="24"/>
              </w:rPr>
              <w:t>公司或公司产业基金已投资项目或未来将投资的</w:t>
            </w:r>
            <w:r w:rsidR="00C12B34">
              <w:rPr>
                <w:rFonts w:ascii="Times New Roman" w:hAnsi="Times New Roman"/>
                <w:color w:val="000000"/>
                <w:sz w:val="24"/>
              </w:rPr>
              <w:t>相关项目的研发、临床、注册及商业化均存在不确定性，不能据此推定公司未来收益或确定的收购安排</w:t>
            </w:r>
            <w:r>
              <w:rPr>
                <w:rFonts w:ascii="Times New Roman" w:hAnsi="Times New Roman" w:hint="eastAsia"/>
                <w:color w:val="000000"/>
                <w:sz w:val="24"/>
              </w:rPr>
              <w:t>，提请注意投资风险</w:t>
            </w:r>
            <w:r w:rsidR="00C12B34">
              <w:rPr>
                <w:rFonts w:ascii="Times New Roman" w:hAnsi="Times New Roman"/>
                <w:color w:val="000000"/>
                <w:sz w:val="24"/>
              </w:rPr>
              <w:t>。</w:t>
            </w:r>
          </w:p>
        </w:tc>
        <w:bookmarkEnd w:id="1"/>
      </w:tr>
      <w:tr w:rsidR="003136B1" w14:paraId="17B1A3D3" w14:textId="77777777" w:rsidTr="009D1E17">
        <w:trPr>
          <w:trHeight w:val="397"/>
          <w:jc w:val="center"/>
        </w:trPr>
        <w:tc>
          <w:tcPr>
            <w:tcW w:w="1970" w:type="dxa"/>
            <w:tcBorders>
              <w:top w:val="single" w:sz="6" w:space="0" w:color="auto"/>
              <w:left w:val="single" w:sz="12" w:space="0" w:color="auto"/>
              <w:bottom w:val="single" w:sz="6" w:space="0" w:color="auto"/>
              <w:right w:val="single" w:sz="6" w:space="0" w:color="auto"/>
            </w:tcBorders>
            <w:vAlign w:val="center"/>
          </w:tcPr>
          <w:p w14:paraId="1A2B26C9" w14:textId="77777777" w:rsidR="003136B1" w:rsidRDefault="00431B80">
            <w:pPr>
              <w:rPr>
                <w:rFonts w:ascii="宋体" w:hAnsi="宋体" w:hint="eastAsia"/>
                <w:b/>
                <w:bCs/>
                <w:iCs/>
                <w:color w:val="000000"/>
                <w:sz w:val="24"/>
              </w:rPr>
            </w:pPr>
            <w:r>
              <w:rPr>
                <w:rFonts w:ascii="宋体" w:hAnsi="宋体" w:hint="eastAsia"/>
                <w:b/>
                <w:bCs/>
                <w:iCs/>
                <w:color w:val="000000"/>
                <w:sz w:val="24"/>
              </w:rPr>
              <w:lastRenderedPageBreak/>
              <w:t>关于本次活动是否涉及应当披露</w:t>
            </w:r>
            <w:r>
              <w:rPr>
                <w:rFonts w:ascii="宋体" w:hAnsi="宋体" w:hint="eastAsia"/>
                <w:b/>
                <w:bCs/>
                <w:iCs/>
                <w:color w:val="000000"/>
                <w:sz w:val="24"/>
              </w:rPr>
              <w:lastRenderedPageBreak/>
              <w:t>重大信息的说明</w:t>
            </w:r>
          </w:p>
        </w:tc>
        <w:tc>
          <w:tcPr>
            <w:tcW w:w="7840" w:type="dxa"/>
            <w:tcBorders>
              <w:top w:val="single" w:sz="6" w:space="0" w:color="auto"/>
              <w:left w:val="single" w:sz="6" w:space="0" w:color="auto"/>
              <w:bottom w:val="single" w:sz="6" w:space="0" w:color="auto"/>
              <w:right w:val="single" w:sz="12" w:space="0" w:color="auto"/>
            </w:tcBorders>
            <w:vAlign w:val="center"/>
          </w:tcPr>
          <w:p w14:paraId="047BAD3D" w14:textId="77777777" w:rsidR="003136B1" w:rsidRDefault="00431B80">
            <w:pPr>
              <w:rPr>
                <w:rFonts w:ascii="Times New Roman" w:hAnsi="Times New Roman"/>
                <w:bCs/>
                <w:iCs/>
                <w:color w:val="000000"/>
                <w:sz w:val="24"/>
              </w:rPr>
            </w:pPr>
            <w:r>
              <w:rPr>
                <w:rFonts w:ascii="Times New Roman" w:hAnsi="Times New Roman" w:hint="eastAsia"/>
                <w:bCs/>
                <w:iCs/>
                <w:color w:val="000000"/>
                <w:sz w:val="24"/>
              </w:rPr>
              <w:lastRenderedPageBreak/>
              <w:t>本次活动不涉及应当披露的重大信息。</w:t>
            </w:r>
          </w:p>
        </w:tc>
      </w:tr>
      <w:tr w:rsidR="003136B1" w14:paraId="2504741D" w14:textId="77777777" w:rsidTr="009D1E17">
        <w:trPr>
          <w:trHeight w:val="397"/>
          <w:jc w:val="center"/>
        </w:trPr>
        <w:tc>
          <w:tcPr>
            <w:tcW w:w="1970" w:type="dxa"/>
            <w:tcBorders>
              <w:top w:val="single" w:sz="6" w:space="0" w:color="auto"/>
              <w:left w:val="single" w:sz="12" w:space="0" w:color="auto"/>
              <w:bottom w:val="single" w:sz="6" w:space="0" w:color="auto"/>
              <w:right w:val="single" w:sz="6" w:space="0" w:color="auto"/>
            </w:tcBorders>
            <w:vAlign w:val="center"/>
          </w:tcPr>
          <w:p w14:paraId="14E6A501" w14:textId="77777777" w:rsidR="003136B1" w:rsidRDefault="00431B80">
            <w:pPr>
              <w:rPr>
                <w:rFonts w:ascii="宋体" w:hAnsi="宋体" w:hint="eastAsia"/>
                <w:b/>
                <w:bCs/>
                <w:iCs/>
                <w:color w:val="000000"/>
                <w:sz w:val="24"/>
              </w:rPr>
            </w:pPr>
            <w:r>
              <w:rPr>
                <w:rFonts w:ascii="宋体" w:hAnsi="宋体" w:hint="eastAsia"/>
                <w:b/>
                <w:bCs/>
                <w:iCs/>
                <w:color w:val="000000"/>
                <w:sz w:val="24"/>
              </w:rPr>
              <w:t>附件清单</w:t>
            </w:r>
          </w:p>
        </w:tc>
        <w:tc>
          <w:tcPr>
            <w:tcW w:w="7840" w:type="dxa"/>
            <w:tcBorders>
              <w:top w:val="single" w:sz="6" w:space="0" w:color="auto"/>
              <w:left w:val="single" w:sz="6" w:space="0" w:color="auto"/>
              <w:bottom w:val="single" w:sz="6" w:space="0" w:color="auto"/>
              <w:right w:val="single" w:sz="12" w:space="0" w:color="auto"/>
            </w:tcBorders>
            <w:vAlign w:val="center"/>
          </w:tcPr>
          <w:p w14:paraId="6F54D88C" w14:textId="77777777" w:rsidR="003136B1" w:rsidRDefault="00431B80">
            <w:pPr>
              <w:rPr>
                <w:rFonts w:ascii="Times New Roman" w:hAnsi="Times New Roman"/>
                <w:bCs/>
                <w:iCs/>
                <w:color w:val="000000"/>
                <w:sz w:val="24"/>
              </w:rPr>
            </w:pPr>
            <w:r>
              <w:rPr>
                <w:rFonts w:ascii="Times New Roman" w:hAnsi="Times New Roman" w:hint="eastAsia"/>
                <w:bCs/>
                <w:iCs/>
                <w:color w:val="000000"/>
                <w:sz w:val="24"/>
              </w:rPr>
              <w:t>无</w:t>
            </w:r>
          </w:p>
        </w:tc>
      </w:tr>
      <w:tr w:rsidR="003136B1" w14:paraId="3BCAC7A5" w14:textId="77777777" w:rsidTr="009D1E17">
        <w:trPr>
          <w:trHeight w:val="397"/>
          <w:jc w:val="center"/>
        </w:trPr>
        <w:tc>
          <w:tcPr>
            <w:tcW w:w="1970" w:type="dxa"/>
            <w:tcBorders>
              <w:top w:val="single" w:sz="6" w:space="0" w:color="auto"/>
              <w:left w:val="single" w:sz="12" w:space="0" w:color="auto"/>
              <w:bottom w:val="single" w:sz="12" w:space="0" w:color="auto"/>
              <w:right w:val="single" w:sz="6" w:space="0" w:color="auto"/>
            </w:tcBorders>
            <w:vAlign w:val="center"/>
          </w:tcPr>
          <w:p w14:paraId="36E73CC0" w14:textId="77777777" w:rsidR="003136B1" w:rsidRDefault="00431B80">
            <w:pPr>
              <w:rPr>
                <w:rFonts w:ascii="宋体" w:hAnsi="宋体" w:hint="eastAsia"/>
                <w:b/>
                <w:bCs/>
                <w:iCs/>
                <w:color w:val="000000"/>
                <w:sz w:val="24"/>
              </w:rPr>
            </w:pPr>
            <w:r>
              <w:rPr>
                <w:rFonts w:ascii="宋体" w:hAnsi="宋体" w:hint="eastAsia"/>
                <w:b/>
                <w:bCs/>
                <w:iCs/>
                <w:color w:val="000000"/>
                <w:sz w:val="24"/>
              </w:rPr>
              <w:t>日期</w:t>
            </w:r>
          </w:p>
        </w:tc>
        <w:tc>
          <w:tcPr>
            <w:tcW w:w="7840" w:type="dxa"/>
            <w:tcBorders>
              <w:top w:val="single" w:sz="6" w:space="0" w:color="auto"/>
              <w:left w:val="single" w:sz="6" w:space="0" w:color="auto"/>
              <w:bottom w:val="single" w:sz="12" w:space="0" w:color="auto"/>
              <w:right w:val="single" w:sz="12" w:space="0" w:color="auto"/>
            </w:tcBorders>
            <w:vAlign w:val="center"/>
          </w:tcPr>
          <w:p w14:paraId="60125EC6" w14:textId="2D4BD246" w:rsidR="003136B1" w:rsidRDefault="00431B80">
            <w:pPr>
              <w:rPr>
                <w:rFonts w:ascii="Times New Roman" w:hAnsi="Times New Roman"/>
                <w:bCs/>
                <w:iCs/>
                <w:color w:val="000000"/>
                <w:sz w:val="24"/>
              </w:rPr>
            </w:pPr>
            <w:r>
              <w:rPr>
                <w:rFonts w:ascii="Times New Roman" w:hAnsi="Times New Roman"/>
                <w:bCs/>
                <w:iCs/>
                <w:color w:val="000000"/>
                <w:sz w:val="24"/>
              </w:rPr>
              <w:t>20</w:t>
            </w:r>
            <w:r>
              <w:rPr>
                <w:rFonts w:ascii="Times New Roman" w:hAnsi="Times New Roman" w:hint="eastAsia"/>
                <w:bCs/>
                <w:iCs/>
                <w:color w:val="000000"/>
                <w:sz w:val="24"/>
              </w:rPr>
              <w:t>2</w:t>
            </w:r>
            <w:r w:rsidR="00EE6D7B">
              <w:rPr>
                <w:rFonts w:ascii="Times New Roman" w:hAnsi="Times New Roman" w:hint="eastAsia"/>
                <w:bCs/>
                <w:iCs/>
                <w:color w:val="000000"/>
                <w:sz w:val="24"/>
              </w:rPr>
              <w:t>6</w:t>
            </w:r>
            <w:r>
              <w:rPr>
                <w:rFonts w:ascii="Times New Roman" w:hAnsi="Times New Roman"/>
                <w:bCs/>
                <w:iCs/>
                <w:color w:val="000000"/>
                <w:sz w:val="24"/>
              </w:rPr>
              <w:t>年</w:t>
            </w:r>
            <w:r w:rsidR="008369A0">
              <w:rPr>
                <w:rFonts w:ascii="Times New Roman" w:hAnsi="Times New Roman" w:hint="eastAsia"/>
                <w:bCs/>
                <w:iCs/>
                <w:color w:val="000000"/>
                <w:sz w:val="24"/>
              </w:rPr>
              <w:t>10</w:t>
            </w:r>
            <w:r>
              <w:rPr>
                <w:rFonts w:ascii="Times New Roman" w:hAnsi="Times New Roman" w:hint="eastAsia"/>
                <w:bCs/>
                <w:iCs/>
                <w:color w:val="000000"/>
                <w:sz w:val="24"/>
              </w:rPr>
              <w:t>月</w:t>
            </w:r>
            <w:r w:rsidR="00AE4252">
              <w:rPr>
                <w:rFonts w:ascii="Times New Roman" w:hAnsi="Times New Roman" w:hint="eastAsia"/>
                <w:bCs/>
                <w:iCs/>
                <w:color w:val="000000"/>
                <w:sz w:val="24"/>
              </w:rPr>
              <w:t>21</w:t>
            </w:r>
            <w:r>
              <w:rPr>
                <w:rFonts w:ascii="Times New Roman" w:hAnsi="Times New Roman" w:hint="eastAsia"/>
                <w:bCs/>
                <w:iCs/>
                <w:color w:val="000000"/>
                <w:sz w:val="24"/>
              </w:rPr>
              <w:t>日</w:t>
            </w:r>
          </w:p>
        </w:tc>
      </w:tr>
    </w:tbl>
    <w:p w14:paraId="6D59C620" w14:textId="77777777" w:rsidR="003136B1" w:rsidRDefault="003136B1">
      <w:pPr>
        <w:pStyle w:val="005"/>
        <w:spacing w:before="120" w:after="120"/>
        <w:ind w:firstLine="480"/>
      </w:pPr>
    </w:p>
    <w:sectPr w:rsidR="003136B1">
      <w:footnotePr>
        <w:numRestart w:val="eachPage"/>
      </w:footnotePr>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C7A49" w14:textId="77777777" w:rsidR="001E5EDD" w:rsidRDefault="001E5EDD" w:rsidP="00B33BD5">
      <w:r>
        <w:separator/>
      </w:r>
    </w:p>
  </w:endnote>
  <w:endnote w:type="continuationSeparator" w:id="0">
    <w:p w14:paraId="1490BED2" w14:textId="77777777" w:rsidR="001E5EDD" w:rsidRDefault="001E5EDD" w:rsidP="00B33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AEAB3" w14:textId="77777777" w:rsidR="001E5EDD" w:rsidRDefault="001E5EDD" w:rsidP="00B33BD5">
      <w:r>
        <w:separator/>
      </w:r>
    </w:p>
  </w:footnote>
  <w:footnote w:type="continuationSeparator" w:id="0">
    <w:p w14:paraId="4B6006C6" w14:textId="77777777" w:rsidR="001E5EDD" w:rsidRDefault="001E5EDD" w:rsidP="00B33BD5">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zmd">
    <w15:presenceInfo w15:providerId="Windows Live" w15:userId="ada2c7a2931608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576"/>
    <w:rsid w:val="00010C48"/>
    <w:rsid w:val="00013BAC"/>
    <w:rsid w:val="000216B3"/>
    <w:rsid w:val="00022C2F"/>
    <w:rsid w:val="00022D35"/>
    <w:rsid w:val="00024EA7"/>
    <w:rsid w:val="00027C2F"/>
    <w:rsid w:val="0003306B"/>
    <w:rsid w:val="00034E0C"/>
    <w:rsid w:val="000368FA"/>
    <w:rsid w:val="00046E90"/>
    <w:rsid w:val="00052FF0"/>
    <w:rsid w:val="0005396A"/>
    <w:rsid w:val="0005398D"/>
    <w:rsid w:val="0005528A"/>
    <w:rsid w:val="00055320"/>
    <w:rsid w:val="00061840"/>
    <w:rsid w:val="00063E53"/>
    <w:rsid w:val="00064AE3"/>
    <w:rsid w:val="00064DB6"/>
    <w:rsid w:val="00070BC8"/>
    <w:rsid w:val="00070E3F"/>
    <w:rsid w:val="00071AEB"/>
    <w:rsid w:val="00074C7E"/>
    <w:rsid w:val="00076E41"/>
    <w:rsid w:val="00077826"/>
    <w:rsid w:val="000805A7"/>
    <w:rsid w:val="0008307A"/>
    <w:rsid w:val="0008468F"/>
    <w:rsid w:val="00086E21"/>
    <w:rsid w:val="00096B29"/>
    <w:rsid w:val="00097A7B"/>
    <w:rsid w:val="000A629E"/>
    <w:rsid w:val="000A6B9E"/>
    <w:rsid w:val="000A71F2"/>
    <w:rsid w:val="000B0E87"/>
    <w:rsid w:val="000B20AF"/>
    <w:rsid w:val="000B2C36"/>
    <w:rsid w:val="000B2EB5"/>
    <w:rsid w:val="000B5FD6"/>
    <w:rsid w:val="000C1E9D"/>
    <w:rsid w:val="000C5801"/>
    <w:rsid w:val="000D1C6B"/>
    <w:rsid w:val="000D775E"/>
    <w:rsid w:val="000E2673"/>
    <w:rsid w:val="000F37C6"/>
    <w:rsid w:val="000F3D17"/>
    <w:rsid w:val="001028DA"/>
    <w:rsid w:val="00106138"/>
    <w:rsid w:val="0011053C"/>
    <w:rsid w:val="00110C95"/>
    <w:rsid w:val="001146F1"/>
    <w:rsid w:val="00115DC9"/>
    <w:rsid w:val="0011623F"/>
    <w:rsid w:val="00117032"/>
    <w:rsid w:val="00120962"/>
    <w:rsid w:val="00124DB3"/>
    <w:rsid w:val="00125644"/>
    <w:rsid w:val="00132229"/>
    <w:rsid w:val="00136973"/>
    <w:rsid w:val="001425DC"/>
    <w:rsid w:val="00143A9C"/>
    <w:rsid w:val="0014536F"/>
    <w:rsid w:val="00145732"/>
    <w:rsid w:val="0014580D"/>
    <w:rsid w:val="001474C8"/>
    <w:rsid w:val="00152A75"/>
    <w:rsid w:val="00153F15"/>
    <w:rsid w:val="00155161"/>
    <w:rsid w:val="00166FF8"/>
    <w:rsid w:val="00170415"/>
    <w:rsid w:val="00172AFB"/>
    <w:rsid w:val="00172D90"/>
    <w:rsid w:val="0017394C"/>
    <w:rsid w:val="00177098"/>
    <w:rsid w:val="001809AC"/>
    <w:rsid w:val="00182040"/>
    <w:rsid w:val="001823E3"/>
    <w:rsid w:val="00187B28"/>
    <w:rsid w:val="001908BB"/>
    <w:rsid w:val="001974AB"/>
    <w:rsid w:val="001A00CF"/>
    <w:rsid w:val="001A60A6"/>
    <w:rsid w:val="001B2442"/>
    <w:rsid w:val="001B34FD"/>
    <w:rsid w:val="001B7DAF"/>
    <w:rsid w:val="001C4624"/>
    <w:rsid w:val="001C5918"/>
    <w:rsid w:val="001C5FD6"/>
    <w:rsid w:val="001C65DB"/>
    <w:rsid w:val="001D1C8A"/>
    <w:rsid w:val="001D3F56"/>
    <w:rsid w:val="001D6EBA"/>
    <w:rsid w:val="001E12D7"/>
    <w:rsid w:val="001E252F"/>
    <w:rsid w:val="001E3CA1"/>
    <w:rsid w:val="001E3EB3"/>
    <w:rsid w:val="001E5EDD"/>
    <w:rsid w:val="001E6D23"/>
    <w:rsid w:val="001E6E15"/>
    <w:rsid w:val="001E7B89"/>
    <w:rsid w:val="001F2880"/>
    <w:rsid w:val="001F362F"/>
    <w:rsid w:val="001F4F93"/>
    <w:rsid w:val="001F502F"/>
    <w:rsid w:val="001F65D5"/>
    <w:rsid w:val="001F718F"/>
    <w:rsid w:val="002013FE"/>
    <w:rsid w:val="00211CAB"/>
    <w:rsid w:val="002132FE"/>
    <w:rsid w:val="00214BFF"/>
    <w:rsid w:val="00222488"/>
    <w:rsid w:val="00226D58"/>
    <w:rsid w:val="00236403"/>
    <w:rsid w:val="002367BD"/>
    <w:rsid w:val="002367D6"/>
    <w:rsid w:val="002418B5"/>
    <w:rsid w:val="0025024E"/>
    <w:rsid w:val="00250341"/>
    <w:rsid w:val="0025254E"/>
    <w:rsid w:val="00263ACD"/>
    <w:rsid w:val="00264104"/>
    <w:rsid w:val="00264457"/>
    <w:rsid w:val="00267E4B"/>
    <w:rsid w:val="00272D48"/>
    <w:rsid w:val="00274A97"/>
    <w:rsid w:val="00274BC7"/>
    <w:rsid w:val="00274C1A"/>
    <w:rsid w:val="00277290"/>
    <w:rsid w:val="00292CA0"/>
    <w:rsid w:val="00293A3A"/>
    <w:rsid w:val="00294A35"/>
    <w:rsid w:val="00296DB5"/>
    <w:rsid w:val="002A14F6"/>
    <w:rsid w:val="002A23A8"/>
    <w:rsid w:val="002A286B"/>
    <w:rsid w:val="002A4699"/>
    <w:rsid w:val="002B27D7"/>
    <w:rsid w:val="002B2E94"/>
    <w:rsid w:val="002B3A22"/>
    <w:rsid w:val="002C33F2"/>
    <w:rsid w:val="002C7684"/>
    <w:rsid w:val="002C7DA6"/>
    <w:rsid w:val="002D0D78"/>
    <w:rsid w:val="002D17C9"/>
    <w:rsid w:val="002D1D56"/>
    <w:rsid w:val="002D4604"/>
    <w:rsid w:val="002D6ADA"/>
    <w:rsid w:val="002D6E00"/>
    <w:rsid w:val="002D6EA4"/>
    <w:rsid w:val="002E08F4"/>
    <w:rsid w:val="002E15F1"/>
    <w:rsid w:val="002E4732"/>
    <w:rsid w:val="002F0295"/>
    <w:rsid w:val="002F1F15"/>
    <w:rsid w:val="002F22AE"/>
    <w:rsid w:val="002F2AC9"/>
    <w:rsid w:val="002F4576"/>
    <w:rsid w:val="003024E9"/>
    <w:rsid w:val="00304FD9"/>
    <w:rsid w:val="00305663"/>
    <w:rsid w:val="00305EA0"/>
    <w:rsid w:val="00306E2F"/>
    <w:rsid w:val="00311BE7"/>
    <w:rsid w:val="003136B1"/>
    <w:rsid w:val="003217F1"/>
    <w:rsid w:val="00322FE8"/>
    <w:rsid w:val="00326953"/>
    <w:rsid w:val="00326F67"/>
    <w:rsid w:val="00332566"/>
    <w:rsid w:val="00336D4A"/>
    <w:rsid w:val="003420B3"/>
    <w:rsid w:val="00345E8E"/>
    <w:rsid w:val="00346D00"/>
    <w:rsid w:val="00354374"/>
    <w:rsid w:val="00356A65"/>
    <w:rsid w:val="00357F56"/>
    <w:rsid w:val="00365473"/>
    <w:rsid w:val="00367BDE"/>
    <w:rsid w:val="00371A9C"/>
    <w:rsid w:val="00381BB6"/>
    <w:rsid w:val="00382A4F"/>
    <w:rsid w:val="0038739C"/>
    <w:rsid w:val="00391604"/>
    <w:rsid w:val="00393383"/>
    <w:rsid w:val="00395CB2"/>
    <w:rsid w:val="003A428F"/>
    <w:rsid w:val="003A4ED7"/>
    <w:rsid w:val="003B7260"/>
    <w:rsid w:val="003C4CC3"/>
    <w:rsid w:val="003D00E2"/>
    <w:rsid w:val="003D0C4C"/>
    <w:rsid w:val="003E5D4A"/>
    <w:rsid w:val="003E7479"/>
    <w:rsid w:val="003F41AC"/>
    <w:rsid w:val="003F4B43"/>
    <w:rsid w:val="003F7B51"/>
    <w:rsid w:val="004044F6"/>
    <w:rsid w:val="004066B4"/>
    <w:rsid w:val="004074FD"/>
    <w:rsid w:val="00407A45"/>
    <w:rsid w:val="0041132B"/>
    <w:rsid w:val="004127CD"/>
    <w:rsid w:val="00412F99"/>
    <w:rsid w:val="0041379E"/>
    <w:rsid w:val="00414A09"/>
    <w:rsid w:val="00415164"/>
    <w:rsid w:val="00416859"/>
    <w:rsid w:val="00417C80"/>
    <w:rsid w:val="004208B3"/>
    <w:rsid w:val="00425BE5"/>
    <w:rsid w:val="00427A29"/>
    <w:rsid w:val="00430373"/>
    <w:rsid w:val="00431B80"/>
    <w:rsid w:val="00443234"/>
    <w:rsid w:val="004447BB"/>
    <w:rsid w:val="00444845"/>
    <w:rsid w:val="00444C2A"/>
    <w:rsid w:val="00444CA2"/>
    <w:rsid w:val="00444CCB"/>
    <w:rsid w:val="00453C60"/>
    <w:rsid w:val="00454605"/>
    <w:rsid w:val="00466D02"/>
    <w:rsid w:val="00470638"/>
    <w:rsid w:val="00472AB5"/>
    <w:rsid w:val="0047447B"/>
    <w:rsid w:val="00477671"/>
    <w:rsid w:val="00477BF6"/>
    <w:rsid w:val="004804FA"/>
    <w:rsid w:val="00480D93"/>
    <w:rsid w:val="0048421C"/>
    <w:rsid w:val="00491306"/>
    <w:rsid w:val="00491465"/>
    <w:rsid w:val="0049370F"/>
    <w:rsid w:val="004941B0"/>
    <w:rsid w:val="004969CF"/>
    <w:rsid w:val="004A0B7A"/>
    <w:rsid w:val="004B1007"/>
    <w:rsid w:val="004B185E"/>
    <w:rsid w:val="004B4C9D"/>
    <w:rsid w:val="004B4E51"/>
    <w:rsid w:val="004D1434"/>
    <w:rsid w:val="004D7880"/>
    <w:rsid w:val="004E01CE"/>
    <w:rsid w:val="004E25B0"/>
    <w:rsid w:val="004E2C74"/>
    <w:rsid w:val="004E4BA2"/>
    <w:rsid w:val="004F005D"/>
    <w:rsid w:val="004F2DD7"/>
    <w:rsid w:val="004F333C"/>
    <w:rsid w:val="004F33CF"/>
    <w:rsid w:val="004F3A2F"/>
    <w:rsid w:val="004F5230"/>
    <w:rsid w:val="00502456"/>
    <w:rsid w:val="00504F32"/>
    <w:rsid w:val="005066C0"/>
    <w:rsid w:val="00510B6E"/>
    <w:rsid w:val="00511C3B"/>
    <w:rsid w:val="005129BC"/>
    <w:rsid w:val="005227C3"/>
    <w:rsid w:val="00531A0C"/>
    <w:rsid w:val="005321D2"/>
    <w:rsid w:val="00533326"/>
    <w:rsid w:val="00533733"/>
    <w:rsid w:val="00533A1C"/>
    <w:rsid w:val="00535906"/>
    <w:rsid w:val="00541D50"/>
    <w:rsid w:val="00543B79"/>
    <w:rsid w:val="00546EF1"/>
    <w:rsid w:val="0055054D"/>
    <w:rsid w:val="00550AD1"/>
    <w:rsid w:val="005526E1"/>
    <w:rsid w:val="0056004A"/>
    <w:rsid w:val="005625E6"/>
    <w:rsid w:val="00563CF0"/>
    <w:rsid w:val="00564553"/>
    <w:rsid w:val="00570B3D"/>
    <w:rsid w:val="00571490"/>
    <w:rsid w:val="00585BBD"/>
    <w:rsid w:val="00591424"/>
    <w:rsid w:val="00591673"/>
    <w:rsid w:val="0059313C"/>
    <w:rsid w:val="00594FDE"/>
    <w:rsid w:val="005A0E21"/>
    <w:rsid w:val="005A6575"/>
    <w:rsid w:val="005B3018"/>
    <w:rsid w:val="005B31F8"/>
    <w:rsid w:val="005B3A4F"/>
    <w:rsid w:val="005B467C"/>
    <w:rsid w:val="005B7320"/>
    <w:rsid w:val="005C3793"/>
    <w:rsid w:val="005C6564"/>
    <w:rsid w:val="005C66F5"/>
    <w:rsid w:val="005C6E44"/>
    <w:rsid w:val="005C7F70"/>
    <w:rsid w:val="005D23FC"/>
    <w:rsid w:val="005D24E6"/>
    <w:rsid w:val="005E0775"/>
    <w:rsid w:val="005E0795"/>
    <w:rsid w:val="005E0F42"/>
    <w:rsid w:val="005E3FE1"/>
    <w:rsid w:val="005F00D5"/>
    <w:rsid w:val="005F08DB"/>
    <w:rsid w:val="005F18AE"/>
    <w:rsid w:val="005F1ED6"/>
    <w:rsid w:val="005F7307"/>
    <w:rsid w:val="00604ED1"/>
    <w:rsid w:val="00605F87"/>
    <w:rsid w:val="006079E3"/>
    <w:rsid w:val="0061217A"/>
    <w:rsid w:val="00613A21"/>
    <w:rsid w:val="00613F29"/>
    <w:rsid w:val="0061424D"/>
    <w:rsid w:val="00616613"/>
    <w:rsid w:val="0062539E"/>
    <w:rsid w:val="00627ABA"/>
    <w:rsid w:val="00635059"/>
    <w:rsid w:val="00636658"/>
    <w:rsid w:val="0063771D"/>
    <w:rsid w:val="00641F5F"/>
    <w:rsid w:val="006441EE"/>
    <w:rsid w:val="006447E6"/>
    <w:rsid w:val="006469CF"/>
    <w:rsid w:val="0065074C"/>
    <w:rsid w:val="00651ECC"/>
    <w:rsid w:val="0065237F"/>
    <w:rsid w:val="00652FCD"/>
    <w:rsid w:val="006633C3"/>
    <w:rsid w:val="006664B7"/>
    <w:rsid w:val="00667681"/>
    <w:rsid w:val="00680B2C"/>
    <w:rsid w:val="00680F19"/>
    <w:rsid w:val="00683B9E"/>
    <w:rsid w:val="006844E8"/>
    <w:rsid w:val="00684AE3"/>
    <w:rsid w:val="006866A7"/>
    <w:rsid w:val="00687899"/>
    <w:rsid w:val="006901C0"/>
    <w:rsid w:val="00691FDC"/>
    <w:rsid w:val="006926AE"/>
    <w:rsid w:val="00697086"/>
    <w:rsid w:val="0069763B"/>
    <w:rsid w:val="006A3579"/>
    <w:rsid w:val="006A5117"/>
    <w:rsid w:val="006B1391"/>
    <w:rsid w:val="006B1BA6"/>
    <w:rsid w:val="006B1F97"/>
    <w:rsid w:val="006B2EFD"/>
    <w:rsid w:val="006B5095"/>
    <w:rsid w:val="006B62C1"/>
    <w:rsid w:val="006C34C0"/>
    <w:rsid w:val="006C73AE"/>
    <w:rsid w:val="006D440C"/>
    <w:rsid w:val="006D4A9A"/>
    <w:rsid w:val="006D591F"/>
    <w:rsid w:val="006D6868"/>
    <w:rsid w:val="006D6EC2"/>
    <w:rsid w:val="006E08D4"/>
    <w:rsid w:val="006E6BD0"/>
    <w:rsid w:val="006F4FCA"/>
    <w:rsid w:val="006F6C86"/>
    <w:rsid w:val="006F6F6A"/>
    <w:rsid w:val="006F7E5E"/>
    <w:rsid w:val="00711CAE"/>
    <w:rsid w:val="00713B57"/>
    <w:rsid w:val="00730EF6"/>
    <w:rsid w:val="00733426"/>
    <w:rsid w:val="007337EB"/>
    <w:rsid w:val="00734A9B"/>
    <w:rsid w:val="00740DB7"/>
    <w:rsid w:val="007410DF"/>
    <w:rsid w:val="007417F9"/>
    <w:rsid w:val="00745DB1"/>
    <w:rsid w:val="00746198"/>
    <w:rsid w:val="00746E90"/>
    <w:rsid w:val="0074740E"/>
    <w:rsid w:val="0075086C"/>
    <w:rsid w:val="00753AFE"/>
    <w:rsid w:val="0075491A"/>
    <w:rsid w:val="007558C1"/>
    <w:rsid w:val="00755CAB"/>
    <w:rsid w:val="0075608C"/>
    <w:rsid w:val="0075799A"/>
    <w:rsid w:val="007612AC"/>
    <w:rsid w:val="00762A4D"/>
    <w:rsid w:val="00763580"/>
    <w:rsid w:val="007658B0"/>
    <w:rsid w:val="007667AC"/>
    <w:rsid w:val="007707DD"/>
    <w:rsid w:val="00774181"/>
    <w:rsid w:val="00775803"/>
    <w:rsid w:val="00776B6C"/>
    <w:rsid w:val="00780F0F"/>
    <w:rsid w:val="00781039"/>
    <w:rsid w:val="00781158"/>
    <w:rsid w:val="00783C90"/>
    <w:rsid w:val="007878D8"/>
    <w:rsid w:val="007A12BF"/>
    <w:rsid w:val="007A2133"/>
    <w:rsid w:val="007A503B"/>
    <w:rsid w:val="007A5562"/>
    <w:rsid w:val="007B1C66"/>
    <w:rsid w:val="007B4EA6"/>
    <w:rsid w:val="007C0D7F"/>
    <w:rsid w:val="007C40FD"/>
    <w:rsid w:val="007C5939"/>
    <w:rsid w:val="007C7D36"/>
    <w:rsid w:val="007D2C8A"/>
    <w:rsid w:val="007D3BDA"/>
    <w:rsid w:val="007D4CEC"/>
    <w:rsid w:val="007D6A94"/>
    <w:rsid w:val="007E15C0"/>
    <w:rsid w:val="007E4574"/>
    <w:rsid w:val="007F3655"/>
    <w:rsid w:val="007F66D7"/>
    <w:rsid w:val="00802008"/>
    <w:rsid w:val="0081192F"/>
    <w:rsid w:val="0081701A"/>
    <w:rsid w:val="00817AE0"/>
    <w:rsid w:val="00825ACD"/>
    <w:rsid w:val="00827A26"/>
    <w:rsid w:val="00833062"/>
    <w:rsid w:val="00833F8B"/>
    <w:rsid w:val="00836560"/>
    <w:rsid w:val="00836900"/>
    <w:rsid w:val="008369A0"/>
    <w:rsid w:val="00840322"/>
    <w:rsid w:val="00842355"/>
    <w:rsid w:val="008432DE"/>
    <w:rsid w:val="008515C2"/>
    <w:rsid w:val="008517D9"/>
    <w:rsid w:val="0085583B"/>
    <w:rsid w:val="008609AF"/>
    <w:rsid w:val="00864802"/>
    <w:rsid w:val="008648CD"/>
    <w:rsid w:val="0086502E"/>
    <w:rsid w:val="0086728C"/>
    <w:rsid w:val="00875B90"/>
    <w:rsid w:val="00877135"/>
    <w:rsid w:val="008772D0"/>
    <w:rsid w:val="008927CB"/>
    <w:rsid w:val="00893132"/>
    <w:rsid w:val="00893C5B"/>
    <w:rsid w:val="0089482A"/>
    <w:rsid w:val="008975FE"/>
    <w:rsid w:val="008A146C"/>
    <w:rsid w:val="008A34C1"/>
    <w:rsid w:val="008A6B97"/>
    <w:rsid w:val="008A75A7"/>
    <w:rsid w:val="008A78BB"/>
    <w:rsid w:val="008B1B2D"/>
    <w:rsid w:val="008B3039"/>
    <w:rsid w:val="008B3A51"/>
    <w:rsid w:val="008C27E2"/>
    <w:rsid w:val="008C31FF"/>
    <w:rsid w:val="008C3C74"/>
    <w:rsid w:val="008C4776"/>
    <w:rsid w:val="008D4408"/>
    <w:rsid w:val="008E1B2E"/>
    <w:rsid w:val="008E503B"/>
    <w:rsid w:val="008F0017"/>
    <w:rsid w:val="0090283E"/>
    <w:rsid w:val="00906244"/>
    <w:rsid w:val="00906CEB"/>
    <w:rsid w:val="00910824"/>
    <w:rsid w:val="00910FCE"/>
    <w:rsid w:val="00911231"/>
    <w:rsid w:val="009126B8"/>
    <w:rsid w:val="009202EB"/>
    <w:rsid w:val="00921C23"/>
    <w:rsid w:val="0092456B"/>
    <w:rsid w:val="00931D5D"/>
    <w:rsid w:val="00934842"/>
    <w:rsid w:val="009402A8"/>
    <w:rsid w:val="00944D16"/>
    <w:rsid w:val="00945F51"/>
    <w:rsid w:val="0094700A"/>
    <w:rsid w:val="00951804"/>
    <w:rsid w:val="00952CD4"/>
    <w:rsid w:val="00955859"/>
    <w:rsid w:val="00960A79"/>
    <w:rsid w:val="00970881"/>
    <w:rsid w:val="00980EBA"/>
    <w:rsid w:val="0098251F"/>
    <w:rsid w:val="00984C6B"/>
    <w:rsid w:val="009873B1"/>
    <w:rsid w:val="00990797"/>
    <w:rsid w:val="00991AB3"/>
    <w:rsid w:val="00992982"/>
    <w:rsid w:val="009948BB"/>
    <w:rsid w:val="009A0340"/>
    <w:rsid w:val="009A194D"/>
    <w:rsid w:val="009A38BD"/>
    <w:rsid w:val="009A632C"/>
    <w:rsid w:val="009A6FAD"/>
    <w:rsid w:val="009B1C20"/>
    <w:rsid w:val="009B2609"/>
    <w:rsid w:val="009B31B2"/>
    <w:rsid w:val="009B40AC"/>
    <w:rsid w:val="009B42CB"/>
    <w:rsid w:val="009C1877"/>
    <w:rsid w:val="009C38A4"/>
    <w:rsid w:val="009C4A2C"/>
    <w:rsid w:val="009C6932"/>
    <w:rsid w:val="009D055F"/>
    <w:rsid w:val="009D1E17"/>
    <w:rsid w:val="009D2A67"/>
    <w:rsid w:val="009D5414"/>
    <w:rsid w:val="009D7F9F"/>
    <w:rsid w:val="009E00A5"/>
    <w:rsid w:val="009F08FE"/>
    <w:rsid w:val="009F17C1"/>
    <w:rsid w:val="009F17EA"/>
    <w:rsid w:val="009F4EC0"/>
    <w:rsid w:val="00A04CE3"/>
    <w:rsid w:val="00A0692D"/>
    <w:rsid w:val="00A07D30"/>
    <w:rsid w:val="00A13763"/>
    <w:rsid w:val="00A14548"/>
    <w:rsid w:val="00A14D73"/>
    <w:rsid w:val="00A206C7"/>
    <w:rsid w:val="00A244E4"/>
    <w:rsid w:val="00A25BEE"/>
    <w:rsid w:val="00A2707D"/>
    <w:rsid w:val="00A31195"/>
    <w:rsid w:val="00A317C6"/>
    <w:rsid w:val="00A3658E"/>
    <w:rsid w:val="00A41A42"/>
    <w:rsid w:val="00A43269"/>
    <w:rsid w:val="00A457DD"/>
    <w:rsid w:val="00A46089"/>
    <w:rsid w:val="00A47AC7"/>
    <w:rsid w:val="00A60A0E"/>
    <w:rsid w:val="00A61062"/>
    <w:rsid w:val="00A71B40"/>
    <w:rsid w:val="00A725E6"/>
    <w:rsid w:val="00A73941"/>
    <w:rsid w:val="00A74796"/>
    <w:rsid w:val="00A74F3D"/>
    <w:rsid w:val="00A76D19"/>
    <w:rsid w:val="00A76DF3"/>
    <w:rsid w:val="00A848BE"/>
    <w:rsid w:val="00A90892"/>
    <w:rsid w:val="00A92122"/>
    <w:rsid w:val="00A938AB"/>
    <w:rsid w:val="00AA5C19"/>
    <w:rsid w:val="00AA6255"/>
    <w:rsid w:val="00AB06B5"/>
    <w:rsid w:val="00AB0D8A"/>
    <w:rsid w:val="00AB30D1"/>
    <w:rsid w:val="00AB53DA"/>
    <w:rsid w:val="00AC0A91"/>
    <w:rsid w:val="00AC2155"/>
    <w:rsid w:val="00AC2A1A"/>
    <w:rsid w:val="00AC4261"/>
    <w:rsid w:val="00AC5302"/>
    <w:rsid w:val="00AC5BFE"/>
    <w:rsid w:val="00AC60AD"/>
    <w:rsid w:val="00AC66EA"/>
    <w:rsid w:val="00AC6924"/>
    <w:rsid w:val="00AD2FA4"/>
    <w:rsid w:val="00AD73A0"/>
    <w:rsid w:val="00AE013A"/>
    <w:rsid w:val="00AE0FA6"/>
    <w:rsid w:val="00AE166A"/>
    <w:rsid w:val="00AE16D9"/>
    <w:rsid w:val="00AE4252"/>
    <w:rsid w:val="00AF0BCF"/>
    <w:rsid w:val="00AF199E"/>
    <w:rsid w:val="00AF6193"/>
    <w:rsid w:val="00B04206"/>
    <w:rsid w:val="00B05267"/>
    <w:rsid w:val="00B07D81"/>
    <w:rsid w:val="00B1308E"/>
    <w:rsid w:val="00B13E7E"/>
    <w:rsid w:val="00B17D4F"/>
    <w:rsid w:val="00B22278"/>
    <w:rsid w:val="00B2275B"/>
    <w:rsid w:val="00B25ACF"/>
    <w:rsid w:val="00B26463"/>
    <w:rsid w:val="00B264FD"/>
    <w:rsid w:val="00B3047B"/>
    <w:rsid w:val="00B33BD5"/>
    <w:rsid w:val="00B517CC"/>
    <w:rsid w:val="00B535AF"/>
    <w:rsid w:val="00B540E7"/>
    <w:rsid w:val="00B559A8"/>
    <w:rsid w:val="00B61C85"/>
    <w:rsid w:val="00B66CE3"/>
    <w:rsid w:val="00B67AA8"/>
    <w:rsid w:val="00B70FDE"/>
    <w:rsid w:val="00B71CA9"/>
    <w:rsid w:val="00B75F10"/>
    <w:rsid w:val="00B80B67"/>
    <w:rsid w:val="00B83D3E"/>
    <w:rsid w:val="00B934E8"/>
    <w:rsid w:val="00B93D35"/>
    <w:rsid w:val="00B96D19"/>
    <w:rsid w:val="00B9763D"/>
    <w:rsid w:val="00BA0446"/>
    <w:rsid w:val="00BA16F1"/>
    <w:rsid w:val="00BA5F93"/>
    <w:rsid w:val="00BB034E"/>
    <w:rsid w:val="00BB28C3"/>
    <w:rsid w:val="00BB5888"/>
    <w:rsid w:val="00BB6CA4"/>
    <w:rsid w:val="00BC0306"/>
    <w:rsid w:val="00BC1502"/>
    <w:rsid w:val="00BC269C"/>
    <w:rsid w:val="00BC2AC4"/>
    <w:rsid w:val="00BC6833"/>
    <w:rsid w:val="00BC6C61"/>
    <w:rsid w:val="00BD0809"/>
    <w:rsid w:val="00BD0FBA"/>
    <w:rsid w:val="00BD6BE3"/>
    <w:rsid w:val="00BE6259"/>
    <w:rsid w:val="00BE65E5"/>
    <w:rsid w:val="00BE722C"/>
    <w:rsid w:val="00BE7B11"/>
    <w:rsid w:val="00BF0DE3"/>
    <w:rsid w:val="00BF5D4D"/>
    <w:rsid w:val="00C02732"/>
    <w:rsid w:val="00C04C88"/>
    <w:rsid w:val="00C0688B"/>
    <w:rsid w:val="00C12B34"/>
    <w:rsid w:val="00C17C26"/>
    <w:rsid w:val="00C2158D"/>
    <w:rsid w:val="00C23035"/>
    <w:rsid w:val="00C257A8"/>
    <w:rsid w:val="00C31C96"/>
    <w:rsid w:val="00C32C19"/>
    <w:rsid w:val="00C33CD4"/>
    <w:rsid w:val="00C355A6"/>
    <w:rsid w:val="00C3662A"/>
    <w:rsid w:val="00C37126"/>
    <w:rsid w:val="00C379EA"/>
    <w:rsid w:val="00C4042C"/>
    <w:rsid w:val="00C409A6"/>
    <w:rsid w:val="00C4284C"/>
    <w:rsid w:val="00C4324A"/>
    <w:rsid w:val="00C4424A"/>
    <w:rsid w:val="00C4437E"/>
    <w:rsid w:val="00C47963"/>
    <w:rsid w:val="00C50840"/>
    <w:rsid w:val="00C5139B"/>
    <w:rsid w:val="00C52542"/>
    <w:rsid w:val="00C53C71"/>
    <w:rsid w:val="00C6035C"/>
    <w:rsid w:val="00C61B5D"/>
    <w:rsid w:val="00C63B43"/>
    <w:rsid w:val="00C660A2"/>
    <w:rsid w:val="00C74C05"/>
    <w:rsid w:val="00C7661F"/>
    <w:rsid w:val="00C7793F"/>
    <w:rsid w:val="00C822D8"/>
    <w:rsid w:val="00C856D8"/>
    <w:rsid w:val="00C85B06"/>
    <w:rsid w:val="00C94E59"/>
    <w:rsid w:val="00C96A19"/>
    <w:rsid w:val="00C96FBC"/>
    <w:rsid w:val="00C97A6F"/>
    <w:rsid w:val="00CA1DC3"/>
    <w:rsid w:val="00CB14F8"/>
    <w:rsid w:val="00CB54EE"/>
    <w:rsid w:val="00CB5E43"/>
    <w:rsid w:val="00CC2816"/>
    <w:rsid w:val="00CC57F4"/>
    <w:rsid w:val="00CD063C"/>
    <w:rsid w:val="00CD1E05"/>
    <w:rsid w:val="00CD32F5"/>
    <w:rsid w:val="00CD7384"/>
    <w:rsid w:val="00CE466F"/>
    <w:rsid w:val="00CF2CBE"/>
    <w:rsid w:val="00CF55AF"/>
    <w:rsid w:val="00CF671C"/>
    <w:rsid w:val="00D003FE"/>
    <w:rsid w:val="00D004A8"/>
    <w:rsid w:val="00D031EB"/>
    <w:rsid w:val="00D05A96"/>
    <w:rsid w:val="00D0762D"/>
    <w:rsid w:val="00D14856"/>
    <w:rsid w:val="00D211A7"/>
    <w:rsid w:val="00D26DB9"/>
    <w:rsid w:val="00D27476"/>
    <w:rsid w:val="00D27E70"/>
    <w:rsid w:val="00D31E61"/>
    <w:rsid w:val="00D3412A"/>
    <w:rsid w:val="00D35258"/>
    <w:rsid w:val="00D376E7"/>
    <w:rsid w:val="00D406EF"/>
    <w:rsid w:val="00D50B3C"/>
    <w:rsid w:val="00D5376A"/>
    <w:rsid w:val="00D547CC"/>
    <w:rsid w:val="00D55048"/>
    <w:rsid w:val="00D5558A"/>
    <w:rsid w:val="00D559AE"/>
    <w:rsid w:val="00D5659B"/>
    <w:rsid w:val="00D565B6"/>
    <w:rsid w:val="00D56CC1"/>
    <w:rsid w:val="00D56E73"/>
    <w:rsid w:val="00D57739"/>
    <w:rsid w:val="00D577B8"/>
    <w:rsid w:val="00D57FD9"/>
    <w:rsid w:val="00D6286E"/>
    <w:rsid w:val="00D6768B"/>
    <w:rsid w:val="00D719E1"/>
    <w:rsid w:val="00D770C6"/>
    <w:rsid w:val="00D7721C"/>
    <w:rsid w:val="00D81D43"/>
    <w:rsid w:val="00D82D7B"/>
    <w:rsid w:val="00D85339"/>
    <w:rsid w:val="00D93C20"/>
    <w:rsid w:val="00D95BE2"/>
    <w:rsid w:val="00DA1715"/>
    <w:rsid w:val="00DA2402"/>
    <w:rsid w:val="00DA2D0F"/>
    <w:rsid w:val="00DA2F3F"/>
    <w:rsid w:val="00DA7A8D"/>
    <w:rsid w:val="00DB1311"/>
    <w:rsid w:val="00DB2571"/>
    <w:rsid w:val="00DB3060"/>
    <w:rsid w:val="00DB307A"/>
    <w:rsid w:val="00DB5BBE"/>
    <w:rsid w:val="00DB5CB6"/>
    <w:rsid w:val="00DB5EB2"/>
    <w:rsid w:val="00DC0AA8"/>
    <w:rsid w:val="00DC1C56"/>
    <w:rsid w:val="00DC5142"/>
    <w:rsid w:val="00DC672B"/>
    <w:rsid w:val="00DD0288"/>
    <w:rsid w:val="00DD3F09"/>
    <w:rsid w:val="00DD774D"/>
    <w:rsid w:val="00DE018A"/>
    <w:rsid w:val="00DE2702"/>
    <w:rsid w:val="00DE4AE8"/>
    <w:rsid w:val="00DE4E41"/>
    <w:rsid w:val="00DE53C6"/>
    <w:rsid w:val="00DE75F7"/>
    <w:rsid w:val="00DF2340"/>
    <w:rsid w:val="00DF72C4"/>
    <w:rsid w:val="00E00501"/>
    <w:rsid w:val="00E01711"/>
    <w:rsid w:val="00E023F3"/>
    <w:rsid w:val="00E05641"/>
    <w:rsid w:val="00E06B04"/>
    <w:rsid w:val="00E17190"/>
    <w:rsid w:val="00E17B6F"/>
    <w:rsid w:val="00E20588"/>
    <w:rsid w:val="00E31223"/>
    <w:rsid w:val="00E32F8D"/>
    <w:rsid w:val="00E35005"/>
    <w:rsid w:val="00E375E0"/>
    <w:rsid w:val="00E37A2D"/>
    <w:rsid w:val="00E40665"/>
    <w:rsid w:val="00E40EEE"/>
    <w:rsid w:val="00E42AD0"/>
    <w:rsid w:val="00E4487D"/>
    <w:rsid w:val="00E46EE2"/>
    <w:rsid w:val="00E50F2C"/>
    <w:rsid w:val="00E513A9"/>
    <w:rsid w:val="00E5239E"/>
    <w:rsid w:val="00E53391"/>
    <w:rsid w:val="00E5519A"/>
    <w:rsid w:val="00E56257"/>
    <w:rsid w:val="00E62256"/>
    <w:rsid w:val="00E63B94"/>
    <w:rsid w:val="00E66286"/>
    <w:rsid w:val="00E71315"/>
    <w:rsid w:val="00E71E97"/>
    <w:rsid w:val="00E72E08"/>
    <w:rsid w:val="00E73B7D"/>
    <w:rsid w:val="00E740A7"/>
    <w:rsid w:val="00E75DB8"/>
    <w:rsid w:val="00E8127D"/>
    <w:rsid w:val="00E85C41"/>
    <w:rsid w:val="00E86435"/>
    <w:rsid w:val="00E928C2"/>
    <w:rsid w:val="00E929F0"/>
    <w:rsid w:val="00EA45A7"/>
    <w:rsid w:val="00EA60FE"/>
    <w:rsid w:val="00EB07DD"/>
    <w:rsid w:val="00EB2294"/>
    <w:rsid w:val="00EB2721"/>
    <w:rsid w:val="00EC16B2"/>
    <w:rsid w:val="00ED0E35"/>
    <w:rsid w:val="00ED42F2"/>
    <w:rsid w:val="00ED5005"/>
    <w:rsid w:val="00EE28E3"/>
    <w:rsid w:val="00EE6D7B"/>
    <w:rsid w:val="00EF1C0A"/>
    <w:rsid w:val="00EF65D0"/>
    <w:rsid w:val="00EF6D0E"/>
    <w:rsid w:val="00EF7045"/>
    <w:rsid w:val="00F00E22"/>
    <w:rsid w:val="00F042A8"/>
    <w:rsid w:val="00F055B3"/>
    <w:rsid w:val="00F14B1C"/>
    <w:rsid w:val="00F1540E"/>
    <w:rsid w:val="00F275BE"/>
    <w:rsid w:val="00F27F9D"/>
    <w:rsid w:val="00F33AF3"/>
    <w:rsid w:val="00F3672F"/>
    <w:rsid w:val="00F40A66"/>
    <w:rsid w:val="00F413BF"/>
    <w:rsid w:val="00F4165A"/>
    <w:rsid w:val="00F41B6E"/>
    <w:rsid w:val="00F4454B"/>
    <w:rsid w:val="00F46213"/>
    <w:rsid w:val="00F47BAC"/>
    <w:rsid w:val="00F50416"/>
    <w:rsid w:val="00F51A54"/>
    <w:rsid w:val="00F51D7B"/>
    <w:rsid w:val="00F53496"/>
    <w:rsid w:val="00F57C19"/>
    <w:rsid w:val="00F62A52"/>
    <w:rsid w:val="00F62E35"/>
    <w:rsid w:val="00F6589B"/>
    <w:rsid w:val="00F67DAB"/>
    <w:rsid w:val="00F74C9E"/>
    <w:rsid w:val="00F7716A"/>
    <w:rsid w:val="00F847D5"/>
    <w:rsid w:val="00F90EEF"/>
    <w:rsid w:val="00F92663"/>
    <w:rsid w:val="00F9349E"/>
    <w:rsid w:val="00FB0C88"/>
    <w:rsid w:val="00FB405A"/>
    <w:rsid w:val="00FB6396"/>
    <w:rsid w:val="00FD0AA9"/>
    <w:rsid w:val="00FD5FD7"/>
    <w:rsid w:val="00FD6547"/>
    <w:rsid w:val="00FD6761"/>
    <w:rsid w:val="00FD7383"/>
    <w:rsid w:val="00FE0451"/>
    <w:rsid w:val="00FE10FF"/>
    <w:rsid w:val="00FE13F6"/>
    <w:rsid w:val="00FE3B63"/>
    <w:rsid w:val="00FE6086"/>
    <w:rsid w:val="00FF1707"/>
    <w:rsid w:val="00FF3087"/>
    <w:rsid w:val="0CD41959"/>
    <w:rsid w:val="21804306"/>
    <w:rsid w:val="3D674549"/>
    <w:rsid w:val="674548F2"/>
    <w:rsid w:val="6E567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B4DA6"/>
  <w15:docId w15:val="{CFC0E10A-F30A-47F8-87B5-94F2E69B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footer"/>
    <w:basedOn w:val="a"/>
    <w:link w:val="a6"/>
    <w:uiPriority w:val="99"/>
    <w:unhideWhenUsed/>
    <w:pPr>
      <w:tabs>
        <w:tab w:val="center" w:pos="4153"/>
        <w:tab w:val="right" w:pos="8306"/>
      </w:tabs>
      <w:snapToGrid w:val="0"/>
      <w:jc w:val="left"/>
    </w:pPr>
    <w:rPr>
      <w:rFonts w:ascii="Times New Roman" w:hAnsi="Times New Roman" w:cstheme="minorBidi"/>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rFonts w:ascii="Times New Roman" w:hAnsi="Times New Roman" w:cstheme="minorBidi"/>
      <w:sz w:val="18"/>
      <w:szCs w:val="18"/>
    </w:rPr>
  </w:style>
  <w:style w:type="paragraph" w:styleId="a9">
    <w:name w:val="annotation subject"/>
    <w:basedOn w:val="a3"/>
    <w:next w:val="a3"/>
    <w:link w:val="aa"/>
    <w:uiPriority w:val="99"/>
    <w:semiHidden/>
    <w:unhideWhenUsed/>
    <w:rPr>
      <w:b/>
      <w:bCs/>
    </w:rPr>
  </w:style>
  <w:style w:type="character" w:styleId="ab">
    <w:name w:val="annotation reference"/>
    <w:basedOn w:val="a0"/>
    <w:uiPriority w:val="99"/>
    <w:semiHidden/>
    <w:unhideWhenUsed/>
    <w:rPr>
      <w:sz w:val="21"/>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005Char">
    <w:name w:val="005正文 Char"/>
    <w:link w:val="005"/>
    <w:qFormat/>
    <w:rPr>
      <w:rFonts w:ascii="Times New Roman" w:eastAsia="宋体" w:hAnsi="Times New Roman" w:cs="Times New Roman"/>
      <w:sz w:val="24"/>
    </w:rPr>
  </w:style>
  <w:style w:type="paragraph" w:customStyle="1" w:styleId="005">
    <w:name w:val="005正文"/>
    <w:link w:val="005Char"/>
    <w:qFormat/>
    <w:pPr>
      <w:widowControl w:val="0"/>
      <w:spacing w:beforeLines="50" w:before="50" w:afterLines="50" w:after="50" w:line="360" w:lineRule="auto"/>
      <w:ind w:firstLineChars="200" w:firstLine="200"/>
      <w:jc w:val="both"/>
    </w:pPr>
    <w:rPr>
      <w:rFonts w:cs="Times New Roman"/>
      <w:kern w:val="2"/>
      <w:sz w:val="24"/>
      <w:szCs w:val="22"/>
    </w:rPr>
  </w:style>
  <w:style w:type="character" w:customStyle="1" w:styleId="002Char">
    <w:name w:val="002二级标题 Char"/>
    <w:link w:val="002"/>
    <w:qFormat/>
    <w:rPr>
      <w:rFonts w:eastAsia="黑体" w:cs="Times New Roman"/>
      <w:b/>
      <w:bCs/>
      <w:sz w:val="28"/>
      <w:szCs w:val="28"/>
    </w:rPr>
  </w:style>
  <w:style w:type="paragraph" w:customStyle="1" w:styleId="002">
    <w:name w:val="002二级标题"/>
    <w:link w:val="002Char"/>
    <w:qFormat/>
    <w:pPr>
      <w:keepNext/>
      <w:keepLines/>
      <w:widowControl w:val="0"/>
      <w:spacing w:beforeLines="50" w:before="50" w:afterLines="50" w:after="50" w:line="360" w:lineRule="auto"/>
      <w:jc w:val="both"/>
      <w:outlineLvl w:val="1"/>
    </w:pPr>
    <w:rPr>
      <w:rFonts w:eastAsia="黑体" w:cs="Times New Roman"/>
      <w:b/>
      <w:bCs/>
      <w:kern w:val="2"/>
      <w:sz w:val="28"/>
      <w:szCs w:val="28"/>
    </w:rPr>
  </w:style>
  <w:style w:type="character" w:customStyle="1" w:styleId="003Char">
    <w:name w:val="003三级标题 Char"/>
    <w:link w:val="003"/>
    <w:qFormat/>
    <w:rPr>
      <w:rFonts w:eastAsia="黑体" w:cs="Times New Roman"/>
      <w:b/>
      <w:bCs/>
      <w:sz w:val="24"/>
      <w:szCs w:val="28"/>
    </w:rPr>
  </w:style>
  <w:style w:type="paragraph" w:customStyle="1" w:styleId="003">
    <w:name w:val="003三级标题"/>
    <w:link w:val="003Char"/>
    <w:qFormat/>
    <w:pPr>
      <w:keepNext/>
      <w:keepLines/>
      <w:widowControl w:val="0"/>
      <w:spacing w:beforeLines="50" w:before="50" w:afterLines="50" w:after="50" w:line="360" w:lineRule="auto"/>
      <w:jc w:val="both"/>
      <w:outlineLvl w:val="2"/>
    </w:pPr>
    <w:rPr>
      <w:rFonts w:eastAsia="黑体" w:cs="Times New Roman"/>
      <w:b/>
      <w:bCs/>
      <w:kern w:val="2"/>
      <w:sz w:val="24"/>
      <w:szCs w:val="28"/>
    </w:rPr>
  </w:style>
  <w:style w:type="character" w:customStyle="1" w:styleId="004Char">
    <w:name w:val="004四级标题 Char"/>
    <w:link w:val="004"/>
    <w:qFormat/>
    <w:rPr>
      <w:rFonts w:ascii="Times New Roman" w:eastAsia="宋体" w:hAnsi="Times New Roman" w:cs="Times New Roman"/>
      <w:b/>
      <w:bCs/>
      <w:sz w:val="24"/>
      <w:szCs w:val="28"/>
      <w:lang w:val="zh-CN" w:eastAsia="zh-CN"/>
    </w:rPr>
  </w:style>
  <w:style w:type="paragraph" w:customStyle="1" w:styleId="004">
    <w:name w:val="004四级标题"/>
    <w:link w:val="004Char"/>
    <w:qFormat/>
    <w:pPr>
      <w:keepNext/>
      <w:keepLines/>
      <w:widowControl w:val="0"/>
      <w:spacing w:beforeLines="50" w:before="50" w:afterLines="50" w:after="50" w:line="360" w:lineRule="auto"/>
      <w:ind w:firstLineChars="200" w:firstLine="200"/>
      <w:jc w:val="both"/>
      <w:outlineLvl w:val="3"/>
    </w:pPr>
    <w:rPr>
      <w:rFonts w:cs="Times New Roman"/>
      <w:b/>
      <w:bCs/>
      <w:kern w:val="2"/>
      <w:sz w:val="24"/>
      <w:szCs w:val="28"/>
      <w:lang w:val="zh-CN"/>
    </w:rPr>
  </w:style>
  <w:style w:type="paragraph" w:customStyle="1" w:styleId="009">
    <w:name w:val="009单位"/>
    <w:link w:val="009Char"/>
    <w:pPr>
      <w:keepNext/>
      <w:widowControl w:val="0"/>
      <w:jc w:val="right"/>
    </w:pPr>
    <w:rPr>
      <w:rFonts w:cs="Times New Roman"/>
      <w:kern w:val="2"/>
      <w:sz w:val="21"/>
      <w:szCs w:val="22"/>
    </w:rPr>
  </w:style>
  <w:style w:type="paragraph" w:customStyle="1" w:styleId="001">
    <w:name w:val="001一级标题"/>
    <w:link w:val="001Char"/>
    <w:qFormat/>
    <w:pPr>
      <w:keepNext/>
      <w:keepLines/>
      <w:pageBreakBefore/>
      <w:widowControl w:val="0"/>
      <w:spacing w:beforeLines="50" w:before="50" w:afterLines="50" w:after="50" w:line="360" w:lineRule="auto"/>
      <w:jc w:val="center"/>
      <w:outlineLvl w:val="0"/>
    </w:pPr>
    <w:rPr>
      <w:rFonts w:eastAsia="黑体" w:cs="Times New Roman"/>
      <w:b/>
      <w:bCs/>
      <w:kern w:val="2"/>
      <w:sz w:val="32"/>
      <w:szCs w:val="28"/>
      <w:lang w:val="zh-CN"/>
    </w:rPr>
  </w:style>
  <w:style w:type="paragraph" w:customStyle="1" w:styleId="006">
    <w:name w:val="006备注"/>
    <w:link w:val="006Char"/>
    <w:qFormat/>
    <w:pPr>
      <w:widowControl w:val="0"/>
      <w:jc w:val="both"/>
    </w:pPr>
    <w:rPr>
      <w:rFonts w:cs="Arial"/>
      <w:bCs/>
      <w:kern w:val="2"/>
      <w:sz w:val="21"/>
      <w:szCs w:val="22"/>
    </w:rPr>
  </w:style>
  <w:style w:type="character" w:customStyle="1" w:styleId="009Char">
    <w:name w:val="009单位 Char"/>
    <w:link w:val="009"/>
    <w:qFormat/>
    <w:rPr>
      <w:rFonts w:ascii="Times New Roman" w:eastAsia="宋体" w:hAnsi="Times New Roman" w:cs="Times New Roman"/>
    </w:rPr>
  </w:style>
  <w:style w:type="character" w:customStyle="1" w:styleId="006Char">
    <w:name w:val="006备注 Char"/>
    <w:link w:val="006"/>
    <w:qFormat/>
    <w:rPr>
      <w:rFonts w:ascii="Times New Roman" w:eastAsia="宋体" w:hAnsi="Times New Roman" w:cs="Arial"/>
      <w:bCs/>
    </w:rPr>
  </w:style>
  <w:style w:type="character" w:customStyle="1" w:styleId="001Char">
    <w:name w:val="001一级标题 Char"/>
    <w:link w:val="001"/>
    <w:qFormat/>
    <w:rPr>
      <w:rFonts w:ascii="Times New Roman" w:eastAsia="黑体" w:hAnsi="Times New Roman" w:cs="Times New Roman"/>
      <w:b/>
      <w:bCs/>
      <w:sz w:val="32"/>
      <w:szCs w:val="28"/>
      <w:lang w:val="zh-CN" w:eastAsia="zh-CN"/>
    </w:rPr>
  </w:style>
  <w:style w:type="character" w:customStyle="1" w:styleId="a4">
    <w:name w:val="批注文字 字符"/>
    <w:basedOn w:val="a0"/>
    <w:link w:val="a3"/>
    <w:uiPriority w:val="99"/>
    <w:qFormat/>
    <w:rPr>
      <w:rFonts w:ascii="Calibri" w:hAnsi="Calibri" w:cs="Times New Roman"/>
      <w:szCs w:val="24"/>
    </w:rPr>
  </w:style>
  <w:style w:type="character" w:customStyle="1" w:styleId="aa">
    <w:name w:val="批注主题 字符"/>
    <w:basedOn w:val="a4"/>
    <w:link w:val="a9"/>
    <w:uiPriority w:val="99"/>
    <w:semiHidden/>
    <w:rPr>
      <w:rFonts w:ascii="Calibri" w:hAnsi="Calibri" w:cs="Times New Roman"/>
      <w:b/>
      <w:bCs/>
      <w:szCs w:val="24"/>
    </w:rPr>
  </w:style>
  <w:style w:type="paragraph" w:customStyle="1" w:styleId="1">
    <w:name w:val="修订1"/>
    <w:hidden/>
    <w:uiPriority w:val="99"/>
    <w:semiHidden/>
    <w:qFormat/>
    <w:rPr>
      <w:rFonts w:ascii="Calibri" w:hAnsi="Calibri" w:cs="Times New Roman"/>
      <w:kern w:val="2"/>
      <w:sz w:val="21"/>
      <w:szCs w:val="24"/>
    </w:rPr>
  </w:style>
  <w:style w:type="paragraph" w:styleId="ac">
    <w:name w:val="Revision"/>
    <w:hidden/>
    <w:uiPriority w:val="99"/>
    <w:unhideWhenUsed/>
    <w:rsid w:val="007A503B"/>
    <w:rPr>
      <w:rFonts w:ascii="Calibri" w:hAnsi="Calibri" w:cs="Times New Roman"/>
      <w:kern w:val="2"/>
      <w:sz w:val="21"/>
      <w:szCs w:val="24"/>
    </w:rPr>
  </w:style>
  <w:style w:type="paragraph" w:styleId="ad">
    <w:name w:val="Normal (Web)"/>
    <w:basedOn w:val="a"/>
    <w:uiPriority w:val="99"/>
    <w:semiHidden/>
    <w:unhideWhenUsed/>
    <w:rsid w:val="008515C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5360594">
      <w:bodyDiv w:val="1"/>
      <w:marLeft w:val="0"/>
      <w:marRight w:val="0"/>
      <w:marTop w:val="0"/>
      <w:marBottom w:val="0"/>
      <w:divBdr>
        <w:top w:val="none" w:sz="0" w:space="0" w:color="auto"/>
        <w:left w:val="none" w:sz="0" w:space="0" w:color="auto"/>
        <w:bottom w:val="none" w:sz="0" w:space="0" w:color="auto"/>
        <w:right w:val="none" w:sz="0" w:space="0" w:color="auto"/>
      </w:divBdr>
    </w:div>
    <w:div w:id="1442217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149CA-C979-4CC4-B1DB-AB29FE66D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1693</Words>
  <Characters>1761</Characters>
  <Application>Microsoft Office Word</Application>
  <DocSecurity>0</DocSecurity>
  <Lines>73</Lines>
  <Paragraphs>57</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何 裕恒</dc:creator>
  <cp:lastModifiedBy>- zmd</cp:lastModifiedBy>
  <cp:revision>12</cp:revision>
  <dcterms:created xsi:type="dcterms:W3CDTF">2026-10-20T08:03:00Z</dcterms:created>
  <dcterms:modified xsi:type="dcterms:W3CDTF">2026-10-20T09:39:00Z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758E0C9399554BA2B7AC47FF9782EDDA_13</vt:lpwstr>
  </property>
  <property fmtid="{D5CDD505-2E9C-101B-9397-08002B2CF9AE}" pid="4" name="KSOTemplateDocerSaveRecord">
    <vt:lpwstr>eyJoZGlkIjoiOTk1ZjllZmI0OTJiMTM3ZTQ2MjEzMzNhNDFhMzBjZGYiLCJ1c2VySWQiOiI1MjUyNjA3NjIifQ==</vt:lpwstr>
  </property>
</Properties>
</file>