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07F7F93">
      <w:pPr>
        <w:keepNext/>
        <w:keepLines/>
        <w:spacing w:before="260" w:after="260" w:line="360" w:lineRule="auto"/>
        <w:outlineLvl w:val="1"/>
        <w:rPr>
          <w:rFonts w:hint="eastAsia" w:ascii="宋体" w:hAnsi="宋体"/>
          <w:b/>
          <w:bCs/>
          <w:iCs/>
          <w:sz w:val="24"/>
          <w:szCs w:val="24"/>
        </w:rPr>
      </w:pPr>
      <w:r>
        <w:rPr>
          <w:rFonts w:hint="eastAsia" w:ascii="宋体" w:hAnsi="宋体"/>
          <w:b/>
          <w:bCs/>
          <w:iCs/>
          <w:sz w:val="24"/>
          <w:szCs w:val="24"/>
        </w:rPr>
        <w:t>证券代码：688621                                证券简称：阳光诺和</w:t>
      </w:r>
    </w:p>
    <w:p w14:paraId="193C9A26">
      <w:pPr>
        <w:keepNext/>
        <w:keepLines/>
        <w:spacing w:before="20" w:after="20"/>
        <w:jc w:val="center"/>
        <w:outlineLvl w:val="1"/>
        <w:rPr>
          <w:rFonts w:hint="eastAsia" w:ascii="宋体" w:hAnsi="宋体"/>
          <w:b/>
          <w:bCs/>
          <w:sz w:val="36"/>
          <w:szCs w:val="36"/>
        </w:rPr>
      </w:pPr>
      <w:r>
        <w:rPr>
          <w:rFonts w:hint="eastAsia" w:ascii="宋体" w:hAnsi="宋体"/>
          <w:b/>
          <w:sz w:val="36"/>
          <w:szCs w:val="36"/>
        </w:rPr>
        <w:t>北京阳光诺和药物研究</w:t>
      </w:r>
      <w:r>
        <w:rPr>
          <w:rFonts w:hint="eastAsia" w:ascii="宋体" w:hAnsi="宋体"/>
          <w:b/>
          <w:bCs/>
          <w:sz w:val="36"/>
          <w:szCs w:val="36"/>
        </w:rPr>
        <w:t>股份有限公司</w:t>
      </w:r>
    </w:p>
    <w:p w14:paraId="1DE76FD4">
      <w:pPr>
        <w:keepNext/>
        <w:keepLines/>
        <w:spacing w:before="20" w:after="20"/>
        <w:jc w:val="center"/>
        <w:outlineLvl w:val="1"/>
        <w:rPr>
          <w:rFonts w:hint="eastAsia" w:ascii="宋体" w:hAnsi="宋体"/>
          <w:b/>
          <w:bCs/>
          <w:sz w:val="36"/>
          <w:szCs w:val="36"/>
        </w:rPr>
      </w:pPr>
      <w:r>
        <w:rPr>
          <w:rFonts w:hint="eastAsia" w:ascii="宋体" w:hAnsi="宋体"/>
          <w:b/>
          <w:bCs/>
          <w:sz w:val="36"/>
          <w:szCs w:val="36"/>
        </w:rPr>
        <w:t>投资者关系活动记录表</w:t>
      </w:r>
    </w:p>
    <w:p w14:paraId="1D3EAABF">
      <w:pPr>
        <w:spacing w:line="360" w:lineRule="auto"/>
        <w:jc w:val="center"/>
        <w:rPr>
          <w:rFonts w:hint="eastAsia" w:ascii="宋体" w:hAnsi="宋体"/>
          <w:b/>
          <w:iCs/>
          <w:sz w:val="24"/>
          <w:szCs w:val="24"/>
        </w:rPr>
      </w:pPr>
      <w:r>
        <w:rPr>
          <w:rFonts w:hint="eastAsia" w:ascii="宋体" w:hAnsi="宋体"/>
          <w:b/>
          <w:iCs/>
          <w:sz w:val="24"/>
          <w:szCs w:val="24"/>
        </w:rPr>
        <w:t>（20</w:t>
      </w:r>
      <w:r>
        <w:rPr>
          <w:rFonts w:ascii="宋体" w:hAnsi="宋体"/>
          <w:b/>
          <w:iCs/>
          <w:sz w:val="24"/>
          <w:szCs w:val="24"/>
        </w:rPr>
        <w:t>2</w:t>
      </w:r>
      <w:r>
        <w:rPr>
          <w:rFonts w:hint="eastAsia" w:ascii="宋体" w:hAnsi="宋体"/>
          <w:b/>
          <w:iCs/>
          <w:sz w:val="24"/>
          <w:szCs w:val="24"/>
          <w:lang w:val="en-US" w:eastAsia="zh-CN"/>
        </w:rPr>
        <w:t>6</w:t>
      </w:r>
      <w:r>
        <w:rPr>
          <w:rFonts w:hint="eastAsia" w:ascii="宋体" w:hAnsi="宋体"/>
          <w:b/>
          <w:iCs/>
          <w:sz w:val="24"/>
          <w:szCs w:val="24"/>
        </w:rPr>
        <w:t>年</w:t>
      </w:r>
      <w:r>
        <w:rPr>
          <w:rFonts w:hint="eastAsia" w:ascii="宋体" w:hAnsi="宋体"/>
          <w:b/>
          <w:iCs/>
          <w:sz w:val="24"/>
          <w:szCs w:val="24"/>
          <w:lang w:val="en-US" w:eastAsia="zh-CN"/>
        </w:rPr>
        <w:t>10</w:t>
      </w:r>
      <w:r>
        <w:rPr>
          <w:rFonts w:hint="eastAsia" w:ascii="宋体" w:hAnsi="宋体"/>
          <w:b/>
          <w:iCs/>
          <w:sz w:val="24"/>
          <w:szCs w:val="24"/>
        </w:rPr>
        <w:t>月）</w:t>
      </w:r>
    </w:p>
    <w:tbl>
      <w:tblPr>
        <w:tblStyle w:val="5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093"/>
        <w:gridCol w:w="6203"/>
      </w:tblGrid>
      <w:tr w14:paraId="2F973973">
        <w:tc>
          <w:tcPr>
            <w:tcW w:w="2093" w:type="dxa"/>
            <w:vAlign w:val="center"/>
          </w:tcPr>
          <w:p w14:paraId="199D38DD">
            <w:pPr>
              <w:spacing w:line="360" w:lineRule="auto"/>
              <w:jc w:val="center"/>
              <w:rPr>
                <w:rFonts w:hint="eastAsia" w:ascii="宋体" w:hAnsi="宋体"/>
                <w:b/>
                <w:bCs/>
                <w:iCs/>
                <w:sz w:val="24"/>
                <w:szCs w:val="24"/>
              </w:rPr>
            </w:pPr>
            <w:r>
              <w:rPr>
                <w:rFonts w:hint="eastAsia" w:ascii="宋体" w:hAnsi="宋体"/>
                <w:b/>
                <w:bCs/>
                <w:iCs/>
                <w:sz w:val="24"/>
                <w:szCs w:val="24"/>
              </w:rPr>
              <w:t>投资者关系活动类别</w:t>
            </w:r>
          </w:p>
        </w:tc>
        <w:tc>
          <w:tcPr>
            <w:tcW w:w="6203" w:type="dxa"/>
            <w:vAlign w:val="center"/>
          </w:tcPr>
          <w:p w14:paraId="4936C92A">
            <w:pPr>
              <w:spacing w:line="360" w:lineRule="auto"/>
              <w:rPr>
                <w:rFonts w:hint="eastAsia" w:ascii="宋体" w:hAnsi="宋体"/>
                <w:bCs/>
                <w:iCs/>
                <w:sz w:val="24"/>
                <w:szCs w:val="24"/>
              </w:rPr>
            </w:pPr>
            <w:r>
              <w:rPr>
                <w:rFonts w:hint="eastAsia" w:ascii="宋体" w:hAnsi="宋体"/>
                <w:bCs/>
                <w:iCs/>
                <w:sz w:val="24"/>
                <w:szCs w:val="24"/>
              </w:rPr>
              <w:sym w:font="Wingdings 2" w:char="0052"/>
            </w:r>
            <w:r>
              <w:rPr>
                <w:rFonts w:hint="eastAsia" w:ascii="宋体" w:hAnsi="宋体"/>
                <w:sz w:val="24"/>
                <w:szCs w:val="24"/>
              </w:rPr>
              <w:t xml:space="preserve">特定对象调研        </w:t>
            </w:r>
            <w:r>
              <w:rPr>
                <w:rFonts w:hint="eastAsia" w:ascii="宋体" w:hAnsi="宋体"/>
                <w:bCs/>
                <w:iCs/>
                <w:sz w:val="24"/>
                <w:szCs w:val="24"/>
              </w:rPr>
              <w:sym w:font="Wingdings 2" w:char="00A3"/>
            </w:r>
            <w:r>
              <w:rPr>
                <w:rFonts w:hint="eastAsia" w:ascii="宋体" w:hAnsi="宋体"/>
                <w:sz w:val="24"/>
                <w:szCs w:val="24"/>
              </w:rPr>
              <w:t>分析师会议</w:t>
            </w:r>
          </w:p>
          <w:p w14:paraId="39B80EF3">
            <w:pPr>
              <w:spacing w:line="360" w:lineRule="auto"/>
              <w:rPr>
                <w:rFonts w:hint="eastAsia" w:ascii="宋体" w:hAnsi="宋体"/>
                <w:bCs/>
                <w:iCs/>
                <w:sz w:val="24"/>
                <w:szCs w:val="24"/>
              </w:rPr>
            </w:pPr>
            <w:r>
              <w:rPr>
                <w:rFonts w:hint="eastAsia" w:ascii="宋体" w:hAnsi="宋体"/>
                <w:bCs/>
                <w:iCs/>
                <w:sz w:val="24"/>
                <w:szCs w:val="24"/>
              </w:rPr>
              <w:t>□</w:t>
            </w:r>
            <w:r>
              <w:rPr>
                <w:rFonts w:hint="eastAsia" w:ascii="宋体" w:hAnsi="宋体"/>
                <w:sz w:val="24"/>
                <w:szCs w:val="24"/>
              </w:rPr>
              <w:t xml:space="preserve">媒体采访            </w:t>
            </w:r>
            <w:r>
              <w:rPr>
                <w:rFonts w:hint="eastAsia" w:ascii="宋体" w:hAnsi="宋体"/>
                <w:bCs/>
                <w:iCs/>
                <w:sz w:val="24"/>
                <w:szCs w:val="24"/>
              </w:rPr>
              <w:sym w:font="Wingdings 2" w:char="00A3"/>
            </w:r>
            <w:r>
              <w:rPr>
                <w:rFonts w:hint="eastAsia" w:ascii="宋体" w:hAnsi="宋体"/>
                <w:sz w:val="24"/>
                <w:szCs w:val="24"/>
              </w:rPr>
              <w:t>业绩说明会</w:t>
            </w:r>
          </w:p>
          <w:p w14:paraId="7EBD013F">
            <w:pPr>
              <w:spacing w:line="360" w:lineRule="auto"/>
              <w:rPr>
                <w:rFonts w:hint="eastAsia" w:ascii="宋体" w:hAnsi="宋体"/>
                <w:bCs/>
                <w:iCs/>
                <w:sz w:val="24"/>
                <w:szCs w:val="24"/>
              </w:rPr>
            </w:pPr>
            <w:r>
              <w:rPr>
                <w:rFonts w:hint="eastAsia" w:ascii="宋体" w:hAnsi="宋体"/>
                <w:bCs/>
                <w:iCs/>
                <w:sz w:val="24"/>
                <w:szCs w:val="24"/>
              </w:rPr>
              <w:t>□</w:t>
            </w:r>
            <w:r>
              <w:rPr>
                <w:rFonts w:hint="eastAsia" w:ascii="宋体" w:hAnsi="宋体"/>
                <w:sz w:val="24"/>
                <w:szCs w:val="24"/>
              </w:rPr>
              <w:t xml:space="preserve">新闻发布会          </w:t>
            </w:r>
            <w:r>
              <w:rPr>
                <w:rFonts w:hint="eastAsia" w:ascii="宋体" w:hAnsi="宋体"/>
                <w:bCs/>
                <w:iCs/>
                <w:sz w:val="24"/>
                <w:szCs w:val="24"/>
              </w:rPr>
              <w:t>□</w:t>
            </w:r>
            <w:r>
              <w:rPr>
                <w:rFonts w:hint="eastAsia" w:ascii="宋体" w:hAnsi="宋体"/>
                <w:sz w:val="24"/>
                <w:szCs w:val="24"/>
              </w:rPr>
              <w:t>路演活动</w:t>
            </w:r>
          </w:p>
          <w:p w14:paraId="51719483">
            <w:pPr>
              <w:tabs>
                <w:tab w:val="left" w:pos="3045"/>
                <w:tab w:val="center" w:pos="3199"/>
              </w:tabs>
              <w:spacing w:line="360" w:lineRule="auto"/>
              <w:rPr>
                <w:rFonts w:hint="eastAsia" w:ascii="宋体" w:hAnsi="宋体"/>
                <w:bCs/>
                <w:iCs/>
                <w:sz w:val="24"/>
                <w:szCs w:val="24"/>
              </w:rPr>
            </w:pPr>
            <w:r>
              <w:rPr>
                <w:rFonts w:hint="eastAsia" w:ascii="宋体" w:hAnsi="宋体"/>
                <w:bCs/>
                <w:iCs/>
                <w:sz w:val="24"/>
                <w:szCs w:val="24"/>
              </w:rPr>
              <w:sym w:font="Wingdings 2" w:char="F0A3"/>
            </w:r>
            <w:r>
              <w:rPr>
                <w:rFonts w:hint="eastAsia" w:ascii="宋体" w:hAnsi="宋体"/>
                <w:sz w:val="24"/>
                <w:szCs w:val="24"/>
              </w:rPr>
              <w:t>现场参观</w:t>
            </w:r>
            <w:r>
              <w:rPr>
                <w:rFonts w:ascii="宋体" w:hAnsi="宋体"/>
                <w:bCs/>
                <w:iCs/>
                <w:sz w:val="24"/>
                <w:szCs w:val="24"/>
              </w:rPr>
              <w:tab/>
            </w:r>
          </w:p>
          <w:p w14:paraId="232496E4">
            <w:pPr>
              <w:tabs>
                <w:tab w:val="center" w:pos="3199"/>
              </w:tabs>
              <w:spacing w:line="360" w:lineRule="auto"/>
              <w:rPr>
                <w:rFonts w:hint="eastAsia" w:ascii="宋体" w:hAnsi="宋体"/>
                <w:bCs/>
                <w:iCs/>
                <w:sz w:val="24"/>
                <w:szCs w:val="24"/>
              </w:rPr>
            </w:pPr>
            <w:r>
              <w:rPr>
                <w:rFonts w:hint="eastAsia" w:ascii="宋体" w:hAnsi="宋体"/>
                <w:bCs/>
                <w:iCs/>
                <w:sz w:val="24"/>
                <w:szCs w:val="24"/>
              </w:rPr>
              <w:sym w:font="Wingdings 2" w:char="00A3"/>
            </w:r>
            <w:r>
              <w:rPr>
                <w:rFonts w:hint="eastAsia" w:ascii="宋体" w:hAnsi="宋体"/>
                <w:sz w:val="24"/>
                <w:szCs w:val="24"/>
              </w:rPr>
              <w:t>其他（电话会议）</w:t>
            </w:r>
          </w:p>
        </w:tc>
      </w:tr>
      <w:tr w14:paraId="3C4F866A">
        <w:tc>
          <w:tcPr>
            <w:tcW w:w="2093" w:type="dxa"/>
            <w:vAlign w:val="center"/>
          </w:tcPr>
          <w:p w14:paraId="03403BC2">
            <w:pPr>
              <w:spacing w:line="360" w:lineRule="auto"/>
              <w:jc w:val="center"/>
              <w:rPr>
                <w:rFonts w:hint="eastAsia" w:ascii="宋体" w:hAnsi="宋体" w:eastAsia="宋体"/>
                <w:b/>
                <w:bCs/>
                <w:iCs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/>
                <w:b/>
                <w:bCs/>
                <w:iCs/>
                <w:sz w:val="24"/>
                <w:szCs w:val="24"/>
                <w:lang w:val="en-US" w:eastAsia="zh-CN"/>
              </w:rPr>
              <w:t>指导单位</w:t>
            </w:r>
          </w:p>
        </w:tc>
        <w:tc>
          <w:tcPr>
            <w:tcW w:w="6203" w:type="dxa"/>
          </w:tcPr>
          <w:p w14:paraId="7002519C">
            <w:pPr>
              <w:spacing w:line="360" w:lineRule="auto"/>
              <w:rPr>
                <w:rFonts w:hint="default" w:ascii="宋体" w:hAnsi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北京证监局</w:t>
            </w:r>
          </w:p>
        </w:tc>
      </w:tr>
      <w:tr w14:paraId="66FE83D2">
        <w:tc>
          <w:tcPr>
            <w:tcW w:w="2093" w:type="dxa"/>
            <w:vAlign w:val="center"/>
          </w:tcPr>
          <w:p w14:paraId="42DBF27F">
            <w:pPr>
              <w:spacing w:line="360" w:lineRule="auto"/>
              <w:jc w:val="center"/>
              <w:rPr>
                <w:rFonts w:hint="eastAsia" w:ascii="宋体" w:hAnsi="宋体" w:eastAsia="宋体"/>
                <w:b/>
                <w:bCs/>
                <w:iCs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/>
                <w:b/>
                <w:bCs/>
                <w:iCs/>
                <w:sz w:val="24"/>
                <w:szCs w:val="24"/>
                <w:lang w:val="en-US" w:eastAsia="zh-CN"/>
              </w:rPr>
              <w:t>主办单位</w:t>
            </w:r>
          </w:p>
        </w:tc>
        <w:tc>
          <w:tcPr>
            <w:tcW w:w="6203" w:type="dxa"/>
          </w:tcPr>
          <w:p w14:paraId="057CDB61">
            <w:pPr>
              <w:spacing w:line="360" w:lineRule="auto"/>
              <w:rPr>
                <w:rFonts w:hint="default" w:ascii="宋体" w:hAnsi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北京上市公司协会</w:t>
            </w:r>
          </w:p>
        </w:tc>
      </w:tr>
      <w:tr w14:paraId="68423899">
        <w:tc>
          <w:tcPr>
            <w:tcW w:w="2093" w:type="dxa"/>
            <w:vAlign w:val="center"/>
          </w:tcPr>
          <w:p w14:paraId="7D127FB3">
            <w:pPr>
              <w:spacing w:line="360" w:lineRule="auto"/>
              <w:jc w:val="center"/>
              <w:rPr>
                <w:rFonts w:hint="eastAsia" w:ascii="宋体" w:hAnsi="宋体" w:eastAsia="宋体"/>
                <w:b/>
                <w:bCs/>
                <w:iCs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/>
                <w:b/>
                <w:bCs/>
                <w:iCs/>
                <w:sz w:val="24"/>
                <w:szCs w:val="24"/>
                <w:lang w:val="en-US" w:eastAsia="zh-CN"/>
              </w:rPr>
              <w:t>承办单位</w:t>
            </w:r>
          </w:p>
        </w:tc>
        <w:tc>
          <w:tcPr>
            <w:tcW w:w="6203" w:type="dxa"/>
          </w:tcPr>
          <w:p w14:paraId="481434A0">
            <w:pPr>
              <w:spacing w:line="360" w:lineRule="auto"/>
              <w:rPr>
                <w:rFonts w:hint="default" w:ascii="宋体" w:hAnsi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北京阳光诺和药物研究股份有限公司</w:t>
            </w:r>
          </w:p>
        </w:tc>
      </w:tr>
      <w:tr w14:paraId="583E6985">
        <w:tc>
          <w:tcPr>
            <w:tcW w:w="2093" w:type="dxa"/>
            <w:vAlign w:val="center"/>
          </w:tcPr>
          <w:p w14:paraId="1D9CDF63">
            <w:pPr>
              <w:spacing w:line="360" w:lineRule="auto"/>
              <w:jc w:val="center"/>
              <w:rPr>
                <w:rFonts w:hint="eastAsia" w:ascii="宋体" w:hAnsi="宋体" w:eastAsia="宋体"/>
                <w:b/>
                <w:bCs/>
                <w:iCs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/>
                <w:b/>
                <w:bCs/>
                <w:iCs/>
                <w:sz w:val="24"/>
                <w:szCs w:val="24"/>
                <w:lang w:val="en-US" w:eastAsia="zh-CN"/>
              </w:rPr>
              <w:t>协办单位</w:t>
            </w:r>
          </w:p>
        </w:tc>
        <w:tc>
          <w:tcPr>
            <w:tcW w:w="6203" w:type="dxa"/>
          </w:tcPr>
          <w:p w14:paraId="0AC05F04">
            <w:pPr>
              <w:spacing w:line="360" w:lineRule="auto"/>
              <w:rPr>
                <w:rFonts w:hint="default" w:ascii="宋体" w:hAnsi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国联民生证券</w:t>
            </w:r>
          </w:p>
        </w:tc>
      </w:tr>
      <w:tr w14:paraId="32D65DE0">
        <w:tc>
          <w:tcPr>
            <w:tcW w:w="2093" w:type="dxa"/>
            <w:vAlign w:val="center"/>
          </w:tcPr>
          <w:p w14:paraId="45693AE8">
            <w:pPr>
              <w:spacing w:line="360" w:lineRule="auto"/>
              <w:jc w:val="center"/>
              <w:rPr>
                <w:rFonts w:hint="eastAsia" w:ascii="宋体" w:hAnsi="宋体" w:eastAsia="宋体"/>
                <w:b/>
                <w:bCs/>
                <w:iCs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/>
                <w:b/>
                <w:bCs/>
                <w:iCs/>
                <w:sz w:val="24"/>
                <w:szCs w:val="24"/>
                <w:lang w:val="en-US" w:eastAsia="zh-CN"/>
              </w:rPr>
              <w:t>媒体</w:t>
            </w:r>
          </w:p>
        </w:tc>
        <w:tc>
          <w:tcPr>
            <w:tcW w:w="6203" w:type="dxa"/>
          </w:tcPr>
          <w:p w14:paraId="63502FF8">
            <w:pPr>
              <w:spacing w:line="360" w:lineRule="auto"/>
              <w:rPr>
                <w:rFonts w:hint="default" w:ascii="宋体" w:hAnsi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上海证券报、证券日报</w:t>
            </w:r>
          </w:p>
        </w:tc>
      </w:tr>
      <w:tr w14:paraId="622A330B">
        <w:tc>
          <w:tcPr>
            <w:tcW w:w="2093" w:type="dxa"/>
            <w:vAlign w:val="center"/>
          </w:tcPr>
          <w:p w14:paraId="72B2D1EE">
            <w:pPr>
              <w:spacing w:line="360" w:lineRule="auto"/>
              <w:jc w:val="center"/>
              <w:rPr>
                <w:rFonts w:hint="eastAsia" w:ascii="宋体" w:hAnsi="宋体"/>
                <w:b/>
                <w:bCs/>
                <w:iCs/>
                <w:sz w:val="24"/>
                <w:szCs w:val="24"/>
              </w:rPr>
            </w:pPr>
            <w:r>
              <w:rPr>
                <w:rFonts w:hint="eastAsia" w:ascii="宋体" w:hAnsi="宋体"/>
                <w:b/>
                <w:bCs/>
                <w:iCs/>
                <w:sz w:val="24"/>
                <w:szCs w:val="24"/>
              </w:rPr>
              <w:t>参与单位名称</w:t>
            </w:r>
          </w:p>
        </w:tc>
        <w:tc>
          <w:tcPr>
            <w:tcW w:w="6203" w:type="dxa"/>
          </w:tcPr>
          <w:p w14:paraId="7CE61A69">
            <w:pPr>
              <w:spacing w:line="360" w:lineRule="auto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  <w:t>澜林投资、汇天诚</w:t>
            </w: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私募</w:t>
            </w:r>
            <w:r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  <w:t>、</w:t>
            </w: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四川大决策、</w:t>
            </w:r>
            <w:r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  <w:t>同德磐石、本见投资、元量致世</w:t>
            </w: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私募</w:t>
            </w:r>
            <w:r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  <w:t>、北京艳珍投资、见日资本、上海艳珍投资、</w:t>
            </w: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约调研平台、</w:t>
            </w:r>
            <w:r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  <w:t>上海证券天津营业部、宝弘景资产、博润银泰</w:t>
            </w: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投资</w:t>
            </w:r>
            <w:r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  <w:t>、万和证券、</w:t>
            </w: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中粮糖业、格蜚算屿科技、</w:t>
            </w:r>
            <w:bookmarkStart w:id="0" w:name="_GoBack"/>
            <w:bookmarkEnd w:id="0"/>
            <w:r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  <w:t>金友私募、</w:t>
            </w: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三元基金、</w:t>
            </w:r>
            <w:r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  <w:t>国泰海通</w:t>
            </w: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证券</w:t>
            </w:r>
            <w:r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  <w:t>、海量数据、江苏银行、北汽福田、</w:t>
            </w: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中国电影产业集团、</w:t>
            </w:r>
            <w:r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  <w:t>弘峰投资、华鑫证券、明汯投资、长风私募、西部证券、金汇资本</w:t>
            </w: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、万泰生物、交大思诺、观富资产、众安保险</w:t>
            </w:r>
          </w:p>
        </w:tc>
      </w:tr>
      <w:tr w14:paraId="63BC6D09">
        <w:tc>
          <w:tcPr>
            <w:tcW w:w="2093" w:type="dxa"/>
            <w:vAlign w:val="center"/>
          </w:tcPr>
          <w:p w14:paraId="1A8094E6">
            <w:pPr>
              <w:spacing w:line="360" w:lineRule="auto"/>
              <w:jc w:val="center"/>
              <w:rPr>
                <w:rFonts w:hint="eastAsia" w:ascii="宋体" w:hAnsi="宋体"/>
                <w:b/>
                <w:bCs/>
                <w:iCs/>
                <w:sz w:val="24"/>
                <w:szCs w:val="24"/>
              </w:rPr>
            </w:pPr>
            <w:r>
              <w:rPr>
                <w:rFonts w:hint="eastAsia" w:ascii="宋体" w:hAnsi="宋体"/>
                <w:b/>
                <w:bCs/>
                <w:iCs/>
                <w:sz w:val="24"/>
                <w:szCs w:val="24"/>
              </w:rPr>
              <w:t>时间</w:t>
            </w:r>
          </w:p>
        </w:tc>
        <w:tc>
          <w:tcPr>
            <w:tcW w:w="6203" w:type="dxa"/>
          </w:tcPr>
          <w:p w14:paraId="326BC5A2">
            <w:pPr>
              <w:spacing w:line="360" w:lineRule="auto"/>
              <w:rPr>
                <w:rFonts w:hint="default" w:ascii="宋体" w:hAnsi="宋体" w:eastAsia="宋体"/>
                <w:bCs/>
                <w:iCs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/>
                <w:bCs/>
                <w:iCs/>
                <w:sz w:val="24"/>
                <w:szCs w:val="24"/>
              </w:rPr>
              <w:t>20</w:t>
            </w:r>
            <w:r>
              <w:rPr>
                <w:rFonts w:ascii="宋体" w:hAnsi="宋体"/>
                <w:bCs/>
                <w:iCs/>
                <w:sz w:val="24"/>
                <w:szCs w:val="24"/>
              </w:rPr>
              <w:t>2</w:t>
            </w:r>
            <w:r>
              <w:rPr>
                <w:rFonts w:hint="eastAsia" w:ascii="宋体" w:hAnsi="宋体"/>
                <w:bCs/>
                <w:iCs/>
                <w:sz w:val="24"/>
                <w:szCs w:val="24"/>
                <w:lang w:val="en-US" w:eastAsia="zh-CN"/>
              </w:rPr>
              <w:t>6</w:t>
            </w:r>
            <w:r>
              <w:rPr>
                <w:rFonts w:hint="eastAsia" w:ascii="宋体" w:hAnsi="宋体"/>
                <w:bCs/>
                <w:iCs/>
                <w:sz w:val="24"/>
                <w:szCs w:val="24"/>
              </w:rPr>
              <w:t>年</w:t>
            </w:r>
            <w:r>
              <w:rPr>
                <w:rFonts w:hint="eastAsia" w:ascii="宋体" w:hAnsi="宋体"/>
                <w:bCs/>
                <w:iCs/>
                <w:sz w:val="24"/>
                <w:szCs w:val="24"/>
                <w:lang w:val="en-US" w:eastAsia="zh-CN"/>
              </w:rPr>
              <w:t>10</w:t>
            </w:r>
            <w:r>
              <w:rPr>
                <w:rFonts w:hint="eastAsia" w:ascii="宋体" w:hAnsi="宋体"/>
                <w:bCs/>
                <w:iCs/>
                <w:sz w:val="24"/>
                <w:szCs w:val="24"/>
              </w:rPr>
              <w:t>月</w:t>
            </w:r>
            <w:r>
              <w:rPr>
                <w:rFonts w:hint="eastAsia" w:ascii="宋体" w:hAnsi="宋体"/>
                <w:bCs/>
                <w:iCs/>
                <w:sz w:val="24"/>
                <w:szCs w:val="24"/>
                <w:lang w:val="en-US" w:eastAsia="zh-CN"/>
              </w:rPr>
              <w:t>21</w:t>
            </w:r>
            <w:r>
              <w:rPr>
                <w:rFonts w:hint="eastAsia" w:ascii="宋体" w:hAnsi="宋体"/>
                <w:bCs/>
                <w:iCs/>
                <w:sz w:val="24"/>
                <w:szCs w:val="24"/>
              </w:rPr>
              <w:t>日</w:t>
            </w:r>
          </w:p>
        </w:tc>
      </w:tr>
      <w:tr w14:paraId="2448A6CD">
        <w:tc>
          <w:tcPr>
            <w:tcW w:w="2093" w:type="dxa"/>
            <w:vAlign w:val="center"/>
          </w:tcPr>
          <w:p w14:paraId="3FEB7A8D">
            <w:pPr>
              <w:spacing w:line="360" w:lineRule="auto"/>
              <w:jc w:val="center"/>
              <w:rPr>
                <w:rFonts w:hint="eastAsia" w:ascii="宋体" w:hAnsi="宋体"/>
                <w:b/>
                <w:bCs/>
                <w:iCs/>
                <w:sz w:val="24"/>
                <w:szCs w:val="24"/>
              </w:rPr>
            </w:pPr>
            <w:r>
              <w:rPr>
                <w:rFonts w:hint="eastAsia" w:ascii="宋体" w:hAnsi="宋体"/>
                <w:b/>
                <w:bCs/>
                <w:iCs/>
                <w:sz w:val="24"/>
                <w:szCs w:val="24"/>
              </w:rPr>
              <w:t>参会方式</w:t>
            </w:r>
          </w:p>
        </w:tc>
        <w:tc>
          <w:tcPr>
            <w:tcW w:w="6203" w:type="dxa"/>
          </w:tcPr>
          <w:p w14:paraId="4C5F5090">
            <w:pPr>
              <w:spacing w:line="360" w:lineRule="auto"/>
              <w:rPr>
                <w:rFonts w:hint="eastAsia" w:ascii="宋体" w:hAnsi="宋体"/>
                <w:bCs/>
                <w:iCs/>
                <w:sz w:val="24"/>
                <w:szCs w:val="24"/>
              </w:rPr>
            </w:pPr>
            <w:r>
              <w:rPr>
                <w:rFonts w:hint="eastAsia" w:ascii="宋体" w:hAnsi="宋体"/>
                <w:bCs/>
                <w:iCs/>
                <w:sz w:val="24"/>
                <w:szCs w:val="24"/>
                <w:lang w:val="en-US" w:eastAsia="zh-CN"/>
              </w:rPr>
              <w:t>线下</w:t>
            </w:r>
            <w:r>
              <w:rPr>
                <w:rFonts w:hint="eastAsia" w:ascii="宋体" w:hAnsi="宋体"/>
                <w:bCs/>
                <w:iCs/>
                <w:sz w:val="24"/>
                <w:szCs w:val="24"/>
              </w:rPr>
              <w:t>会议</w:t>
            </w:r>
          </w:p>
        </w:tc>
      </w:tr>
      <w:tr w14:paraId="2200319B">
        <w:tc>
          <w:tcPr>
            <w:tcW w:w="2093" w:type="dxa"/>
            <w:vAlign w:val="center"/>
          </w:tcPr>
          <w:p w14:paraId="25249036">
            <w:pPr>
              <w:spacing w:line="360" w:lineRule="auto"/>
              <w:jc w:val="center"/>
              <w:rPr>
                <w:rFonts w:hint="eastAsia" w:ascii="宋体" w:hAnsi="宋体"/>
                <w:b/>
                <w:bCs/>
                <w:iCs/>
                <w:sz w:val="24"/>
                <w:szCs w:val="24"/>
              </w:rPr>
            </w:pPr>
            <w:r>
              <w:rPr>
                <w:rFonts w:hint="eastAsia" w:ascii="宋体" w:hAnsi="宋体"/>
                <w:b/>
                <w:bCs/>
                <w:iCs/>
                <w:sz w:val="24"/>
                <w:szCs w:val="24"/>
              </w:rPr>
              <w:t>上市公司接待人员姓名</w:t>
            </w:r>
          </w:p>
        </w:tc>
        <w:tc>
          <w:tcPr>
            <w:tcW w:w="6203" w:type="dxa"/>
            <w:vAlign w:val="center"/>
          </w:tcPr>
          <w:p w14:paraId="766FF0CF">
            <w:pPr>
              <w:spacing w:line="360" w:lineRule="auto"/>
              <w:rPr>
                <w:rFonts w:hint="eastAsia" w:ascii="宋体" w:hAnsi="宋体"/>
                <w:bCs/>
                <w:iCs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/>
                <w:bCs/>
                <w:iCs/>
                <w:sz w:val="24"/>
                <w:szCs w:val="24"/>
                <w:lang w:val="en-US" w:eastAsia="zh-CN"/>
              </w:rPr>
              <w:t>董事长：利虔先生</w:t>
            </w:r>
          </w:p>
          <w:p w14:paraId="5422822E">
            <w:pPr>
              <w:spacing w:line="360" w:lineRule="auto"/>
              <w:rPr>
                <w:rFonts w:hint="eastAsia" w:ascii="宋体" w:hAnsi="宋体"/>
                <w:bCs/>
                <w:iCs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/>
                <w:bCs/>
                <w:iCs/>
                <w:sz w:val="24"/>
                <w:szCs w:val="24"/>
                <w:lang w:val="en-US" w:eastAsia="zh-CN"/>
              </w:rPr>
              <w:t>财务总监：张执交先生</w:t>
            </w:r>
            <w:r>
              <w:rPr>
                <w:rFonts w:hint="eastAsia" w:ascii="宋体" w:hAnsi="宋体"/>
                <w:bCs/>
                <w:iCs/>
                <w:sz w:val="24"/>
                <w:szCs w:val="24"/>
                <w:lang w:val="en-US" w:eastAsia="zh-CN"/>
              </w:rPr>
              <w:br w:type="textWrapping"/>
            </w:r>
            <w:r>
              <w:rPr>
                <w:rFonts w:hint="eastAsia" w:ascii="宋体" w:hAnsi="宋体"/>
                <w:bCs/>
                <w:iCs/>
                <w:sz w:val="24"/>
                <w:szCs w:val="24"/>
                <w:lang w:val="en-US" w:eastAsia="zh-CN"/>
              </w:rPr>
              <w:t>董事会秘书：魏丽萍女士</w:t>
            </w:r>
          </w:p>
          <w:p w14:paraId="6007AECD">
            <w:pPr>
              <w:spacing w:line="360" w:lineRule="auto"/>
              <w:rPr>
                <w:rFonts w:hint="default" w:ascii="宋体" w:hAnsi="宋体"/>
                <w:bCs/>
                <w:iCs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/>
                <w:bCs/>
                <w:iCs/>
                <w:sz w:val="24"/>
                <w:szCs w:val="24"/>
                <w:lang w:val="en-US" w:eastAsia="zh-CN"/>
              </w:rPr>
              <w:t>独立董事：李大韬先生</w:t>
            </w:r>
          </w:p>
        </w:tc>
      </w:tr>
      <w:tr w14:paraId="276D98E0">
        <w:tc>
          <w:tcPr>
            <w:tcW w:w="2093" w:type="dxa"/>
            <w:vAlign w:val="center"/>
          </w:tcPr>
          <w:p w14:paraId="0394FAC4">
            <w:pPr>
              <w:spacing w:line="360" w:lineRule="auto"/>
              <w:jc w:val="center"/>
              <w:rPr>
                <w:rFonts w:hint="eastAsia" w:ascii="宋体" w:hAnsi="宋体"/>
                <w:b/>
                <w:bCs/>
                <w:iCs/>
                <w:sz w:val="24"/>
                <w:szCs w:val="24"/>
              </w:rPr>
            </w:pPr>
            <w:r>
              <w:rPr>
                <w:rFonts w:hint="eastAsia" w:ascii="宋体" w:hAnsi="宋体"/>
                <w:b/>
                <w:bCs/>
                <w:iCs/>
                <w:sz w:val="24"/>
                <w:szCs w:val="24"/>
              </w:rPr>
              <w:t>投资者关系活动主要内容介绍</w:t>
            </w:r>
          </w:p>
        </w:tc>
        <w:tc>
          <w:tcPr>
            <w:tcW w:w="6203" w:type="dxa"/>
          </w:tcPr>
          <w:p w14:paraId="1DF44911">
            <w:pPr>
              <w:numPr>
                <w:ilvl w:val="255"/>
                <w:numId w:val="0"/>
              </w:numPr>
              <w:spacing w:before="156" w:beforeLines="50" w:line="360" w:lineRule="auto"/>
              <w:ind w:firstLine="480" w:firstLineChars="200"/>
              <w:rPr>
                <w:sz w:val="24"/>
              </w:rPr>
            </w:pPr>
            <w:r>
              <w:rPr>
                <w:rFonts w:hint="eastAsia"/>
                <w:sz w:val="24"/>
              </w:rPr>
              <w:t>一、公司介绍环节</w:t>
            </w:r>
          </w:p>
          <w:p w14:paraId="3C74F722">
            <w:pPr>
              <w:numPr>
                <w:ilvl w:val="255"/>
                <w:numId w:val="0"/>
              </w:numPr>
              <w:spacing w:before="156" w:beforeLines="50" w:line="360" w:lineRule="auto"/>
              <w:ind w:firstLine="480" w:firstLineChars="200"/>
              <w:rPr>
                <w:rFonts w:hint="default"/>
                <w:sz w:val="24"/>
                <w:lang w:val="en-US" w:eastAsia="zh-CN"/>
              </w:rPr>
            </w:pPr>
            <w:r>
              <w:rPr>
                <w:rFonts w:hint="eastAsia"/>
                <w:sz w:val="24"/>
              </w:rPr>
              <w:t>公司是一家专业的药物临床前及临床综合研发服务 CRO，为国内医药企业和科研机构提供全方位的一站式药物研发服务，致力于协助国内医药制造企业加速实现进口替代和自主创新。服务内容主要包括药物发现、药理药效、药学研究、临床研究和生物分析。</w:t>
            </w:r>
            <w:r>
              <w:rPr>
                <w:rFonts w:hint="eastAsia" w:ascii="Times New Roman" w:hAnsi="Times New Roman" w:eastAsia="宋体" w:cs="Times New Roman"/>
                <w:sz w:val="24"/>
                <w:szCs w:val="24"/>
              </w:rPr>
              <w:t>作为一家专注于药物创新研发的综合性企业，阳光诺和在自研创新、技术升级及全球化布局上实现多重突破，展现出从CRO“委托方”向创新驱动型“合作方”转型的强劲势能。</w:t>
            </w:r>
          </w:p>
          <w:p w14:paraId="5CC9A466">
            <w:pPr>
              <w:numPr>
                <w:ilvl w:val="0"/>
                <w:numId w:val="1"/>
              </w:numPr>
              <w:spacing w:before="156" w:beforeLines="50" w:line="360" w:lineRule="auto"/>
              <w:ind w:firstLine="480" w:firstLineChars="200"/>
              <w:rPr>
                <w:rFonts w:hint="eastAsia" w:ascii="宋体" w:hAnsi="宋体"/>
                <w:b/>
                <w:iCs/>
                <w:sz w:val="24"/>
                <w:szCs w:val="24"/>
              </w:rPr>
            </w:pPr>
            <w:r>
              <w:rPr>
                <w:rFonts w:hint="eastAsia" w:ascii="宋体" w:hAnsi="宋体"/>
                <w:b/>
                <w:iCs/>
                <w:sz w:val="24"/>
                <w:szCs w:val="24"/>
              </w:rPr>
              <w:t>问答环节</w:t>
            </w:r>
          </w:p>
          <w:p w14:paraId="49C1B65E">
            <w:pPr>
              <w:numPr>
                <w:ilvl w:val="0"/>
                <w:numId w:val="0"/>
              </w:numPr>
              <w:spacing w:before="156" w:beforeLines="50" w:line="360" w:lineRule="auto"/>
              <w:rPr>
                <w:rFonts w:hint="eastAsia" w:ascii="宋体" w:hAnsi="宋体"/>
                <w:b/>
                <w:iCs/>
                <w:sz w:val="24"/>
                <w:szCs w:val="24"/>
              </w:rPr>
            </w:pPr>
          </w:p>
          <w:p w14:paraId="0BB568FA">
            <w:pPr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  <w:lang w:val="en-US" w:eastAsia="zh-CN"/>
              </w:rPr>
              <w:t>1、</w:t>
            </w:r>
            <w:r>
              <w:rPr>
                <w:rFonts w:hint="eastAsia"/>
                <w:sz w:val="24"/>
                <w:szCs w:val="24"/>
              </w:rPr>
              <w:t>公司在AI赋能新药研发方面有哪些实质性进展？</w:t>
            </w:r>
          </w:p>
          <w:p w14:paraId="3C0C9F69">
            <w:pPr>
              <w:rPr>
                <w:rFonts w:hint="eastAsia"/>
                <w:sz w:val="24"/>
                <w:szCs w:val="24"/>
              </w:rPr>
            </w:pPr>
          </w:p>
          <w:p w14:paraId="31C823AC">
            <w:pPr>
              <w:rPr>
                <w:rFonts w:hint="default" w:eastAsia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lang w:val="en-US" w:eastAsia="zh-CN"/>
              </w:rPr>
              <w:t>答</w:t>
            </w:r>
            <w:r>
              <w:rPr>
                <w:rFonts w:hint="eastAsia"/>
                <w:sz w:val="24"/>
                <w:szCs w:val="24"/>
              </w:rPr>
              <w:t>：公司在AI药物研发上的布局已从平台搭建进入管线产出阶段。公司搭建了CADD/AIDD智能化药物研发平台，并与华为云合作开发基于盘古大模型的AI多肽分子发现平台，用于提升多肽分子发现与结构优化能力；同时与深药科技（苏州）合作，围绕纳米靶向抗体发现与改造、靶向环肽设计、RNA靶向小分子发现及递送系统等方向开展协同研发，推动AI药物研发由概念验证走向实际管线产出。</w:t>
            </w:r>
          </w:p>
          <w:p w14:paraId="22F7A049">
            <w:pPr>
              <w:rPr>
                <w:rFonts w:hint="eastAsia"/>
                <w:sz w:val="24"/>
                <w:szCs w:val="24"/>
              </w:rPr>
            </w:pPr>
          </w:p>
          <w:p w14:paraId="1D86E501">
            <w:pPr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  <w:lang w:val="en-US" w:eastAsia="zh-CN"/>
              </w:rPr>
              <w:t>2、根据公司孵化创新药管线到一定阶段后与其他药企合作开发的模式，</w:t>
            </w:r>
            <w:r>
              <w:rPr>
                <w:rFonts w:hint="eastAsia"/>
                <w:sz w:val="24"/>
                <w:szCs w:val="24"/>
              </w:rPr>
              <w:t>公司</w:t>
            </w:r>
            <w:r>
              <w:rPr>
                <w:rFonts w:hint="eastAsia"/>
                <w:sz w:val="24"/>
                <w:szCs w:val="24"/>
                <w:lang w:val="en-US" w:eastAsia="zh-CN"/>
              </w:rPr>
              <w:t>在研</w:t>
            </w:r>
            <w:r>
              <w:rPr>
                <w:rFonts w:hint="eastAsia"/>
                <w:sz w:val="24"/>
                <w:szCs w:val="24"/>
              </w:rPr>
              <w:t>创新药管线目前整体进展如何？BD（对外授权）节奏是否在加快？</w:t>
            </w:r>
          </w:p>
          <w:p w14:paraId="094DF1D1">
            <w:pPr>
              <w:rPr>
                <w:rFonts w:hint="eastAsia"/>
                <w:sz w:val="24"/>
                <w:szCs w:val="24"/>
              </w:rPr>
            </w:pPr>
          </w:p>
          <w:p w14:paraId="5A45D769">
            <w:pPr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  <w:lang w:val="en-US" w:eastAsia="zh-CN"/>
              </w:rPr>
              <w:t>答</w:t>
            </w:r>
            <w:r>
              <w:rPr>
                <w:rFonts w:hint="eastAsia"/>
                <w:sz w:val="24"/>
                <w:szCs w:val="24"/>
              </w:rPr>
              <w:t>：截至2026年半年报披露，公司在研创新药管线数量达到30余条，各项目的研发及未来商业化方案均在同步计划中。重点管线中，STC007注射液针对腹部手术后中重度疼痛的Ⅱ期临床试验已达成预期目标，Ⅲ期临床试验正按既定计划推进；针对瘙痒适应症的Ⅱ期临床也在稳步推进。</w:t>
            </w:r>
            <w:r>
              <w:rPr>
                <w:rFonts w:hint="eastAsia"/>
                <w:sz w:val="24"/>
                <w:szCs w:val="24"/>
                <w:lang w:val="en-US" w:eastAsia="zh-CN"/>
              </w:rPr>
              <w:t>近期公司自愿披露了</w:t>
            </w:r>
            <w:r>
              <w:rPr>
                <w:rFonts w:hint="eastAsia"/>
                <w:sz w:val="24"/>
                <w:szCs w:val="24"/>
              </w:rPr>
              <w:t>STC008注射液（肿瘤恶液质）I期临床</w:t>
            </w:r>
            <w:r>
              <w:rPr>
                <w:rFonts w:hint="eastAsia"/>
                <w:sz w:val="24"/>
                <w:szCs w:val="24"/>
                <w:lang w:val="en-US" w:eastAsia="zh-CN"/>
              </w:rPr>
              <w:t>数据</w:t>
            </w:r>
            <w:r>
              <w:rPr>
                <w:rFonts w:hint="eastAsia"/>
                <w:sz w:val="24"/>
                <w:szCs w:val="24"/>
              </w:rPr>
              <w:t>，总体而言，健康试验参与者对STC008的安全性与耐受性良好，未出现非预期的安全性信号，为后续剂量递增及II期临床推进奠定了安全基础。</w:t>
            </w:r>
            <w:r>
              <w:rPr>
                <w:rFonts w:hint="eastAsia"/>
                <w:sz w:val="24"/>
                <w:szCs w:val="24"/>
                <w:lang w:val="en-US" w:eastAsia="zh-CN"/>
              </w:rPr>
              <w:t>在对外授权方面，公司已有多款创新药管线实现对外授权合作：</w:t>
            </w:r>
            <w:r>
              <w:rPr>
                <w:rFonts w:hint="eastAsia"/>
                <w:sz w:val="24"/>
                <w:szCs w:val="24"/>
              </w:rPr>
              <w:t>1、STC007注射液：2025年STC007的术后镇痛适应症已与乐旷惠霖达成商业化合作，合同里程碑付款累计总金额2亿元（含税）。2026年3月STC007的瘙痒适应症与信立泰达成合作协议，公司将获得首付款及研发里程碑款总金额不超过1.25亿元，销售里程碑累计不超过7.25亿元，以及按一定比例支付的销售提成。2、STC008注射液：针对肿瘤恶液质适应症的在研药物，在2025年12月与与浙江星浩控股合伙企业（有限合伙）达成合作协议，公司将获得人民币5,000万元首付款及后续里程碑付款，累计总金额为5亿元（含税），以及销售净额（不含税）8%的销售分成。</w:t>
            </w:r>
            <w:r>
              <w:rPr>
                <w:rFonts w:hint="eastAsia"/>
                <w:sz w:val="24"/>
                <w:szCs w:val="24"/>
                <w:lang w:val="en-US" w:eastAsia="zh-CN"/>
              </w:rPr>
              <w:t>3、</w:t>
            </w:r>
            <w:r>
              <w:rPr>
                <w:rFonts w:hint="eastAsia"/>
                <w:sz w:val="24"/>
                <w:szCs w:val="24"/>
              </w:rPr>
              <w:t>2026年9月，公司就siRNA一类创新药ABA001与江苏万高药业达成合作开发协议，万高药业本期投资5,000万元。</w:t>
            </w:r>
          </w:p>
          <w:p w14:paraId="1DAA4D9D">
            <w:pPr>
              <w:rPr>
                <w:rFonts w:hint="eastAsia"/>
                <w:sz w:val="24"/>
                <w:szCs w:val="24"/>
              </w:rPr>
            </w:pPr>
          </w:p>
          <w:p w14:paraId="065B7A89">
            <w:pPr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  <w:lang w:val="en-US" w:eastAsia="zh-CN"/>
              </w:rPr>
              <w:t>3、STC007术后镇痛适应症去年与乐旷惠霖合作，后续里程碑收益何时实现</w:t>
            </w:r>
            <w:r>
              <w:rPr>
                <w:rFonts w:hint="eastAsia"/>
                <w:sz w:val="24"/>
                <w:szCs w:val="24"/>
              </w:rPr>
              <w:t>？</w:t>
            </w:r>
          </w:p>
          <w:p w14:paraId="4D57FD34">
            <w:pPr>
              <w:rPr>
                <w:rFonts w:hint="eastAsia"/>
                <w:sz w:val="24"/>
                <w:szCs w:val="24"/>
              </w:rPr>
            </w:pPr>
          </w:p>
          <w:p w14:paraId="3F986F4B">
            <w:pPr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  <w:lang w:val="en-US" w:eastAsia="zh-CN"/>
              </w:rPr>
              <w:t>答</w:t>
            </w:r>
            <w:r>
              <w:rPr>
                <w:rFonts w:hint="eastAsia"/>
                <w:sz w:val="24"/>
                <w:szCs w:val="24"/>
              </w:rPr>
              <w:t>：</w:t>
            </w:r>
            <w:r>
              <w:rPr>
                <w:rFonts w:hint="eastAsia"/>
                <w:sz w:val="24"/>
                <w:szCs w:val="24"/>
                <w:lang w:val="en-US" w:eastAsia="zh-CN"/>
              </w:rPr>
              <w:t>根据2025年7月公司披露的“关于STC007注射液签署《技术开发（合作）合同》的公告”，</w:t>
            </w:r>
            <w:r>
              <w:rPr>
                <w:rFonts w:hint="eastAsia"/>
                <w:sz w:val="24"/>
                <w:szCs w:val="24"/>
              </w:rPr>
              <w:t>合作双方确定，本项目目前处于III期临床试验阶段，估值10亿元人民币，</w:t>
            </w:r>
            <w:r>
              <w:rPr>
                <w:rFonts w:hint="eastAsia"/>
                <w:sz w:val="24"/>
                <w:szCs w:val="24"/>
                <w:lang w:val="en-US" w:eastAsia="zh-CN"/>
              </w:rPr>
              <w:t>乐旷惠霖</w:t>
            </w:r>
            <w:r>
              <w:rPr>
                <w:rFonts w:hint="eastAsia"/>
                <w:sz w:val="24"/>
                <w:szCs w:val="24"/>
              </w:rPr>
              <w:t>以2亿元取得该项目20%权益。本合同签署后</w:t>
            </w:r>
            <w:r>
              <w:rPr>
                <w:rFonts w:hint="eastAsia"/>
                <w:sz w:val="24"/>
                <w:szCs w:val="24"/>
                <w:lang w:val="en-US" w:eastAsia="zh-CN"/>
              </w:rPr>
              <w:t>乐旷惠霖</w:t>
            </w:r>
            <w:r>
              <w:rPr>
                <w:rFonts w:hint="eastAsia"/>
                <w:sz w:val="24"/>
                <w:szCs w:val="24"/>
              </w:rPr>
              <w:t>支付1亿元首付款，待达到研发节点后支付1亿元里程碑款。。</w:t>
            </w:r>
          </w:p>
          <w:p w14:paraId="3DEAC848">
            <w:pPr>
              <w:rPr>
                <w:rFonts w:hint="eastAsia"/>
                <w:sz w:val="24"/>
                <w:szCs w:val="24"/>
              </w:rPr>
            </w:pPr>
          </w:p>
          <w:p w14:paraId="0853E33F">
            <w:pPr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  <w:lang w:val="en-US" w:eastAsia="zh-CN"/>
              </w:rPr>
              <w:t>4、</w:t>
            </w:r>
            <w:r>
              <w:rPr>
                <w:rFonts w:hint="eastAsia"/>
                <w:sz w:val="24"/>
                <w:szCs w:val="24"/>
              </w:rPr>
              <w:t>公司在siRNA、AOC、体内CAR-T等前沿赛道有前瞻性布局，这些平台之间是什么关系？公司如何判断哪些方向值得投入？</w:t>
            </w:r>
          </w:p>
          <w:p w14:paraId="1255DB37">
            <w:pPr>
              <w:rPr>
                <w:rFonts w:hint="eastAsia"/>
                <w:sz w:val="24"/>
                <w:szCs w:val="24"/>
              </w:rPr>
            </w:pPr>
          </w:p>
          <w:p w14:paraId="0CCB39CD">
            <w:pPr>
              <w:rPr>
                <w:rFonts w:hint="eastAsia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lang w:val="en-US" w:eastAsia="zh-CN"/>
              </w:rPr>
              <w:t>答：公司对内构建从靶点发现到产业化的创新药全链条自主研发体系，创新药物管线和平台涉及AI多肽和靶向肽开发、小核酸药物开发、细胞基因疗法、小分子药物等全球生物医药研发前沿领域。公司“紧密围绕尚未满足的临床需求，聚焦多肽、小核酸、细胞治疗等前沿技术领域，开展具备全球自主知识产权的创新药物研发，并通过技术授权转让、合作权益分成等多种方式实现科研成果转化与商业价值变现”。</w:t>
            </w:r>
          </w:p>
          <w:p w14:paraId="47163D45">
            <w:pPr>
              <w:rPr>
                <w:rFonts w:hint="eastAsia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lang w:val="en-US" w:eastAsia="zh-CN"/>
              </w:rPr>
              <w:t>1、AI多肽制药：公司拥有iCVETide多肽新药发现平台、BiMTtide多肽偶联药物（PDC）开发平台，同时与华为云合作开发基于盘古大模型的AI多肽创新药发现平台，通过人工智能辅助药物发现（AIDD）技术进一步提升iCVETide平台和BiMTtide平台的分子发现与优化能力。公司已有多个多肽药物适应症进入临床。</w:t>
            </w:r>
          </w:p>
          <w:p w14:paraId="3F49C7E9">
            <w:pPr>
              <w:rPr>
                <w:rFonts w:hint="eastAsia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lang w:val="en-US" w:eastAsia="zh-CN"/>
              </w:rPr>
              <w:t>2、小核酸：在小核酸药物开发领域，公司建立小核酸药物载药系统开发平台。该平台专注于小核酸药物的递送系统研究，致力于解决小核酸药物在体内稳定性、靶向性及生物利用度等方面的挑战。通过创新的载药系统设计，公司能够有效提高小核酸药物的递送效率和治疗效果，为小核酸药物的临床应用奠定了坚实基础。</w:t>
            </w:r>
          </w:p>
          <w:p w14:paraId="5416E2D9">
            <w:pPr>
              <w:rPr>
                <w:rFonts w:hint="eastAsia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lang w:val="en-US" w:eastAsia="zh-CN"/>
              </w:rPr>
              <w:t>3、细胞治疗：与艺妙神州合作的ZM001注射液（CAR-T治疗系统性红斑狼疮）已进入I期临床；投资元码智药切入环状mRNA体内CAR-T领域，布局血液瘤、自身免疫疾病、实体瘤等适应症。</w:t>
            </w:r>
          </w:p>
          <w:p w14:paraId="56E24830">
            <w:pPr>
              <w:rPr>
                <w:rFonts w:hint="eastAsia" w:eastAsia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lang w:val="en-US" w:eastAsia="zh-CN"/>
              </w:rPr>
              <w:t>上述平台共同服务于公司“从靶点发现到产业化的创新药全链条自主研发体系”，各平台并非孤立布局，而是围绕自主研发体系在不同技术方向上形成协同，共同支撑公司1类创新药管线的梯次推进。</w:t>
            </w:r>
          </w:p>
          <w:p w14:paraId="79B27C5C">
            <w:pPr>
              <w:numPr>
                <w:ilvl w:val="0"/>
                <w:numId w:val="0"/>
              </w:numPr>
              <w:spacing w:before="156" w:beforeLines="50" w:line="360" w:lineRule="auto"/>
              <w:rPr>
                <w:rFonts w:hint="default" w:ascii="宋体" w:hAnsi="宋体"/>
                <w:b/>
                <w:iCs/>
                <w:sz w:val="20"/>
                <w:szCs w:val="20"/>
                <w:lang w:val="en-US" w:eastAsia="zh-CN"/>
              </w:rPr>
            </w:pPr>
          </w:p>
          <w:p w14:paraId="49C52F2D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56" w:beforeLines="50" w:line="360" w:lineRule="auto"/>
              <w:ind w:firstLine="480" w:firstLineChars="200"/>
              <w:textAlignment w:val="auto"/>
              <w:rPr>
                <w:rFonts w:hint="default"/>
                <w:b/>
                <w:sz w:val="24"/>
                <w:highlight w:val="none"/>
                <w:lang w:val="en-US" w:eastAsia="zh-CN"/>
              </w:rPr>
            </w:pPr>
          </w:p>
        </w:tc>
      </w:tr>
      <w:tr w14:paraId="4A63DE4C">
        <w:trPr>
          <w:trHeight w:val="821" w:hRule="atLeast"/>
        </w:trPr>
        <w:tc>
          <w:tcPr>
            <w:tcW w:w="2093" w:type="dxa"/>
            <w:vAlign w:val="center"/>
          </w:tcPr>
          <w:p w14:paraId="49E359F1">
            <w:pPr>
              <w:spacing w:line="360" w:lineRule="auto"/>
              <w:jc w:val="left"/>
              <w:rPr>
                <w:rFonts w:hint="eastAsia" w:ascii="宋体" w:hAnsi="宋体"/>
                <w:b/>
                <w:bCs/>
                <w:iCs/>
                <w:sz w:val="24"/>
                <w:szCs w:val="24"/>
              </w:rPr>
            </w:pPr>
            <w:r>
              <w:rPr>
                <w:rFonts w:hint="eastAsia" w:ascii="宋体" w:hAnsi="宋体"/>
                <w:b/>
                <w:bCs/>
                <w:iCs/>
                <w:sz w:val="24"/>
                <w:szCs w:val="24"/>
              </w:rPr>
              <w:t>附件清单（如有）</w:t>
            </w:r>
          </w:p>
        </w:tc>
        <w:tc>
          <w:tcPr>
            <w:tcW w:w="6203" w:type="dxa"/>
          </w:tcPr>
          <w:p w14:paraId="41A52917">
            <w:pPr>
              <w:spacing w:line="360" w:lineRule="auto"/>
              <w:rPr>
                <w:rFonts w:hint="eastAsia" w:ascii="宋体" w:hAnsi="宋体" w:cs="宋体"/>
                <w:sz w:val="24"/>
                <w:szCs w:val="24"/>
              </w:rPr>
            </w:pPr>
            <w:r>
              <w:rPr>
                <w:rFonts w:hint="eastAsia" w:ascii="宋体" w:hAnsi="宋体"/>
                <w:bCs/>
                <w:iCs/>
                <w:sz w:val="24"/>
                <w:szCs w:val="24"/>
              </w:rPr>
              <w:t>无</w:t>
            </w:r>
          </w:p>
        </w:tc>
      </w:tr>
      <w:tr w14:paraId="5D6C77D5">
        <w:tc>
          <w:tcPr>
            <w:tcW w:w="2093" w:type="dxa"/>
            <w:vAlign w:val="center"/>
          </w:tcPr>
          <w:p w14:paraId="717A6FD2">
            <w:pPr>
              <w:spacing w:line="360" w:lineRule="auto"/>
              <w:jc w:val="left"/>
              <w:rPr>
                <w:rFonts w:hint="eastAsia" w:ascii="宋体" w:hAnsi="宋体"/>
                <w:b/>
                <w:bCs/>
                <w:iCs/>
                <w:sz w:val="24"/>
                <w:szCs w:val="24"/>
              </w:rPr>
            </w:pPr>
            <w:r>
              <w:rPr>
                <w:rFonts w:hint="eastAsia" w:ascii="宋体" w:hAnsi="宋体"/>
                <w:b/>
                <w:bCs/>
                <w:iCs/>
                <w:sz w:val="24"/>
                <w:szCs w:val="24"/>
              </w:rPr>
              <w:t>日期</w:t>
            </w:r>
          </w:p>
        </w:tc>
        <w:tc>
          <w:tcPr>
            <w:tcW w:w="6203" w:type="dxa"/>
          </w:tcPr>
          <w:p w14:paraId="1087953D">
            <w:pPr>
              <w:spacing w:line="360" w:lineRule="auto"/>
              <w:rPr>
                <w:rFonts w:hint="eastAsia" w:ascii="宋体" w:hAnsi="宋体"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/>
                <w:bCs/>
                <w:iCs/>
                <w:sz w:val="24"/>
                <w:szCs w:val="24"/>
              </w:rPr>
              <w:t>20</w:t>
            </w: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2</w:t>
            </w:r>
            <w:r>
              <w:rPr>
                <w:rFonts w:hint="eastAsia"/>
                <w:bCs/>
                <w:iCs/>
                <w:sz w:val="24"/>
                <w:szCs w:val="24"/>
                <w:lang w:val="en-US" w:eastAsia="zh-CN"/>
              </w:rPr>
              <w:t>6</w:t>
            </w:r>
            <w:r>
              <w:rPr>
                <w:rFonts w:hint="default" w:ascii="Times New Roman" w:hAnsi="Times New Roman"/>
                <w:bCs/>
                <w:iCs/>
                <w:sz w:val="24"/>
                <w:szCs w:val="24"/>
              </w:rPr>
              <w:t>年</w:t>
            </w:r>
            <w:r>
              <w:rPr>
                <w:rFonts w:hint="eastAsia"/>
                <w:bCs/>
                <w:iCs/>
                <w:sz w:val="24"/>
                <w:szCs w:val="24"/>
                <w:lang w:val="en-US" w:eastAsia="zh-CN"/>
              </w:rPr>
              <w:t>10</w:t>
            </w:r>
            <w:r>
              <w:rPr>
                <w:rFonts w:hint="default" w:ascii="Times New Roman" w:hAnsi="Times New Roman"/>
                <w:bCs/>
                <w:iCs/>
                <w:sz w:val="24"/>
                <w:szCs w:val="24"/>
              </w:rPr>
              <w:t>月</w:t>
            </w:r>
            <w:r>
              <w:rPr>
                <w:rFonts w:hint="eastAsia"/>
                <w:bCs/>
                <w:iCs/>
                <w:sz w:val="24"/>
                <w:szCs w:val="24"/>
                <w:lang w:val="en-US" w:eastAsia="zh-CN"/>
              </w:rPr>
              <w:t>21</w:t>
            </w:r>
            <w:r>
              <w:rPr>
                <w:rFonts w:hint="default" w:ascii="Times New Roman" w:hAnsi="Times New Roman"/>
                <w:bCs/>
                <w:iCs/>
                <w:sz w:val="24"/>
                <w:szCs w:val="24"/>
              </w:rPr>
              <w:t>日</w:t>
            </w:r>
          </w:p>
        </w:tc>
      </w:tr>
    </w:tbl>
    <w:p w14:paraId="3B62B907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90204"/>
    <w:charset w:val="01"/>
    <w:family w:val="swiss"/>
    <w:pitch w:val="default"/>
    <w:sig w:usb0="E0000AFF" w:usb1="00007843" w:usb2="00000001" w:usb3="00000000" w:csb0="400001BF" w:csb1="DFF7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409020205090404"/>
    <w:charset w:val="01"/>
    <w:family w:val="modern"/>
    <w:pitch w:val="default"/>
    <w:sig w:usb0="E0000AFF" w:usb1="40007843" w:usb2="00000001" w:usb3="00000000" w:csb0="400001BF" w:csb1="DFF7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pingfang sc">
    <w:panose1 w:val="020B0400000000000000"/>
    <w:charset w:val="86"/>
    <w:family w:val="auto"/>
    <w:pitch w:val="default"/>
    <w:sig w:usb0="A00002FF" w:usb1="7ACFFDFB" w:usb2="00000017" w:usb3="00000000" w:csb0="00040001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Wingdings 2">
    <w:panose1 w:val="05020102010507070707"/>
    <w:charset w:val="02"/>
    <w:family w:val="roman"/>
    <w:pitch w:val="default"/>
    <w:sig w:usb0="00000000" w:usb1="00000000" w:usb2="00000000" w:usb3="00000000" w:csb0="80000000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Kingsoft Sign">
    <w:panose1 w:val="05050102010706020507"/>
    <w:charset w:val="00"/>
    <w:family w:val="auto"/>
    <w:pitch w:val="default"/>
    <w:sig w:usb0="00000000" w:usb1="1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CBFA4A37"/>
    <w:multiLevelType w:val="singleLevel"/>
    <w:tmpl w:val="CBFA4A37"/>
    <w:lvl w:ilvl="0" w:tentative="0">
      <w:start w:val="2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68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  <w:rsid w:val="01245BEB"/>
    <w:rsid w:val="0BCFBD97"/>
    <w:rsid w:val="13132E6E"/>
    <w:rsid w:val="16DECD7E"/>
    <w:rsid w:val="24F41ECD"/>
    <w:rsid w:val="24FF6B67"/>
    <w:rsid w:val="39D40104"/>
    <w:rsid w:val="3EC27075"/>
    <w:rsid w:val="55B7B8A7"/>
    <w:rsid w:val="5ADF7FF3"/>
    <w:rsid w:val="5BB519CA"/>
    <w:rsid w:val="5C2F0412"/>
    <w:rsid w:val="5F8E4261"/>
    <w:rsid w:val="6EBFDD3A"/>
    <w:rsid w:val="745A752B"/>
    <w:rsid w:val="7BE7E883"/>
    <w:rsid w:val="7BF5BCA2"/>
    <w:rsid w:val="7DEEB279"/>
    <w:rsid w:val="7EFE23B0"/>
    <w:rsid w:val="9AFF4ADF"/>
    <w:rsid w:val="AB8F5DCA"/>
    <w:rsid w:val="BFFBF9E6"/>
    <w:rsid w:val="CB6796A3"/>
    <w:rsid w:val="D9EBD737"/>
    <w:rsid w:val="DFEDA011"/>
    <w:rsid w:val="E39E61A1"/>
    <w:rsid w:val="EF9F9C3E"/>
    <w:rsid w:val="F5CE522C"/>
    <w:rsid w:val="F6FF6463"/>
    <w:rsid w:val="FD4F9004"/>
    <w:rsid w:val="FDBD0DDB"/>
    <w:rsid w:val="FFAEF52F"/>
    <w:rsid w:val="FFBD9F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qFormat="1"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semiHidden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semiHidden="0" w:name="Normal Table"/>
    <w:lsdException w:qFormat="1"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character" w:default="1" w:styleId="6">
    <w:name w:val="Default Paragraph Font"/>
    <w:unhideWhenUsed/>
    <w:qFormat/>
    <w:uiPriority w:val="1"/>
  </w:style>
  <w:style w:type="table" w:default="1" w:styleId="5">
    <w:name w:val="Normal Table"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annotation text"/>
    <w:basedOn w:val="1"/>
    <w:link w:val="10"/>
    <w:qFormat/>
    <w:uiPriority w:val="0"/>
    <w:pPr>
      <w:jc w:val="left"/>
    </w:pPr>
  </w:style>
  <w:style w:type="paragraph" w:styleId="3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paragraph" w:styleId="4">
    <w:name w:val="annotation subject"/>
    <w:basedOn w:val="2"/>
    <w:next w:val="2"/>
    <w:link w:val="11"/>
    <w:qFormat/>
    <w:uiPriority w:val="0"/>
    <w:rPr>
      <w:b/>
      <w:bCs/>
    </w:rPr>
  </w:style>
  <w:style w:type="character" w:styleId="7">
    <w:name w:val="Strong"/>
    <w:basedOn w:val="6"/>
    <w:qFormat/>
    <w:uiPriority w:val="0"/>
    <w:rPr>
      <w:b/>
    </w:rPr>
  </w:style>
  <w:style w:type="character" w:styleId="8">
    <w:name w:val="annotation reference"/>
    <w:basedOn w:val="6"/>
    <w:qFormat/>
    <w:uiPriority w:val="0"/>
    <w:rPr>
      <w:sz w:val="21"/>
      <w:szCs w:val="21"/>
    </w:rPr>
  </w:style>
  <w:style w:type="paragraph" w:customStyle="1" w:styleId="9">
    <w:name w:val="Revision"/>
    <w:hidden/>
    <w:unhideWhenUsed/>
    <w:qFormat/>
    <w:uiPriority w:val="99"/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character" w:customStyle="1" w:styleId="10">
    <w:name w:val="批注文字 字符"/>
    <w:basedOn w:val="6"/>
    <w:link w:val="2"/>
    <w:qFormat/>
    <w:uiPriority w:val="0"/>
    <w:rPr>
      <w:kern w:val="2"/>
      <w:sz w:val="21"/>
    </w:rPr>
  </w:style>
  <w:style w:type="character" w:customStyle="1" w:styleId="11">
    <w:name w:val="批注主题 字符"/>
    <w:basedOn w:val="10"/>
    <w:link w:val="4"/>
    <w:qFormat/>
    <w:uiPriority w:val="0"/>
    <w:rPr>
      <w:b/>
      <w:bCs/>
      <w:kern w:val="2"/>
      <w:sz w:val="21"/>
    </w:rPr>
  </w:style>
  <w:style w:type="paragraph" w:customStyle="1" w:styleId="12">
    <w:name w:val="p1"/>
    <w:basedOn w:val="1"/>
    <w:qFormat/>
    <w:uiPriority w:val="0"/>
    <w:pPr>
      <w:spacing w:before="0" w:beforeAutospacing="0" w:after="0" w:afterAutospacing="0"/>
      <w:ind w:left="0" w:right="0"/>
      <w:jc w:val="left"/>
    </w:pPr>
    <w:rPr>
      <w:rFonts w:ascii="pingfang sc" w:hAnsi="pingfang sc" w:eastAsia="pingfang sc" w:cs="pingfang sc"/>
      <w:color w:val="000000"/>
      <w:kern w:val="0"/>
      <w:sz w:val="32"/>
      <w:szCs w:val="32"/>
      <w:lang w:val="en-US" w:eastAsia="zh-CN" w:bidi="ar"/>
    </w:rPr>
  </w:style>
  <w:style w:type="character" w:customStyle="1" w:styleId="13">
    <w:name w:val="s1"/>
    <w:basedOn w:val="6"/>
    <w:qFormat/>
    <w:uiPriority w:val="0"/>
    <w:rPr>
      <w:rFonts w:ascii="Helvetica Neue" w:hAnsi="Helvetica Neue" w:eastAsia="Helvetica Neue" w:cs="Helvetica Neue"/>
      <w:sz w:val="32"/>
      <w:szCs w:val="32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4</Pages>
  <Words>2397</Words>
  <Characters>2618</Characters>
  <Lines>18</Lines>
  <Paragraphs>5</Paragraphs>
  <TotalTime>29</TotalTime>
  <ScaleCrop>false</ScaleCrop>
  <LinksUpToDate>false</LinksUpToDate>
  <CharactersWithSpaces>2682</CharactersWithSpaces>
  <Application>WPS Office_7.2.2.8955_F1E327BC-269C-435d-A152-05C5408002CA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2024-10-03T14:32:00Z</dcterms:created>
  <dc:creator>杨贵娇</dc:creator>
  <cp:lastModifiedBy>Anne马也</cp:lastModifiedBy>
  <dcterms:modified xsi:type="dcterms:W3CDTF">2026-10-22T10:32:35Z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2052-7.2.2.8955</vt:lpwstr>
  </property>
  <property fmtid="{D5CDD505-2E9C-101B-9397-08002B2CF9AE}" pid="3" name="ICV">
    <vt:lpwstr>5F707146E8BBD91C53BAD86A3E6EDF11_43</vt:lpwstr>
  </property>
  <property fmtid="{D5CDD505-2E9C-101B-9397-08002B2CF9AE}" pid="4" name="KSOTemplateDocerSaveRecord">
    <vt:lpwstr>eyJoZGlkIjoiMTg2YThjMGFiYWQ3NTY4MzJhZjcxNzlkZWFiOWI4ODMiLCJ1c2VySWQiOiI1Mjc1NDY4NTAifQ==</vt:lpwstr>
  </property>
</Properties>
</file>