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A9677" w14:textId="77777777" w:rsidR="00796565" w:rsidRDefault="00000000">
      <w:pPr>
        <w:keepNext/>
        <w:keepLines/>
        <w:spacing w:before="260" w:after="260" w:line="360" w:lineRule="auto"/>
        <w:jc w:val="center"/>
        <w:outlineLvl w:val="1"/>
        <w:rPr>
          <w:rFonts w:ascii="宋体" w:hAnsi="宋体"/>
          <w:b/>
          <w:bCs/>
          <w:iCs/>
          <w:sz w:val="24"/>
          <w:szCs w:val="24"/>
        </w:rPr>
      </w:pPr>
      <w:r>
        <w:rPr>
          <w:rFonts w:ascii="仿宋_GB2312" w:eastAsia="仿宋_GB2312" w:hAnsi="仿宋_GB2312" w:cs="仿宋_GB2312" w:hint="eastAsia"/>
          <w:iCs/>
          <w:sz w:val="24"/>
          <w:szCs w:val="24"/>
        </w:rPr>
        <w:t>证券代码：600415                                 证券简称：小商品城</w:t>
      </w:r>
      <w:r>
        <w:rPr>
          <w:rFonts w:ascii="宋体" w:hAnsi="宋体"/>
          <w:b/>
          <w:bCs/>
          <w:iCs/>
          <w:sz w:val="24"/>
          <w:szCs w:val="24"/>
        </w:rPr>
        <w:t xml:space="preserve"> </w:t>
      </w:r>
    </w:p>
    <w:p w14:paraId="6C5DD870" w14:textId="77777777" w:rsidR="00796565" w:rsidRDefault="00000000">
      <w:pPr>
        <w:keepNext/>
        <w:keepLines/>
        <w:jc w:val="center"/>
        <w:outlineLvl w:val="1"/>
        <w:rPr>
          <w:rFonts w:ascii="黑体" w:eastAsia="黑体" w:hAnsi="黑体" w:cs="黑体"/>
          <w:sz w:val="32"/>
          <w:szCs w:val="32"/>
        </w:rPr>
      </w:pPr>
      <w:r>
        <w:rPr>
          <w:rFonts w:ascii="黑体" w:eastAsia="黑体" w:hAnsi="黑体" w:cs="黑体" w:hint="eastAsia"/>
          <w:sz w:val="32"/>
          <w:szCs w:val="32"/>
        </w:rPr>
        <w:t>浙江中国小商品城集团股份有限公司</w:t>
      </w:r>
    </w:p>
    <w:p w14:paraId="2C9AEFA2" w14:textId="77777777" w:rsidR="00796565" w:rsidRDefault="00000000">
      <w:pPr>
        <w:keepNext/>
        <w:keepLines/>
        <w:jc w:val="center"/>
        <w:outlineLvl w:val="1"/>
        <w:rPr>
          <w:rFonts w:ascii="黑体" w:eastAsia="黑体" w:hAnsi="黑体" w:cs="黑体"/>
          <w:sz w:val="32"/>
          <w:szCs w:val="32"/>
        </w:rPr>
      </w:pPr>
      <w:r>
        <w:rPr>
          <w:rFonts w:ascii="黑体" w:eastAsia="黑体" w:hAnsi="黑体" w:cs="黑体" w:hint="eastAsia"/>
          <w:sz w:val="32"/>
          <w:szCs w:val="32"/>
        </w:rPr>
        <w:t>投资者关系活动记录表</w:t>
      </w:r>
    </w:p>
    <w:p w14:paraId="12A62BD2" w14:textId="77777777" w:rsidR="00796565" w:rsidRDefault="00000000">
      <w:pPr>
        <w:keepNext/>
        <w:keepLines/>
        <w:spacing w:beforeLines="50" w:before="156" w:afterLines="50" w:after="156" w:line="360" w:lineRule="auto"/>
        <w:jc w:val="right"/>
        <w:outlineLvl w:val="1"/>
        <w:rPr>
          <w:rFonts w:ascii="仿宋_GB2312" w:eastAsia="仿宋_GB2312" w:hAnsi="仿宋_GB2312" w:cs="仿宋_GB2312"/>
          <w:sz w:val="24"/>
          <w:szCs w:val="24"/>
        </w:rPr>
      </w:pPr>
      <w:r>
        <w:rPr>
          <w:rFonts w:ascii="仿宋_GB2312" w:eastAsia="仿宋_GB2312" w:hAnsi="仿宋_GB2312" w:cs="仿宋_GB2312" w:hint="eastAsia"/>
          <w:sz w:val="24"/>
          <w:szCs w:val="24"/>
        </w:rPr>
        <w:t>编号：2026-008</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6379"/>
      </w:tblGrid>
      <w:tr w:rsidR="00796565" w14:paraId="57070E9C" w14:textId="77777777">
        <w:tc>
          <w:tcPr>
            <w:tcW w:w="2411" w:type="dxa"/>
            <w:vAlign w:val="center"/>
          </w:tcPr>
          <w:p w14:paraId="034080E7"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投资者关系活动类别</w:t>
            </w:r>
          </w:p>
        </w:tc>
        <w:tc>
          <w:tcPr>
            <w:tcW w:w="6379" w:type="dxa"/>
          </w:tcPr>
          <w:p w14:paraId="65231373" w14:textId="77777777" w:rsidR="00796565" w:rsidRDefault="00000000">
            <w:pPr>
              <w:spacing w:line="400" w:lineRule="exact"/>
              <w:rPr>
                <w:rFonts w:ascii="宋体" w:hAnsi="宋体" w:cs="仿宋_GB2312"/>
                <w:sz w:val="24"/>
                <w:szCs w:val="24"/>
              </w:rPr>
            </w:pPr>
            <w:r>
              <w:rPr>
                <w:rFonts w:ascii="宋体" w:hAnsi="宋体" w:cs="仿宋_GB2312" w:hint="eastAsia"/>
                <w:bCs/>
                <w:iCs/>
                <w:sz w:val="24"/>
                <w:szCs w:val="24"/>
              </w:rPr>
              <w:t>□</w:t>
            </w:r>
            <w:r>
              <w:rPr>
                <w:rFonts w:ascii="宋体" w:hAnsi="宋体" w:cs="仿宋_GB2312" w:hint="eastAsia"/>
                <w:sz w:val="24"/>
                <w:szCs w:val="24"/>
              </w:rPr>
              <w:t xml:space="preserve">特定对象调研        </w:t>
            </w:r>
            <w:r>
              <w:rPr>
                <w:rFonts w:ascii="宋体" w:hAnsi="宋体" w:cs="仿宋_GB2312" w:hint="eastAsia"/>
                <w:bCs/>
                <w:iCs/>
                <w:sz w:val="24"/>
                <w:szCs w:val="24"/>
              </w:rPr>
              <w:t>□</w:t>
            </w:r>
            <w:r>
              <w:rPr>
                <w:rFonts w:ascii="宋体" w:hAnsi="宋体" w:cs="仿宋_GB2312" w:hint="eastAsia"/>
                <w:sz w:val="24"/>
                <w:szCs w:val="24"/>
              </w:rPr>
              <w:t>分析师会议</w:t>
            </w:r>
          </w:p>
          <w:p w14:paraId="6DB18F1D" w14:textId="77777777" w:rsidR="00796565" w:rsidRDefault="00000000">
            <w:pPr>
              <w:spacing w:line="400" w:lineRule="exact"/>
              <w:rPr>
                <w:rFonts w:ascii="宋体" w:hAnsi="宋体" w:cs="仿宋_GB2312"/>
                <w:sz w:val="10"/>
                <w:szCs w:val="10"/>
              </w:rPr>
            </w:pPr>
            <w:r>
              <w:rPr>
                <w:rFonts w:ascii="宋体" w:hAnsi="宋体" w:cs="仿宋_GB2312" w:hint="eastAsia"/>
                <w:sz w:val="24"/>
                <w:szCs w:val="24"/>
              </w:rPr>
              <w:t>□媒体采访            □业绩说明会</w:t>
            </w:r>
          </w:p>
          <w:p w14:paraId="6AA14D57" w14:textId="77777777" w:rsidR="00796565" w:rsidRDefault="00000000">
            <w:pPr>
              <w:spacing w:line="400" w:lineRule="exact"/>
              <w:rPr>
                <w:rFonts w:ascii="宋体" w:hAnsi="宋体" w:cs="仿宋_GB2312"/>
                <w:sz w:val="24"/>
                <w:szCs w:val="24"/>
              </w:rPr>
            </w:pPr>
            <w:r>
              <w:rPr>
                <w:rFonts w:ascii="宋体" w:hAnsi="宋体" w:cs="仿宋_GB2312" w:hint="eastAsia"/>
                <w:sz w:val="24"/>
                <w:szCs w:val="24"/>
              </w:rPr>
              <w:t>□新闻发布会          □路演活动</w:t>
            </w:r>
          </w:p>
          <w:p w14:paraId="610D54DB" w14:textId="77777777" w:rsidR="00796565" w:rsidRDefault="00000000">
            <w:pPr>
              <w:spacing w:line="400" w:lineRule="exact"/>
              <w:rPr>
                <w:rFonts w:ascii="宋体" w:hAnsi="宋体" w:cs="仿宋_GB2312"/>
                <w:sz w:val="24"/>
                <w:szCs w:val="24"/>
              </w:rPr>
            </w:pPr>
            <w:r>
              <w:rPr>
                <w:rFonts w:ascii="宋体" w:hAnsi="宋体" w:cs="仿宋_GB2312" w:hint="eastAsia"/>
                <w:sz w:val="24"/>
                <w:szCs w:val="24"/>
              </w:rPr>
              <w:t>□现场参观            ☑电话会议</w:t>
            </w:r>
          </w:p>
          <w:p w14:paraId="156C2FE1" w14:textId="77777777" w:rsidR="00796565" w:rsidRDefault="00000000">
            <w:pPr>
              <w:spacing w:line="400" w:lineRule="exact"/>
              <w:rPr>
                <w:rFonts w:ascii="宋体" w:hAnsi="宋体" w:cs="仿宋_GB2312"/>
                <w:bCs/>
                <w:iCs/>
                <w:sz w:val="24"/>
                <w:szCs w:val="24"/>
              </w:rPr>
            </w:pPr>
            <w:r>
              <w:rPr>
                <w:rFonts w:ascii="宋体" w:hAnsi="宋体" w:cs="仿宋_GB2312" w:hint="eastAsia"/>
                <w:bCs/>
                <w:iCs/>
                <w:sz w:val="24"/>
                <w:szCs w:val="24"/>
              </w:rPr>
              <w:t>□</w:t>
            </w:r>
            <w:r>
              <w:rPr>
                <w:rFonts w:ascii="宋体" w:hAnsi="宋体" w:cs="仿宋_GB2312" w:hint="eastAsia"/>
                <w:sz w:val="24"/>
                <w:szCs w:val="24"/>
              </w:rPr>
              <w:t xml:space="preserve">其他 </w:t>
            </w:r>
            <w:r>
              <w:rPr>
                <w:rFonts w:ascii="宋体" w:hAnsi="宋体" w:cs="仿宋_GB2312" w:hint="eastAsia"/>
                <w:sz w:val="24"/>
                <w:szCs w:val="24"/>
                <w:u w:val="single"/>
              </w:rPr>
              <w:t xml:space="preserve">               </w:t>
            </w:r>
          </w:p>
        </w:tc>
      </w:tr>
      <w:tr w:rsidR="00796565" w14:paraId="7C51E963" w14:textId="77777777">
        <w:tc>
          <w:tcPr>
            <w:tcW w:w="2411" w:type="dxa"/>
            <w:vAlign w:val="center"/>
          </w:tcPr>
          <w:p w14:paraId="70FAC1EB"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参与单位名称</w:t>
            </w:r>
          </w:p>
        </w:tc>
        <w:tc>
          <w:tcPr>
            <w:tcW w:w="6379" w:type="dxa"/>
            <w:vAlign w:val="center"/>
          </w:tcPr>
          <w:p w14:paraId="5C1CF4CE" w14:textId="77777777" w:rsidR="00796565" w:rsidRDefault="00000000">
            <w:pPr>
              <w:tabs>
                <w:tab w:val="center" w:pos="2798"/>
              </w:tabs>
              <w:rPr>
                <w:rFonts w:ascii="仿宋_GB2312" w:eastAsia="仿宋_GB2312" w:hAnsi="仿宋_GB2312" w:cs="仿宋_GB2312"/>
                <w:bCs/>
                <w:iCs/>
                <w:sz w:val="24"/>
                <w:szCs w:val="24"/>
              </w:rPr>
            </w:pPr>
            <w:r>
              <w:rPr>
                <w:rFonts w:ascii="仿宋_GB2312" w:eastAsia="仿宋_GB2312" w:hAnsi="仿宋_GB2312" w:cs="仿宋_GB2312" w:hint="eastAsia"/>
                <w:bCs/>
                <w:iCs/>
                <w:sz w:val="24"/>
                <w:szCs w:val="24"/>
              </w:rPr>
              <w:t>东吴证券、上海恒穗资管、中华联合保险、深圳广汇缘资管、天风证券、上海国际信托、太平洋资管、开源证券、南京璟恒、申银万国证券、兴业证券、汇丰前海证券、上海联视投资、上海石锋资管、国泰海通证券、华源证券、北京沣跃、国都证券、嘉兴铭朗投资、国信证券、华宝基金、红塔证券、国元证券、野村东方国际、上海怀澄基金、长盛基金、中信证券、沣京资本、兴银理财、青岛金光紫金创投、国金证券、北京格雷资产、中金公司、承珞(上海)投资、上海益理资产、广发证券、财通证券、长江证券、上海润义投资、长城证券、中财招商投资、青岛弘尚、麦格理资本、瑞银证券、华泰证券、银河证券、上海耶诺资产、易方达基金、申万菱信基金、爱华资产、大家资产、上海名世、富荣基金、润晖投资、北京彼立弗、中意资产、上海合道资产、杭州汇升、深圳鲲鹏恒隆、大和资本、摩根士丹利、南方基金、睿远基金、花旗环球金融、上海高毅资产、北京京管泰富基金、博时基金、东方证券、中航基金、太平资产、银河基金、富国基金、西部利得基金、国联安基金、长江养老、中海基金、兴证全球基金、杭州月阑投资、路博迈基金、中海基金、IGWT Investment、Vision Point、Pro Tactical Global、ARC AVENUE ASSET 等200家机构。</w:t>
            </w:r>
          </w:p>
        </w:tc>
      </w:tr>
      <w:tr w:rsidR="00796565" w14:paraId="12C96176" w14:textId="77777777">
        <w:tc>
          <w:tcPr>
            <w:tcW w:w="2411" w:type="dxa"/>
            <w:vAlign w:val="center"/>
          </w:tcPr>
          <w:p w14:paraId="7E9BE2D3"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会议时间</w:t>
            </w:r>
          </w:p>
        </w:tc>
        <w:tc>
          <w:tcPr>
            <w:tcW w:w="6379" w:type="dxa"/>
            <w:vAlign w:val="center"/>
          </w:tcPr>
          <w:p w14:paraId="6239FCCD" w14:textId="77777777" w:rsidR="00796565" w:rsidRDefault="00000000">
            <w:pPr>
              <w:spacing w:line="360" w:lineRule="auto"/>
              <w:rPr>
                <w:rFonts w:ascii="仿宋_GB2312" w:eastAsia="仿宋_GB2312" w:hAnsi="仿宋_GB2312" w:cs="仿宋_GB2312"/>
                <w:bCs/>
                <w:iCs/>
                <w:sz w:val="24"/>
                <w:szCs w:val="24"/>
              </w:rPr>
            </w:pPr>
            <w:r>
              <w:rPr>
                <w:rFonts w:ascii="仿宋_GB2312" w:eastAsia="仿宋_GB2312" w:hAnsi="仿宋_GB2312" w:cs="仿宋_GB2312" w:hint="eastAsia"/>
                <w:bCs/>
                <w:iCs/>
                <w:sz w:val="24"/>
                <w:szCs w:val="24"/>
              </w:rPr>
              <w:t>2026年10月22日</w:t>
            </w:r>
          </w:p>
        </w:tc>
      </w:tr>
      <w:tr w:rsidR="00796565" w14:paraId="58AC16BB" w14:textId="77777777">
        <w:tc>
          <w:tcPr>
            <w:tcW w:w="2411" w:type="dxa"/>
            <w:vAlign w:val="center"/>
          </w:tcPr>
          <w:p w14:paraId="760B77AE"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会议地点</w:t>
            </w:r>
          </w:p>
        </w:tc>
        <w:tc>
          <w:tcPr>
            <w:tcW w:w="6379" w:type="dxa"/>
            <w:vAlign w:val="center"/>
          </w:tcPr>
          <w:p w14:paraId="5B3D10F3" w14:textId="77777777" w:rsidR="00796565" w:rsidRDefault="00000000">
            <w:pPr>
              <w:spacing w:line="360" w:lineRule="auto"/>
              <w:rPr>
                <w:rFonts w:ascii="仿宋_GB2312" w:eastAsia="仿宋_GB2312" w:hAnsi="仿宋_GB2312" w:cs="仿宋_GB2312"/>
                <w:bCs/>
                <w:iCs/>
                <w:sz w:val="24"/>
                <w:szCs w:val="24"/>
              </w:rPr>
            </w:pPr>
            <w:r>
              <w:rPr>
                <w:rFonts w:ascii="仿宋_GB2312" w:eastAsia="仿宋_GB2312" w:hAnsi="仿宋_GB2312" w:cs="仿宋_GB2312" w:hint="eastAsia"/>
                <w:bCs/>
                <w:iCs/>
                <w:sz w:val="24"/>
                <w:szCs w:val="24"/>
              </w:rPr>
              <w:t>电话会议</w:t>
            </w:r>
          </w:p>
        </w:tc>
      </w:tr>
      <w:tr w:rsidR="00796565" w14:paraId="7EEB0211" w14:textId="77777777">
        <w:tc>
          <w:tcPr>
            <w:tcW w:w="2411" w:type="dxa"/>
            <w:vAlign w:val="center"/>
          </w:tcPr>
          <w:p w14:paraId="64C1F394"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上市公司接待人员</w:t>
            </w:r>
          </w:p>
        </w:tc>
        <w:tc>
          <w:tcPr>
            <w:tcW w:w="6379" w:type="dxa"/>
            <w:vAlign w:val="center"/>
          </w:tcPr>
          <w:p w14:paraId="2D33BBE1" w14:textId="77777777" w:rsidR="00796565" w:rsidRDefault="00000000">
            <w:pPr>
              <w:spacing w:line="360" w:lineRule="auto"/>
              <w:rPr>
                <w:rFonts w:ascii="仿宋_GB2312" w:eastAsia="仿宋_GB2312" w:hAnsi="仿宋_GB2312" w:cs="仿宋_GB2312"/>
                <w:bCs/>
                <w:iCs/>
                <w:sz w:val="24"/>
                <w:szCs w:val="24"/>
              </w:rPr>
            </w:pPr>
            <w:r>
              <w:rPr>
                <w:rFonts w:ascii="仿宋_GB2312" w:eastAsia="仿宋_GB2312" w:hAnsi="仿宋_GB2312" w:cs="仿宋_GB2312" w:hint="eastAsia"/>
                <w:bCs/>
                <w:iCs/>
                <w:sz w:val="24"/>
                <w:szCs w:val="24"/>
              </w:rPr>
              <w:t>公司高管、公司证券部</w:t>
            </w:r>
          </w:p>
        </w:tc>
      </w:tr>
      <w:tr w:rsidR="00796565" w14:paraId="533FEED3" w14:textId="77777777">
        <w:trPr>
          <w:trHeight w:val="490"/>
        </w:trPr>
        <w:tc>
          <w:tcPr>
            <w:tcW w:w="2411" w:type="dxa"/>
            <w:vAlign w:val="center"/>
          </w:tcPr>
          <w:p w14:paraId="19770D12"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t>投资者关系活动主要</w:t>
            </w:r>
            <w:r>
              <w:rPr>
                <w:rFonts w:ascii="宋体" w:hAnsi="宋体" w:cs="黑体" w:hint="eastAsia"/>
                <w:iCs/>
                <w:sz w:val="24"/>
                <w:szCs w:val="24"/>
              </w:rPr>
              <w:lastRenderedPageBreak/>
              <w:t>内容介绍</w:t>
            </w:r>
          </w:p>
        </w:tc>
        <w:tc>
          <w:tcPr>
            <w:tcW w:w="6379" w:type="dxa"/>
          </w:tcPr>
          <w:p w14:paraId="60DEA192" w14:textId="77777777" w:rsidR="00796565" w:rsidRDefault="00000000">
            <w:pPr>
              <w:rPr>
                <w:rFonts w:ascii="仿宋_GB2312" w:eastAsia="仿宋_GB2312" w:hAnsi="仿宋_GB2312"/>
                <w:b/>
                <w:sz w:val="24"/>
              </w:rPr>
            </w:pPr>
            <w:r>
              <w:rPr>
                <w:rFonts w:ascii="仿宋_GB2312" w:eastAsia="仿宋_GB2312" w:hAnsi="仿宋_GB2312"/>
                <w:b/>
                <w:sz w:val="24"/>
              </w:rPr>
              <w:lastRenderedPageBreak/>
              <w:t>1.目前义乌市场商户的经营情况如何，如何分析三季度出口下降的原因？如何看待2026年全年义乌出口景气度的展</w:t>
            </w:r>
            <w:r>
              <w:rPr>
                <w:rFonts w:ascii="仿宋_GB2312" w:eastAsia="仿宋_GB2312" w:hAnsi="仿宋_GB2312"/>
                <w:b/>
                <w:sz w:val="24"/>
              </w:rPr>
              <w:lastRenderedPageBreak/>
              <w:t>望？</w:t>
            </w:r>
          </w:p>
          <w:p w14:paraId="48799AAA" w14:textId="1EFFBC68" w:rsidR="00796565" w:rsidRDefault="00000000">
            <w:pPr>
              <w:widowControl/>
              <w:rPr>
                <w:rFonts w:ascii="仿宋_GB2312" w:eastAsia="仿宋_GB2312" w:hAnsi="仿宋_GB2312"/>
                <w:sz w:val="24"/>
              </w:rPr>
            </w:pPr>
            <w:r>
              <w:rPr>
                <w:rFonts w:ascii="仿宋_GB2312" w:eastAsia="仿宋_GB2312" w:hAnsi="仿宋_GB2312"/>
                <w:sz w:val="24"/>
              </w:rPr>
              <w:t>答：从目前数据看，1-8月义乌全市进出口6</w:t>
            </w:r>
            <w:r w:rsidR="001B0CB7">
              <w:rPr>
                <w:rFonts w:ascii="仿宋_GB2312" w:eastAsia="仿宋_GB2312" w:hAnsi="仿宋_GB2312" w:hint="eastAsia"/>
                <w:sz w:val="24"/>
              </w:rPr>
              <w:t>,</w:t>
            </w:r>
            <w:r>
              <w:rPr>
                <w:rFonts w:ascii="仿宋_GB2312" w:eastAsia="仿宋_GB2312" w:hAnsi="仿宋_GB2312"/>
                <w:sz w:val="24"/>
              </w:rPr>
              <w:t>364亿元，同比增长14.8%，其中出口5</w:t>
            </w:r>
            <w:r w:rsidR="001B0CB7">
              <w:rPr>
                <w:rFonts w:ascii="仿宋_GB2312" w:eastAsia="仿宋_GB2312" w:hAnsi="仿宋_GB2312" w:hint="eastAsia"/>
                <w:sz w:val="24"/>
              </w:rPr>
              <w:t>,</w:t>
            </w:r>
            <w:r>
              <w:rPr>
                <w:rFonts w:ascii="仿宋_GB2312" w:eastAsia="仿宋_GB2312" w:hAnsi="仿宋_GB2312"/>
                <w:sz w:val="24"/>
              </w:rPr>
              <w:t>488.5亿元，同比增长12.8%，创历史新高。三季度出口增速有所下降，主要有两方面原因：一是受美国新301关税</w:t>
            </w:r>
            <w:r>
              <w:rPr>
                <w:rFonts w:ascii="仿宋_GB2312" w:eastAsia="仿宋_GB2312" w:hAnsi="仿宋_GB2312" w:hint="eastAsia"/>
                <w:sz w:val="24"/>
              </w:rPr>
              <w:t>（</w:t>
            </w:r>
            <w:r>
              <w:rPr>
                <w:rFonts w:ascii="仿宋_GB2312" w:eastAsia="仿宋_GB2312" w:hAnsi="仿宋_GB2312"/>
                <w:sz w:val="24"/>
              </w:rPr>
              <w:t>7月24日生效</w:t>
            </w:r>
            <w:r>
              <w:rPr>
                <w:rFonts w:ascii="仿宋_GB2312" w:eastAsia="仿宋_GB2312" w:hAnsi="仿宋_GB2312" w:hint="eastAsia"/>
                <w:sz w:val="24"/>
              </w:rPr>
              <w:t>）报关过渡窗口以及东盟等市场</w:t>
            </w:r>
            <w:r>
              <w:rPr>
                <w:rFonts w:ascii="仿宋_GB2312" w:eastAsia="仿宋_GB2312" w:hAnsi="仿宋_GB2312"/>
                <w:sz w:val="24"/>
              </w:rPr>
              <w:t>6、7月份进行集中性采购备货</w:t>
            </w:r>
            <w:r>
              <w:rPr>
                <w:rFonts w:ascii="仿宋_GB2312" w:eastAsia="仿宋_GB2312" w:hAnsi="仿宋_GB2312" w:hint="eastAsia"/>
                <w:sz w:val="24"/>
              </w:rPr>
              <w:t>影响</w:t>
            </w:r>
            <w:r>
              <w:rPr>
                <w:rFonts w:ascii="仿宋_GB2312" w:eastAsia="仿宋_GB2312" w:hAnsi="仿宋_GB2312"/>
                <w:sz w:val="24"/>
              </w:rPr>
              <w:t>，</w:t>
            </w:r>
            <w:r>
              <w:rPr>
                <w:rFonts w:ascii="仿宋_GB2312" w:eastAsia="仿宋_GB2312" w:hAnsi="仿宋_GB2312" w:hint="eastAsia"/>
                <w:sz w:val="24"/>
              </w:rPr>
              <w:t>出现抢出口现象，部分</w:t>
            </w:r>
            <w:r>
              <w:rPr>
                <w:rFonts w:ascii="仿宋_GB2312" w:eastAsia="仿宋_GB2312" w:hAnsi="仿宋_GB2312"/>
                <w:sz w:val="24"/>
              </w:rPr>
              <w:t>8、9月份出口</w:t>
            </w:r>
            <w:r>
              <w:rPr>
                <w:rFonts w:ascii="仿宋_GB2312" w:eastAsia="仿宋_GB2312" w:hAnsi="仿宋_GB2312" w:hint="eastAsia"/>
                <w:sz w:val="24"/>
              </w:rPr>
              <w:t>量</w:t>
            </w:r>
            <w:r>
              <w:rPr>
                <w:rFonts w:ascii="仿宋_GB2312" w:eastAsia="仿宋_GB2312" w:hAnsi="仿宋_GB2312"/>
                <w:sz w:val="24"/>
              </w:rPr>
              <w:t>被提前释放；二是8、9月份受台风天气影响，华东沿海受多轮台风登陆冲击，宁波舟山港和上海港相继全域封港，运力较7月环比下降显著，8月份宁波集装箱吞吐量同比下跌10.6%。9月份义乌入境外商人次达6.25万，较8月份环比增长1.1%，覆盖国家和地区达199个。从地域上看，中东地区如约旦</w:t>
            </w:r>
            <w:r>
              <w:rPr>
                <w:rFonts w:ascii="仿宋_GB2312" w:eastAsia="仿宋_GB2312" w:hAnsi="仿宋_GB2312" w:hint="eastAsia"/>
                <w:sz w:val="24"/>
              </w:rPr>
              <w:t>入境人次</w:t>
            </w:r>
            <w:r>
              <w:rPr>
                <w:rFonts w:ascii="仿宋_GB2312" w:eastAsia="仿宋_GB2312" w:hAnsi="仿宋_GB2312"/>
                <w:sz w:val="24"/>
              </w:rPr>
              <w:t>环比增长了40%，外商大量进入义乌洽谈采购。公司预计四季度本身是采购旺季，外贸出口形势较好。从运价看，10月份宁波出口集装箱运价指数NCFI较9月同期已下跌5.84%，9到10月多条航线运价波动下跌，运价可能进入下行通道，对出口有利。</w:t>
            </w:r>
          </w:p>
          <w:p w14:paraId="7E2066B9" w14:textId="77777777" w:rsidR="00796565" w:rsidRDefault="00796565">
            <w:pPr>
              <w:spacing w:line="360" w:lineRule="auto"/>
              <w:rPr>
                <w:rFonts w:ascii="宋体" w:hAnsi="宋体"/>
                <w:szCs w:val="21"/>
              </w:rPr>
            </w:pPr>
          </w:p>
          <w:p w14:paraId="2032ABE0" w14:textId="77777777" w:rsidR="00796565" w:rsidRDefault="00000000">
            <w:pPr>
              <w:rPr>
                <w:rFonts w:ascii="仿宋_GB2312" w:eastAsia="仿宋_GB2312" w:hAnsi="仿宋_GB2312"/>
                <w:b/>
                <w:sz w:val="24"/>
              </w:rPr>
            </w:pPr>
            <w:r>
              <w:rPr>
                <w:rFonts w:ascii="仿宋_GB2312" w:eastAsia="仿宋_GB2312" w:hAnsi="仿宋_GB2312"/>
                <w:b/>
                <w:sz w:val="24"/>
              </w:rPr>
              <w:t>2.义支付三季度跨境支付交易额增长明显加速，主要驱动因素有哪些？义支付在1039场景下的展业进展如何？</w:t>
            </w:r>
          </w:p>
          <w:p w14:paraId="58B75581" w14:textId="77777777" w:rsidR="00796565" w:rsidRDefault="00000000">
            <w:pPr>
              <w:widowControl/>
              <w:rPr>
                <w:rFonts w:ascii="仿宋_GB2312" w:eastAsia="仿宋_GB2312" w:hAnsi="仿宋_GB2312"/>
                <w:sz w:val="24"/>
              </w:rPr>
            </w:pPr>
            <w:r>
              <w:rPr>
                <w:rFonts w:ascii="仿宋_GB2312" w:eastAsia="仿宋_GB2312" w:hAnsi="仿宋_GB2312"/>
                <w:sz w:val="24"/>
              </w:rPr>
              <w:t>答：1-9月义支付跨境支付交易额突破75.10亿美元，同比增长超过98%，业务已覆盖全球185个国家和地区、29个币种。三季度增速明显，主要有几个原因：一是上半年受中东局部战争冲突影响。上半年受美伊战争影响，中东航运、物流及贸易额大幅下降，中东地区收款下降较大。二是</w:t>
            </w:r>
            <w:r>
              <w:rPr>
                <w:rFonts w:ascii="仿宋_GB2312" w:eastAsia="仿宋_GB2312" w:hAnsi="仿宋_GB2312" w:hint="eastAsia"/>
                <w:sz w:val="24"/>
              </w:rPr>
              <w:t>三季度收回上半年订单交付的货款</w:t>
            </w:r>
            <w:r>
              <w:rPr>
                <w:rFonts w:ascii="仿宋_GB2312" w:eastAsia="仿宋_GB2312" w:hAnsi="仿宋_GB2312"/>
                <w:sz w:val="24"/>
              </w:rPr>
              <w:t>，1039业务场景是当前业务增量的主要来源。三是上半年东盟出口增长，义支付与央行合作，在东盟推广</w:t>
            </w:r>
            <w:r>
              <w:rPr>
                <w:rFonts w:ascii="仿宋_GB2312" w:eastAsia="仿宋_GB2312" w:hAnsi="仿宋_GB2312" w:hint="eastAsia"/>
                <w:sz w:val="24"/>
              </w:rPr>
              <w:t>“数币达”</w:t>
            </w:r>
            <w:r>
              <w:rPr>
                <w:rFonts w:ascii="仿宋_GB2312" w:eastAsia="仿宋_GB2312" w:hAnsi="仿宋_GB2312"/>
                <w:sz w:val="24"/>
              </w:rPr>
              <w:t>等数字人民币跨境支付业务，包括今年9月参加在南宁举行的东盟博览会，主推</w:t>
            </w:r>
            <w:r>
              <w:rPr>
                <w:rFonts w:ascii="仿宋_GB2312" w:eastAsia="仿宋_GB2312" w:hAnsi="仿宋_GB2312" w:hint="eastAsia"/>
                <w:sz w:val="24"/>
              </w:rPr>
              <w:t>“数币达”</w:t>
            </w:r>
            <w:r>
              <w:rPr>
                <w:rFonts w:ascii="仿宋_GB2312" w:eastAsia="仿宋_GB2312" w:hAnsi="仿宋_GB2312"/>
                <w:sz w:val="24"/>
              </w:rPr>
              <w:t>等数字支付</w:t>
            </w:r>
            <w:r>
              <w:rPr>
                <w:rFonts w:ascii="仿宋_GB2312" w:eastAsia="仿宋_GB2312" w:hAnsi="仿宋_GB2312" w:hint="eastAsia"/>
                <w:sz w:val="24"/>
              </w:rPr>
              <w:t>。四</w:t>
            </w:r>
            <w:r>
              <w:rPr>
                <w:rFonts w:ascii="仿宋_GB2312" w:eastAsia="仿宋_GB2312" w:hAnsi="仿宋_GB2312"/>
                <w:sz w:val="24"/>
              </w:rPr>
              <w:t>是香港MSO和TCSP牌照落地</w:t>
            </w:r>
            <w:r>
              <w:rPr>
                <w:rFonts w:ascii="仿宋_GB2312" w:eastAsia="仿宋_GB2312" w:hAnsi="仿宋_GB2312" w:hint="eastAsia"/>
                <w:sz w:val="24"/>
              </w:rPr>
              <w:t>展业</w:t>
            </w:r>
            <w:r>
              <w:rPr>
                <w:rFonts w:ascii="仿宋_GB2312" w:eastAsia="仿宋_GB2312" w:hAnsi="仿宋_GB2312"/>
                <w:sz w:val="24"/>
              </w:rPr>
              <w:t>，为全球业务拓展提供支撑。义支付对全年目标完成有信心。</w:t>
            </w:r>
          </w:p>
          <w:p w14:paraId="003FAFB7" w14:textId="77777777" w:rsidR="00796565" w:rsidRDefault="00796565">
            <w:pPr>
              <w:spacing w:line="360" w:lineRule="auto"/>
              <w:rPr>
                <w:rFonts w:ascii="宋体" w:hAnsi="宋体"/>
                <w:szCs w:val="21"/>
              </w:rPr>
            </w:pPr>
          </w:p>
          <w:p w14:paraId="51723144" w14:textId="77777777" w:rsidR="00796565" w:rsidRDefault="00000000">
            <w:pPr>
              <w:rPr>
                <w:rFonts w:ascii="仿宋_GB2312" w:eastAsia="仿宋_GB2312" w:hAnsi="仿宋_GB2312"/>
                <w:b/>
                <w:sz w:val="24"/>
              </w:rPr>
            </w:pPr>
            <w:r>
              <w:rPr>
                <w:rFonts w:ascii="仿宋_GB2312" w:eastAsia="仿宋_GB2312" w:hAnsi="仿宋_GB2312" w:hint="eastAsia"/>
                <w:b/>
                <w:sz w:val="24"/>
              </w:rPr>
              <w:t>3</w:t>
            </w:r>
            <w:r>
              <w:rPr>
                <w:rFonts w:ascii="仿宋_GB2312" w:eastAsia="仿宋_GB2312" w:hAnsi="仿宋_GB2312"/>
                <w:b/>
                <w:sz w:val="24"/>
              </w:rPr>
              <w:t>.六区市场目前的运营表现情况如何？与之前几个季度相比有哪些变化？</w:t>
            </w:r>
          </w:p>
          <w:p w14:paraId="1E53FC4B" w14:textId="77777777" w:rsidR="00796565" w:rsidRDefault="00000000">
            <w:pPr>
              <w:widowControl/>
              <w:rPr>
                <w:rFonts w:ascii="仿宋_GB2312" w:eastAsia="仿宋_GB2312" w:hAnsi="仿宋_GB2312"/>
                <w:sz w:val="24"/>
              </w:rPr>
            </w:pPr>
            <w:r>
              <w:rPr>
                <w:rFonts w:ascii="仿宋_GB2312" w:eastAsia="仿宋_GB2312" w:hAnsi="仿宋_GB2312"/>
                <w:sz w:val="24"/>
              </w:rPr>
              <w:t>答：三季度市场经营总体平稳，全球数贸中心开业运营非常顺利。全球数贸中心41万方</w:t>
            </w:r>
            <w:r>
              <w:rPr>
                <w:rFonts w:ascii="仿宋_GB2312" w:eastAsia="仿宋_GB2312" w:hAnsi="仿宋_GB2312" w:hint="eastAsia"/>
                <w:sz w:val="24"/>
              </w:rPr>
              <w:t>共5</w:t>
            </w:r>
            <w:r>
              <w:rPr>
                <w:rFonts w:ascii="仿宋_GB2312" w:eastAsia="仿宋_GB2312" w:hAnsi="仿宋_GB2312"/>
                <w:sz w:val="24"/>
              </w:rPr>
              <w:t>200个商位，目前都处于满租状态。市场客流、人均客流均达到历史新高，实现了开业即繁荣。外商方面，9月份入境人数同比是增长的，</w:t>
            </w:r>
            <w:r>
              <w:rPr>
                <w:rFonts w:ascii="仿宋_GB2312" w:eastAsia="仿宋_GB2312" w:hAnsi="仿宋_GB2312" w:hint="eastAsia"/>
                <w:sz w:val="24"/>
              </w:rPr>
              <w:t>四季度随着</w:t>
            </w:r>
            <w:r>
              <w:rPr>
                <w:rFonts w:ascii="仿宋_GB2312" w:eastAsia="仿宋_GB2312" w:hAnsi="仿宋_GB2312"/>
                <w:sz w:val="24"/>
              </w:rPr>
              <w:t>义博会</w:t>
            </w:r>
            <w:r>
              <w:rPr>
                <w:rFonts w:ascii="仿宋_GB2312" w:eastAsia="仿宋_GB2312" w:hAnsi="仿宋_GB2312" w:hint="eastAsia"/>
                <w:sz w:val="24"/>
              </w:rPr>
              <w:t>、森博会等展会召开，会迎来参展</w:t>
            </w:r>
            <w:r>
              <w:rPr>
                <w:rFonts w:ascii="仿宋_GB2312" w:eastAsia="仿宋_GB2312" w:hAnsi="仿宋_GB2312"/>
                <w:sz w:val="24"/>
              </w:rPr>
              <w:t>外商</w:t>
            </w:r>
            <w:r>
              <w:rPr>
                <w:rFonts w:ascii="仿宋_GB2312" w:eastAsia="仿宋_GB2312" w:hAnsi="仿宋_GB2312" w:hint="eastAsia"/>
                <w:sz w:val="24"/>
              </w:rPr>
              <w:t>高峰</w:t>
            </w:r>
            <w:r>
              <w:rPr>
                <w:rFonts w:ascii="仿宋_GB2312" w:eastAsia="仿宋_GB2312" w:hAnsi="仿宋_GB2312"/>
                <w:sz w:val="24"/>
              </w:rPr>
              <w:t>。</w:t>
            </w:r>
          </w:p>
          <w:p w14:paraId="634A3598" w14:textId="77777777" w:rsidR="00796565" w:rsidRDefault="00796565">
            <w:pPr>
              <w:spacing w:line="360" w:lineRule="auto"/>
              <w:rPr>
                <w:rFonts w:ascii="宋体" w:hAnsi="宋体"/>
                <w:szCs w:val="21"/>
              </w:rPr>
            </w:pPr>
          </w:p>
          <w:p w14:paraId="119F23E1" w14:textId="77777777" w:rsidR="00796565" w:rsidRDefault="00000000">
            <w:pPr>
              <w:rPr>
                <w:rFonts w:ascii="仿宋_GB2312" w:eastAsia="仿宋_GB2312" w:hAnsi="仿宋_GB2312"/>
                <w:b/>
                <w:sz w:val="24"/>
              </w:rPr>
            </w:pPr>
            <w:r>
              <w:rPr>
                <w:rFonts w:ascii="仿宋_GB2312" w:eastAsia="仿宋_GB2312" w:hAnsi="仿宋_GB2312" w:hint="eastAsia"/>
                <w:b/>
                <w:sz w:val="24"/>
              </w:rPr>
              <w:t>4</w:t>
            </w:r>
            <w:r>
              <w:rPr>
                <w:rFonts w:ascii="仿宋_GB2312" w:eastAsia="仿宋_GB2312" w:hAnsi="仿宋_GB2312"/>
                <w:b/>
                <w:sz w:val="24"/>
              </w:rPr>
              <w:t>.AI应用相关产品持续加速落地，使用人数保持高增长，公司未来如何考虑AI产品的商业化变现？</w:t>
            </w:r>
          </w:p>
          <w:p w14:paraId="11D7308E" w14:textId="71AED391" w:rsidR="00796565" w:rsidRDefault="00000000">
            <w:pPr>
              <w:widowControl/>
              <w:rPr>
                <w:rFonts w:ascii="仿宋_GB2312" w:eastAsia="仿宋_GB2312" w:hAnsi="仿宋_GB2312"/>
                <w:sz w:val="24"/>
              </w:rPr>
            </w:pPr>
            <w:r>
              <w:rPr>
                <w:rFonts w:ascii="仿宋_GB2312" w:eastAsia="仿宋_GB2312" w:hAnsi="仿宋_GB2312"/>
                <w:sz w:val="24"/>
              </w:rPr>
              <w:t>答：AI应用方面，公司主要是在Chinagoods平台上与阿里</w:t>
            </w:r>
            <w:r>
              <w:rPr>
                <w:rFonts w:ascii="仿宋_GB2312" w:eastAsia="仿宋_GB2312" w:hAnsi="仿宋_GB2312"/>
                <w:sz w:val="24"/>
              </w:rPr>
              <w:lastRenderedPageBreak/>
              <w:t>云合作推出的</w:t>
            </w:r>
            <w:r w:rsidR="00EE1158">
              <w:rPr>
                <w:rFonts w:ascii="仿宋_GB2312" w:eastAsia="仿宋_GB2312" w:hAnsi="仿宋_GB2312" w:hint="eastAsia"/>
                <w:sz w:val="24"/>
              </w:rPr>
              <w:t>“世界</w:t>
            </w:r>
            <w:r>
              <w:rPr>
                <w:rFonts w:ascii="仿宋_GB2312" w:eastAsia="仿宋_GB2312" w:hAnsi="仿宋_GB2312"/>
                <w:sz w:val="24"/>
              </w:rPr>
              <w:t>义乌</w:t>
            </w:r>
            <w:r w:rsidR="00EE1158">
              <w:rPr>
                <w:rFonts w:ascii="仿宋_GB2312" w:eastAsia="仿宋_GB2312" w:hAnsi="仿宋_GB2312" w:hint="eastAsia"/>
                <w:sz w:val="24"/>
              </w:rPr>
              <w:t>”</w:t>
            </w:r>
            <w:r>
              <w:rPr>
                <w:rFonts w:ascii="仿宋_GB2312" w:eastAsia="仿宋_GB2312" w:hAnsi="仿宋_GB2312"/>
                <w:sz w:val="24"/>
              </w:rPr>
              <w:t>商贸大模型。目前</w:t>
            </w:r>
            <w:r w:rsidR="00EE1158">
              <w:rPr>
                <w:rFonts w:ascii="仿宋_GB2312" w:eastAsia="仿宋_GB2312" w:hAnsi="仿宋_GB2312" w:hint="eastAsia"/>
                <w:sz w:val="24"/>
              </w:rPr>
              <w:t>“世界</w:t>
            </w:r>
            <w:r w:rsidR="00EE1158">
              <w:rPr>
                <w:rFonts w:ascii="仿宋_GB2312" w:eastAsia="仿宋_GB2312" w:hAnsi="仿宋_GB2312"/>
                <w:sz w:val="24"/>
              </w:rPr>
              <w:t>义乌</w:t>
            </w:r>
            <w:r w:rsidR="00EE1158">
              <w:rPr>
                <w:rFonts w:ascii="仿宋_GB2312" w:eastAsia="仿宋_GB2312" w:hAnsi="仿宋_GB2312" w:hint="eastAsia"/>
                <w:sz w:val="24"/>
              </w:rPr>
              <w:t>”</w:t>
            </w:r>
            <w:r>
              <w:rPr>
                <w:rFonts w:ascii="仿宋_GB2312" w:eastAsia="仿宋_GB2312" w:hAnsi="仿宋_GB2312"/>
                <w:sz w:val="24"/>
              </w:rPr>
              <w:t>商贸大模型累计用户已超7万人，AI应用累计30项，年内新增16项，预计年底会达到32项。从增长路径看，当前的估值增长主要来自AI应用品类的扩容，同时公司在深度会员渗透率以及数贸港义乌指数等载体行业数据服务方面做相关探索。例如在南美美客多平台，与经营户合作，能够大幅增加在巴西的销售。目前AI产品在商业化方面已经形成会员订阅、工具付费、数据服务等多元路径，随着</w:t>
            </w:r>
            <w:r w:rsidR="00303D79">
              <w:rPr>
                <w:rFonts w:ascii="仿宋_GB2312" w:eastAsia="仿宋_GB2312" w:hAnsi="仿宋_GB2312" w:hint="eastAsia"/>
                <w:sz w:val="24"/>
              </w:rPr>
              <w:t>“</w:t>
            </w:r>
            <w:r>
              <w:rPr>
                <w:rFonts w:ascii="仿宋_GB2312" w:eastAsia="仿宋_GB2312" w:hAnsi="仿宋_GB2312"/>
                <w:sz w:val="24"/>
              </w:rPr>
              <w:t>世界义乌</w:t>
            </w:r>
            <w:r w:rsidR="00303D79">
              <w:rPr>
                <w:rFonts w:ascii="仿宋_GB2312" w:eastAsia="仿宋_GB2312" w:hAnsi="仿宋_GB2312" w:hint="eastAsia"/>
                <w:sz w:val="24"/>
              </w:rPr>
              <w:t>”</w:t>
            </w:r>
            <w:r>
              <w:rPr>
                <w:rFonts w:ascii="仿宋_GB2312" w:eastAsia="仿宋_GB2312" w:hAnsi="仿宋_GB2312"/>
                <w:sz w:val="24"/>
              </w:rPr>
              <w:t>商贸大模型能力提升，AI产品在细分领域的应用空间将进一步打开。</w:t>
            </w:r>
          </w:p>
          <w:p w14:paraId="1F34AAA9" w14:textId="77777777" w:rsidR="00796565" w:rsidRDefault="00796565">
            <w:pPr>
              <w:spacing w:line="360" w:lineRule="auto"/>
              <w:rPr>
                <w:rFonts w:ascii="宋体" w:hAnsi="宋体"/>
                <w:szCs w:val="21"/>
              </w:rPr>
            </w:pPr>
          </w:p>
          <w:p w14:paraId="078FC57E" w14:textId="77777777" w:rsidR="00796565" w:rsidRDefault="00000000">
            <w:pPr>
              <w:rPr>
                <w:rFonts w:ascii="仿宋_GB2312" w:eastAsia="仿宋_GB2312" w:hAnsi="仿宋_GB2312"/>
                <w:b/>
                <w:sz w:val="24"/>
              </w:rPr>
            </w:pPr>
            <w:r>
              <w:rPr>
                <w:rFonts w:ascii="仿宋_GB2312" w:eastAsia="仿宋_GB2312" w:hAnsi="仿宋_GB2312" w:hint="eastAsia"/>
                <w:b/>
                <w:sz w:val="24"/>
              </w:rPr>
              <w:t>5</w:t>
            </w:r>
            <w:r>
              <w:rPr>
                <w:rFonts w:ascii="仿宋_GB2312" w:eastAsia="仿宋_GB2312" w:hAnsi="仿宋_GB2312"/>
                <w:b/>
                <w:sz w:val="24"/>
              </w:rPr>
              <w:t>.中欧贸易变化以及美国小包关税变化对义乌出口产业链经营会带来什么影响？公司有什么应对举措？</w:t>
            </w:r>
          </w:p>
          <w:p w14:paraId="274C1A3B" w14:textId="77777777" w:rsidR="00796565" w:rsidRDefault="00000000">
            <w:pPr>
              <w:widowControl/>
              <w:rPr>
                <w:rFonts w:ascii="仿宋_GB2312" w:eastAsia="仿宋_GB2312" w:hAnsi="仿宋_GB2312"/>
                <w:sz w:val="24"/>
              </w:rPr>
            </w:pPr>
            <w:r>
              <w:rPr>
                <w:rFonts w:ascii="仿宋_GB2312" w:eastAsia="仿宋_GB2312" w:hAnsi="仿宋_GB2312"/>
                <w:sz w:val="24"/>
              </w:rPr>
              <w:t>答：中欧方面，从今年1-8月数据看，义乌对欧盟整体出口占比不高，且出现下滑趋势。从单一国家来看，只有德国排到前20名，影响不大。中美方面，主要是美国301新关税7月24日生效，已经在6、7月份体现为集中性采购备货，</w:t>
            </w:r>
            <w:r>
              <w:rPr>
                <w:rFonts w:ascii="仿宋_GB2312" w:eastAsia="仿宋_GB2312" w:hAnsi="仿宋_GB2312" w:hint="eastAsia"/>
                <w:sz w:val="24"/>
              </w:rPr>
              <w:t>提前释放</w:t>
            </w:r>
            <w:r>
              <w:rPr>
                <w:rFonts w:ascii="仿宋_GB2312" w:eastAsia="仿宋_GB2312" w:hAnsi="仿宋_GB2312"/>
                <w:sz w:val="24"/>
              </w:rPr>
              <w:t>。商务部9月28日公布了双方就300亿美金的对等降税框架，美方降税产品主要包括玩具、家电、婴儿用品、厨卫、节日礼物等，与义乌的匹配度非常高，本轮降税对义乌形成利好。该政策目前仅是磋商阶段性成果，还未正式实施，后续要看政策落地实施时间和执行细节。</w:t>
            </w:r>
          </w:p>
          <w:p w14:paraId="0447D1AC" w14:textId="77777777" w:rsidR="00796565" w:rsidRDefault="00796565">
            <w:pPr>
              <w:spacing w:line="360" w:lineRule="auto"/>
              <w:rPr>
                <w:rFonts w:ascii="宋体" w:hAnsi="宋体"/>
                <w:szCs w:val="21"/>
              </w:rPr>
            </w:pPr>
          </w:p>
          <w:p w14:paraId="799A156A" w14:textId="203A7DEB" w:rsidR="00796565" w:rsidRDefault="001B09B8">
            <w:pPr>
              <w:rPr>
                <w:rFonts w:ascii="仿宋_GB2312" w:eastAsia="仿宋_GB2312" w:hAnsi="仿宋_GB2312"/>
                <w:b/>
                <w:sz w:val="24"/>
              </w:rPr>
            </w:pPr>
            <w:r>
              <w:rPr>
                <w:rFonts w:ascii="仿宋_GB2312" w:eastAsia="仿宋_GB2312" w:hAnsi="仿宋_GB2312" w:hint="eastAsia"/>
                <w:b/>
                <w:sz w:val="24"/>
              </w:rPr>
              <w:t>6</w:t>
            </w:r>
            <w:r w:rsidR="00000000">
              <w:rPr>
                <w:rFonts w:ascii="仿宋_GB2312" w:eastAsia="仿宋_GB2312" w:hAnsi="仿宋_GB2312"/>
                <w:b/>
                <w:sz w:val="24"/>
              </w:rPr>
              <w:t>.品牌出海项目三季度是否有新增？迪拜市场目前的出租率和经营情况如何？海外业务何时能形成稳定的利润贡献？</w:t>
            </w:r>
          </w:p>
          <w:p w14:paraId="2213BA86" w14:textId="77777777" w:rsidR="00796565" w:rsidRDefault="00000000">
            <w:pPr>
              <w:widowControl/>
              <w:rPr>
                <w:rFonts w:ascii="仿宋_GB2312" w:eastAsia="仿宋_GB2312" w:hAnsi="仿宋_GB2312" w:cs="仿宋_GB2312"/>
                <w:bCs/>
                <w:iCs/>
                <w:sz w:val="24"/>
                <w:szCs w:val="24"/>
              </w:rPr>
            </w:pPr>
            <w:r>
              <w:rPr>
                <w:rFonts w:ascii="仿宋_GB2312" w:eastAsia="仿宋_GB2312" w:hAnsi="仿宋_GB2312"/>
                <w:sz w:val="24"/>
              </w:rPr>
              <w:t>答：公司2023年启动品牌出海计划，目前已在全球布局品牌出海项目103个，服务超5700家商户拓展海外市场。三季度以来的主要进展包括坦桑尼亚分市场、墨西哥城分市场、澳大利亚展厅、摩洛哥展厅</w:t>
            </w:r>
            <w:r>
              <w:rPr>
                <w:rFonts w:ascii="仿宋_GB2312" w:eastAsia="仿宋_GB2312" w:hAnsi="仿宋_GB2312" w:hint="eastAsia"/>
                <w:sz w:val="24"/>
              </w:rPr>
              <w:t>等</w:t>
            </w:r>
            <w:r>
              <w:rPr>
                <w:rFonts w:ascii="仿宋_GB2312" w:eastAsia="仿宋_GB2312" w:hAnsi="仿宋_GB2312"/>
                <w:sz w:val="24"/>
              </w:rPr>
              <w:t>。迪拜市场整体运营情况良好，整体出租率不断上升。上半年美伊战争期间，公司曾直接连线迪拜市场</w:t>
            </w:r>
            <w:r>
              <w:rPr>
                <w:rFonts w:ascii="仿宋_GB2312" w:eastAsia="仿宋_GB2312" w:hAnsi="仿宋_GB2312" w:hint="eastAsia"/>
                <w:sz w:val="24"/>
              </w:rPr>
              <w:t>管理团队</w:t>
            </w:r>
            <w:r>
              <w:rPr>
                <w:rFonts w:ascii="仿宋_GB2312" w:eastAsia="仿宋_GB2312" w:hAnsi="仿宋_GB2312"/>
                <w:sz w:val="24"/>
              </w:rPr>
              <w:t>，当时迪拜市场正常开业，员工正常上班，主要是货物进不去、物流断了，销售仍正常。</w:t>
            </w:r>
            <w:r>
              <w:rPr>
                <w:rFonts w:ascii="仿宋_GB2312" w:eastAsia="仿宋_GB2312" w:hAnsi="仿宋_GB2312" w:hint="eastAsia"/>
                <w:sz w:val="24"/>
              </w:rPr>
              <w:t>后续</w:t>
            </w:r>
            <w:r>
              <w:rPr>
                <w:rFonts w:ascii="仿宋_GB2312" w:eastAsia="仿宋_GB2312" w:hAnsi="仿宋_GB2312"/>
                <w:sz w:val="24"/>
              </w:rPr>
              <w:t>主要</w:t>
            </w:r>
            <w:r>
              <w:rPr>
                <w:rFonts w:ascii="仿宋_GB2312" w:eastAsia="仿宋_GB2312" w:hAnsi="仿宋_GB2312" w:hint="eastAsia"/>
                <w:sz w:val="24"/>
              </w:rPr>
              <w:t>也</w:t>
            </w:r>
            <w:r>
              <w:rPr>
                <w:rFonts w:ascii="仿宋_GB2312" w:eastAsia="仿宋_GB2312" w:hAnsi="仿宋_GB2312"/>
                <w:sz w:val="24"/>
              </w:rPr>
              <w:t>是物流方面</w:t>
            </w:r>
            <w:r>
              <w:rPr>
                <w:rFonts w:ascii="仿宋_GB2312" w:eastAsia="仿宋_GB2312" w:hAnsi="仿宋_GB2312" w:hint="eastAsia"/>
                <w:sz w:val="24"/>
              </w:rPr>
              <w:t>影响</w:t>
            </w:r>
            <w:r>
              <w:rPr>
                <w:rFonts w:ascii="仿宋_GB2312" w:eastAsia="仿宋_GB2312" w:hAnsi="仿宋_GB2312"/>
                <w:sz w:val="24"/>
              </w:rPr>
              <w:t>，市场运营情况良好。公司海外分市场主要坚持轻资产合作共建路径，由公司输出品牌供应链及运营管理能力，与当地头部商贸资源方合作共担共赢，后续项目结合当地情况继续沿用这一模式。公司根据不同地方采取</w:t>
            </w:r>
            <w:r>
              <w:rPr>
                <w:rFonts w:ascii="仿宋_GB2312" w:eastAsia="仿宋_GB2312" w:hAnsi="仿宋_GB2312" w:hint="eastAsia"/>
                <w:sz w:val="24"/>
              </w:rPr>
              <w:t>“</w:t>
            </w:r>
            <w:r>
              <w:rPr>
                <w:rFonts w:ascii="仿宋_GB2312" w:eastAsia="仿宋_GB2312" w:hAnsi="仿宋_GB2312"/>
                <w:sz w:val="24"/>
              </w:rPr>
              <w:t>一</w:t>
            </w:r>
            <w:r>
              <w:rPr>
                <w:rFonts w:ascii="仿宋_GB2312" w:eastAsia="仿宋_GB2312" w:hAnsi="仿宋_GB2312" w:hint="eastAsia"/>
                <w:sz w:val="24"/>
              </w:rPr>
              <w:t>洲</w:t>
            </w:r>
            <w:r>
              <w:rPr>
                <w:rFonts w:ascii="仿宋_GB2312" w:eastAsia="仿宋_GB2312" w:hAnsi="仿宋_GB2312"/>
                <w:sz w:val="24"/>
              </w:rPr>
              <w:t>一策略、一</w:t>
            </w:r>
            <w:r>
              <w:rPr>
                <w:rFonts w:ascii="仿宋_GB2312" w:eastAsia="仿宋_GB2312" w:hAnsi="仿宋_GB2312" w:hint="eastAsia"/>
                <w:sz w:val="24"/>
              </w:rPr>
              <w:t>洲</w:t>
            </w:r>
            <w:r>
              <w:rPr>
                <w:rFonts w:ascii="仿宋_GB2312" w:eastAsia="仿宋_GB2312" w:hAnsi="仿宋_GB2312"/>
                <w:sz w:val="24"/>
              </w:rPr>
              <w:t>一模式</w:t>
            </w:r>
            <w:r>
              <w:rPr>
                <w:rFonts w:ascii="仿宋_GB2312" w:eastAsia="仿宋_GB2312" w:hAnsi="仿宋_GB2312" w:hint="eastAsia"/>
                <w:sz w:val="24"/>
              </w:rPr>
              <w:t>”</w:t>
            </w:r>
            <w:r>
              <w:rPr>
                <w:rFonts w:ascii="仿宋_GB2312" w:eastAsia="仿宋_GB2312" w:hAnsi="仿宋_GB2312"/>
                <w:sz w:val="24"/>
              </w:rPr>
              <w:t>的方式。后续随着海外布局完善、仓展厅一体化模式成熟，</w:t>
            </w:r>
            <w:r>
              <w:rPr>
                <w:rFonts w:ascii="仿宋_GB2312" w:eastAsia="仿宋_GB2312" w:hAnsi="仿宋_GB2312" w:hint="eastAsia"/>
                <w:sz w:val="24"/>
              </w:rPr>
              <w:t>初步完成基础网络布局</w:t>
            </w:r>
            <w:r>
              <w:rPr>
                <w:rFonts w:ascii="仿宋_GB2312" w:eastAsia="仿宋_GB2312" w:hAnsi="仿宋_GB2312"/>
                <w:sz w:val="24"/>
              </w:rPr>
              <w:t>。</w:t>
            </w:r>
          </w:p>
        </w:tc>
      </w:tr>
      <w:tr w:rsidR="00796565" w14:paraId="3A534501" w14:textId="77777777">
        <w:trPr>
          <w:trHeight w:val="90"/>
        </w:trPr>
        <w:tc>
          <w:tcPr>
            <w:tcW w:w="2411" w:type="dxa"/>
            <w:vAlign w:val="center"/>
          </w:tcPr>
          <w:p w14:paraId="524BB622"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lastRenderedPageBreak/>
              <w:t>关于本次活动是否涉及应披露重大信息的说明</w:t>
            </w:r>
          </w:p>
        </w:tc>
        <w:tc>
          <w:tcPr>
            <w:tcW w:w="6379" w:type="dxa"/>
            <w:vAlign w:val="center"/>
          </w:tcPr>
          <w:p w14:paraId="1302A170" w14:textId="77777777" w:rsidR="00796565" w:rsidRDefault="00000000">
            <w:pPr>
              <w:spacing w:line="360" w:lineRule="auto"/>
              <w:jc w:val="center"/>
              <w:rPr>
                <w:rFonts w:ascii="宋体" w:hAnsi="宋体" w:cs="仿宋_GB2312"/>
                <w:bCs/>
                <w:iCs/>
                <w:sz w:val="24"/>
                <w:szCs w:val="24"/>
              </w:rPr>
            </w:pPr>
            <w:r>
              <w:rPr>
                <w:rFonts w:ascii="仿宋_GB2312" w:eastAsia="仿宋_GB2312" w:hAnsi="仿宋_GB2312" w:cs="仿宋_GB2312" w:hint="eastAsia"/>
                <w:bCs/>
                <w:iCs/>
                <w:sz w:val="24"/>
                <w:szCs w:val="24"/>
              </w:rPr>
              <w:t>否</w:t>
            </w:r>
          </w:p>
        </w:tc>
      </w:tr>
      <w:tr w:rsidR="00796565" w14:paraId="3103E0D8" w14:textId="77777777">
        <w:trPr>
          <w:trHeight w:val="1130"/>
        </w:trPr>
        <w:tc>
          <w:tcPr>
            <w:tcW w:w="2411" w:type="dxa"/>
            <w:vAlign w:val="center"/>
          </w:tcPr>
          <w:p w14:paraId="304202EB" w14:textId="77777777" w:rsidR="00796565" w:rsidRDefault="00000000">
            <w:pPr>
              <w:spacing w:line="360" w:lineRule="auto"/>
              <w:jc w:val="center"/>
              <w:rPr>
                <w:rFonts w:ascii="宋体" w:hAnsi="宋体" w:cs="黑体"/>
                <w:iCs/>
                <w:sz w:val="24"/>
                <w:szCs w:val="24"/>
              </w:rPr>
            </w:pPr>
            <w:r>
              <w:rPr>
                <w:rFonts w:ascii="宋体" w:hAnsi="宋体" w:cs="黑体" w:hint="eastAsia"/>
                <w:iCs/>
                <w:sz w:val="24"/>
                <w:szCs w:val="24"/>
              </w:rPr>
              <w:lastRenderedPageBreak/>
              <w:t>附件清单（如有）</w:t>
            </w:r>
          </w:p>
        </w:tc>
        <w:tc>
          <w:tcPr>
            <w:tcW w:w="6379" w:type="dxa"/>
          </w:tcPr>
          <w:p w14:paraId="4C0DF9AA" w14:textId="77777777" w:rsidR="00796565" w:rsidRDefault="00796565">
            <w:pPr>
              <w:spacing w:line="360" w:lineRule="auto"/>
              <w:rPr>
                <w:rFonts w:ascii="仿宋_GB2312" w:eastAsia="仿宋_GB2312" w:hAnsi="仿宋_GB2312" w:cs="仿宋_GB2312"/>
                <w:bCs/>
                <w:iCs/>
                <w:sz w:val="24"/>
                <w:szCs w:val="24"/>
              </w:rPr>
            </w:pPr>
          </w:p>
        </w:tc>
      </w:tr>
    </w:tbl>
    <w:p w14:paraId="3A61D651" w14:textId="77777777" w:rsidR="00796565" w:rsidRDefault="00796565">
      <w:pPr>
        <w:spacing w:line="360" w:lineRule="auto"/>
      </w:pPr>
    </w:p>
    <w:p w14:paraId="28E55674" w14:textId="77777777" w:rsidR="00796565" w:rsidRDefault="00796565"/>
    <w:sectPr w:rsidR="0079656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FangSong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EDF7C067"/>
    <w:rsid w:val="001B09B8"/>
    <w:rsid w:val="001B0CB7"/>
    <w:rsid w:val="001D688D"/>
    <w:rsid w:val="00303D79"/>
    <w:rsid w:val="00344BEA"/>
    <w:rsid w:val="00563BA7"/>
    <w:rsid w:val="006C746B"/>
    <w:rsid w:val="00783882"/>
    <w:rsid w:val="00796565"/>
    <w:rsid w:val="007A50BB"/>
    <w:rsid w:val="009825B2"/>
    <w:rsid w:val="00A853EC"/>
    <w:rsid w:val="00A860B3"/>
    <w:rsid w:val="00B13E61"/>
    <w:rsid w:val="00C37A53"/>
    <w:rsid w:val="00E0327F"/>
    <w:rsid w:val="00EE1158"/>
    <w:rsid w:val="00F62664"/>
    <w:rsid w:val="37FD836C"/>
    <w:rsid w:val="3B5F5264"/>
    <w:rsid w:val="65B7C21D"/>
    <w:rsid w:val="7BBC6ACF"/>
    <w:rsid w:val="7FFEEBBB"/>
    <w:rsid w:val="DD7F0044"/>
    <w:rsid w:val="DFE67B06"/>
    <w:rsid w:val="EDF7C067"/>
    <w:rsid w:val="F6BFE4B2"/>
    <w:rsid w:val="F7F76610"/>
    <w:rsid w:val="FCFC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2D7AC"/>
  <w15:docId w15:val="{2F002E23-277A-4B6B-9005-5FD18742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Pr>
      <w:b/>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 w:type="paragraph" w:styleId="a9">
    <w:name w:val="Revision"/>
    <w:hidden/>
    <w:uiPriority w:val="99"/>
    <w:unhideWhenUsed/>
    <w:rsid w:val="001B0CB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4</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YOUNGYEE</dc:creator>
  <cp:lastModifiedBy>Nail He</cp:lastModifiedBy>
  <cp:revision>13</cp:revision>
  <dcterms:created xsi:type="dcterms:W3CDTF">2026-09-30T09:30:00Z</dcterms:created>
  <dcterms:modified xsi:type="dcterms:W3CDTF">2026-10-23T02:13:00Z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D35F5F2DF0899CD71DD0D96AE3DFB53E_43</vt:lpwstr>
  </property>
</Properties>
</file>