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B0733">
      <w:pPr>
        <w:spacing w:line="360" w:lineRule="auto"/>
        <w:jc w:val="center"/>
        <w:rPr>
          <w:rFonts w:ascii="黑体" w:hAnsi="黑体" w:eastAsia="黑体" w:cs="黑体"/>
          <w:b/>
          <w:bCs/>
          <w:sz w:val="36"/>
          <w:szCs w:val="36"/>
        </w:rPr>
      </w:pPr>
      <w:r>
        <w:rPr>
          <w:rFonts w:hint="eastAsia" w:ascii="黑体" w:hAnsi="黑体" w:eastAsia="黑体" w:cs="黑体"/>
          <w:b/>
          <w:bCs/>
          <w:sz w:val="36"/>
          <w:szCs w:val="36"/>
        </w:rPr>
        <w:t>中国电器科学研究院股份有限公司</w:t>
      </w:r>
    </w:p>
    <w:p w14:paraId="737FFD73">
      <w:pPr>
        <w:spacing w:line="360" w:lineRule="auto"/>
        <w:jc w:val="center"/>
        <w:rPr>
          <w:rFonts w:ascii="黑体" w:hAnsi="黑体" w:eastAsia="黑体" w:cs="黑体"/>
          <w:b/>
          <w:bCs/>
          <w:sz w:val="36"/>
          <w:szCs w:val="36"/>
        </w:rPr>
      </w:pPr>
      <w:r>
        <w:rPr>
          <w:rFonts w:hint="eastAsia" w:ascii="黑体" w:hAnsi="黑体" w:eastAsia="黑体" w:cs="黑体"/>
          <w:b/>
          <w:bCs/>
          <w:sz w:val="36"/>
          <w:szCs w:val="36"/>
        </w:rPr>
        <w:t>投资者关系活动记录</w:t>
      </w:r>
    </w:p>
    <w:p w14:paraId="102B2163">
      <w:pPr>
        <w:spacing w:line="360" w:lineRule="auto"/>
        <w:rPr>
          <w:rFonts w:ascii="宋体" w:hAnsi="宋体" w:cs="宋体"/>
          <w:b/>
          <w:bCs/>
          <w:sz w:val="24"/>
        </w:rPr>
      </w:pPr>
    </w:p>
    <w:p w14:paraId="61AC8923">
      <w:pPr>
        <w:spacing w:line="360" w:lineRule="auto"/>
        <w:rPr>
          <w:rFonts w:ascii="宋体" w:hAnsi="宋体" w:cs="宋体"/>
          <w:sz w:val="24"/>
        </w:rPr>
      </w:pPr>
      <w:r>
        <w:rPr>
          <w:rFonts w:hint="eastAsia" w:ascii="宋体" w:hAnsi="宋体" w:cs="宋体"/>
          <w:sz w:val="24"/>
        </w:rPr>
        <w:t>时间：202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23</w:t>
      </w:r>
      <w:r>
        <w:rPr>
          <w:rFonts w:hint="eastAsia" w:ascii="宋体" w:hAnsi="宋体" w:cs="宋体"/>
          <w:sz w:val="24"/>
        </w:rPr>
        <w:t>日</w:t>
      </w:r>
    </w:p>
    <w:p w14:paraId="3315EA11">
      <w:pPr>
        <w:spacing w:line="360" w:lineRule="auto"/>
        <w:rPr>
          <w:rFonts w:ascii="宋体" w:hAnsi="宋体" w:cs="宋体"/>
          <w:sz w:val="24"/>
        </w:rPr>
      </w:pPr>
      <w:r>
        <w:rPr>
          <w:rFonts w:hint="eastAsia" w:ascii="宋体" w:hAnsi="宋体" w:cs="宋体"/>
          <w:sz w:val="24"/>
        </w:rPr>
        <w:t>形式：</w:t>
      </w:r>
      <w:r>
        <w:rPr>
          <w:rFonts w:hint="eastAsia" w:ascii="宋体" w:hAnsi="宋体" w:cs="宋体"/>
          <w:sz w:val="24"/>
          <w:lang w:val="en-US" w:eastAsia="zh-CN"/>
        </w:rPr>
        <w:t>现场</w:t>
      </w:r>
      <w:r>
        <w:rPr>
          <w:rFonts w:hint="eastAsia" w:ascii="宋体" w:hAnsi="宋体" w:cs="宋体"/>
          <w:sz w:val="24"/>
        </w:rPr>
        <w:t>接待</w:t>
      </w:r>
    </w:p>
    <w:p w14:paraId="13A5A148">
      <w:pPr>
        <w:spacing w:line="360" w:lineRule="auto"/>
        <w:ind w:left="1200" w:hanging="1200" w:hangingChars="500"/>
        <w:rPr>
          <w:rFonts w:hint="default" w:ascii="宋体" w:hAnsi="宋体" w:cs="宋体"/>
          <w:sz w:val="24"/>
          <w:lang w:val="en-US" w:eastAsia="zh-CN"/>
        </w:rPr>
      </w:pPr>
      <w:r>
        <w:rPr>
          <w:rFonts w:hint="eastAsia" w:ascii="宋体" w:hAnsi="宋体" w:cs="宋体"/>
          <w:sz w:val="24"/>
        </w:rPr>
        <w:t>参与</w:t>
      </w:r>
      <w:r>
        <w:rPr>
          <w:rFonts w:hint="eastAsia" w:ascii="宋体" w:hAnsi="宋体" w:cs="宋体"/>
          <w:sz w:val="24"/>
          <w:lang w:val="en-US" w:eastAsia="zh-CN"/>
        </w:rPr>
        <w:t>人员</w:t>
      </w:r>
      <w:r>
        <w:rPr>
          <w:rFonts w:hint="eastAsia" w:ascii="宋体" w:hAnsi="宋体" w:cs="宋体"/>
          <w:sz w:val="24"/>
        </w:rPr>
        <w:t>：</w:t>
      </w:r>
      <w:r>
        <w:rPr>
          <w:rFonts w:hint="eastAsia" w:ascii="宋体" w:hAnsi="宋体" w:cs="宋体"/>
          <w:sz w:val="24"/>
          <w:lang w:val="en-US" w:eastAsia="zh-CN"/>
        </w:rPr>
        <w:t>国投</w:t>
      </w:r>
      <w:r>
        <w:rPr>
          <w:rFonts w:hint="eastAsia" w:ascii="宋体" w:hAnsi="宋体" w:cs="宋体"/>
          <w:sz w:val="24"/>
        </w:rPr>
        <w:t>证券</w:t>
      </w:r>
      <w:r>
        <w:rPr>
          <w:rFonts w:hint="eastAsia" w:ascii="宋体" w:hAnsi="宋体" w:cs="宋体"/>
          <w:sz w:val="24"/>
          <w:lang w:eastAsia="zh-CN"/>
        </w:rPr>
        <w:t>、</w:t>
      </w:r>
      <w:r>
        <w:rPr>
          <w:rFonts w:hint="eastAsia" w:ascii="宋体" w:hAnsi="宋体" w:cs="宋体"/>
          <w:sz w:val="24"/>
          <w:lang w:val="en-US" w:eastAsia="zh-CN"/>
        </w:rPr>
        <w:t>财通证券相关人员及个人投资者，共计22人</w:t>
      </w:r>
    </w:p>
    <w:p w14:paraId="19726B1C">
      <w:pPr>
        <w:spacing w:line="360" w:lineRule="auto"/>
        <w:ind w:left="1200" w:hanging="1200" w:hangingChars="500"/>
        <w:rPr>
          <w:rFonts w:hint="eastAsia" w:ascii="宋体" w:hAnsi="宋体" w:cs="宋体"/>
          <w:sz w:val="24"/>
          <w:lang w:val="en-US" w:eastAsia="zh-CN"/>
        </w:rPr>
      </w:pPr>
      <w:r>
        <w:rPr>
          <w:rFonts w:hint="eastAsia" w:ascii="宋体" w:hAnsi="宋体" w:cs="宋体"/>
          <w:sz w:val="24"/>
        </w:rPr>
        <w:t>公司参加人员：董事</w:t>
      </w:r>
      <w:r>
        <w:rPr>
          <w:rFonts w:hint="eastAsia" w:ascii="宋体" w:hAnsi="宋体" w:cs="宋体"/>
          <w:sz w:val="24"/>
          <w:lang w:eastAsia="zh-CN"/>
        </w:rPr>
        <w:t>、</w:t>
      </w:r>
      <w:r>
        <w:rPr>
          <w:rFonts w:hint="eastAsia" w:ascii="宋体" w:hAnsi="宋体" w:cs="宋体"/>
          <w:sz w:val="24"/>
          <w:lang w:val="en-US" w:eastAsia="zh-CN"/>
        </w:rPr>
        <w:t>总经理易理先生，法务合规部兼审计部部长陈伟立先生，</w:t>
      </w:r>
    </w:p>
    <w:p w14:paraId="4A99C0C1">
      <w:pPr>
        <w:spacing w:line="360" w:lineRule="auto"/>
        <w:ind w:left="1200" w:hanging="1200" w:hangingChars="500"/>
        <w:rPr>
          <w:rFonts w:hint="default" w:ascii="宋体" w:hAnsi="宋体" w:cs="宋体"/>
          <w:sz w:val="24"/>
          <w:lang w:val="en-US" w:eastAsia="zh-CN"/>
        </w:rPr>
      </w:pPr>
      <w:r>
        <w:rPr>
          <w:rFonts w:hint="eastAsia" w:ascii="宋体" w:hAnsi="宋体" w:cs="宋体"/>
          <w:sz w:val="24"/>
          <w:lang w:val="en-US" w:eastAsia="zh-CN"/>
        </w:rPr>
        <w:t xml:space="preserve">              财务管理部部长刘婷女士及证券事务代表孙溢女士</w:t>
      </w:r>
    </w:p>
    <w:p w14:paraId="5583D13C">
      <w:pPr>
        <w:spacing w:line="360" w:lineRule="auto"/>
        <w:ind w:left="1680" w:hanging="1680" w:hangingChars="700"/>
        <w:rPr>
          <w:rFonts w:ascii="宋体" w:hAnsi="宋体" w:cs="宋体"/>
          <w:sz w:val="24"/>
        </w:rPr>
      </w:pPr>
    </w:p>
    <w:p w14:paraId="079F3B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23</w:t>
      </w:r>
      <w:r>
        <w:rPr>
          <w:rFonts w:hint="eastAsia" w:ascii="宋体" w:hAnsi="宋体" w:eastAsia="宋体" w:cs="宋体"/>
          <w:sz w:val="24"/>
          <w:szCs w:val="24"/>
          <w:lang w:eastAsia="zh-CN"/>
        </w:rPr>
        <w:t>日，由上海证券交易所、中国上市公司协会、中证中小投资者服务中心主办，上交所投教基地、国投证券、南方财经全媒体集团承办，广东上市公司协会提供支持的“我是股东”投资者走进上市公司活动在</w:t>
      </w:r>
      <w:r>
        <w:rPr>
          <w:rFonts w:hint="eastAsia" w:ascii="宋体" w:hAnsi="宋体" w:eastAsia="宋体" w:cs="宋体"/>
          <w:sz w:val="24"/>
          <w:szCs w:val="24"/>
          <w:lang w:val="en-US" w:eastAsia="zh-CN"/>
        </w:rPr>
        <w:t>中国电器科学研究院股份有限公司（以下简称“公司”）</w:t>
      </w:r>
      <w:r>
        <w:rPr>
          <w:rFonts w:hint="eastAsia" w:ascii="宋体" w:hAnsi="宋体" w:eastAsia="宋体" w:cs="宋体"/>
          <w:sz w:val="24"/>
          <w:szCs w:val="24"/>
          <w:lang w:eastAsia="zh-CN"/>
        </w:rPr>
        <w:t>举办。投资者实地参观了</w:t>
      </w:r>
      <w:r>
        <w:rPr>
          <w:rFonts w:hint="eastAsia" w:ascii="宋体" w:hAnsi="宋体" w:eastAsia="宋体" w:cs="宋体"/>
          <w:sz w:val="24"/>
          <w:szCs w:val="24"/>
          <w:lang w:val="en-US" w:eastAsia="zh-CN"/>
        </w:rPr>
        <w:t>公司擎天工业园</w:t>
      </w:r>
      <w:r>
        <w:rPr>
          <w:rFonts w:hint="eastAsia" w:ascii="宋体" w:hAnsi="宋体" w:eastAsia="宋体" w:cs="宋体"/>
          <w:sz w:val="24"/>
          <w:szCs w:val="24"/>
          <w:lang w:eastAsia="zh-CN"/>
        </w:rPr>
        <w:t>，并</w:t>
      </w:r>
      <w:r>
        <w:rPr>
          <w:rFonts w:hint="eastAsia" w:ascii="宋体" w:hAnsi="宋体" w:cs="宋体"/>
          <w:sz w:val="24"/>
          <w:szCs w:val="24"/>
          <w:lang w:val="en-US" w:eastAsia="zh-CN"/>
        </w:rPr>
        <w:t>开展</w:t>
      </w:r>
      <w:r>
        <w:rPr>
          <w:rFonts w:hint="eastAsia" w:ascii="宋体" w:hAnsi="宋体" w:eastAsia="宋体" w:cs="宋体"/>
          <w:sz w:val="24"/>
          <w:szCs w:val="24"/>
          <w:lang w:eastAsia="zh-CN"/>
        </w:rPr>
        <w:t>座谈交流</w:t>
      </w:r>
      <w:r>
        <w:rPr>
          <w:rFonts w:hint="eastAsia" w:ascii="宋体" w:hAnsi="宋体" w:cs="宋体"/>
          <w:sz w:val="24"/>
          <w:szCs w:val="24"/>
          <w:lang w:eastAsia="zh-CN"/>
        </w:rPr>
        <w:t>。</w:t>
      </w:r>
      <w:r>
        <w:rPr>
          <w:rFonts w:hint="eastAsia" w:ascii="宋体" w:hAnsi="宋体" w:cs="宋体"/>
          <w:sz w:val="24"/>
          <w:szCs w:val="24"/>
          <w:lang w:val="en-US" w:eastAsia="zh-CN"/>
        </w:rPr>
        <w:t>本次交流问题及回复</w:t>
      </w:r>
      <w:r>
        <w:rPr>
          <w:rFonts w:hint="eastAsia" w:ascii="宋体" w:hAnsi="宋体" w:eastAsia="宋体" w:cs="宋体"/>
          <w:sz w:val="24"/>
          <w:szCs w:val="24"/>
          <w:lang w:eastAsia="zh-CN"/>
        </w:rPr>
        <w:t>如下：</w:t>
      </w:r>
    </w:p>
    <w:p w14:paraId="7514A6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问题1：</w:t>
      </w:r>
      <w:r>
        <w:rPr>
          <w:rFonts w:hint="eastAsia" w:ascii="宋体" w:hAnsi="宋体" w:eastAsia="宋体" w:cs="宋体"/>
          <w:sz w:val="24"/>
          <w:szCs w:val="24"/>
          <w:lang w:eastAsia="zh-CN"/>
        </w:rPr>
        <w:t>从投资者保护工作的角度，我们关注到公司在历年年报中对投资者权益保护相关内容均有规范披露。想请问公司，下一步在持续健全投资者保护工作机制、细化落实中小投资者权益保障举措方面，有哪些整体的工作考虑和重点安排？</w:t>
      </w:r>
    </w:p>
    <w:p w14:paraId="7584AD2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答：感谢您关注公司投资者权益保护工作。公司高度重视投资者保护，对标资本市场优秀上市公司的成熟实践，下一步公司将持续健全投资者保护工作机制，细化中小投资者权益保障举措，在现有工作基础上持续深化，重点安排如下：</w:t>
      </w:r>
    </w:p>
    <w:p w14:paraId="3E556F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一，持续提升信息披露质量，夯实投资者知情权基础。公司将在严守合规底线的前提下，持续优化信息披露供给。针对定期报告，在发布后配套推出年报图解等轻量化解读材料，降低中小投资者理解门槛，提升披露内容的可读性；对风险事项、重大事项</w:t>
      </w:r>
      <w:r>
        <w:rPr>
          <w:rFonts w:hint="eastAsia" w:ascii="宋体" w:hAnsi="宋体" w:cs="宋体"/>
          <w:sz w:val="24"/>
          <w:szCs w:val="24"/>
          <w:lang w:val="en-US" w:eastAsia="zh-CN"/>
        </w:rPr>
        <w:t>等</w:t>
      </w:r>
      <w:r>
        <w:rPr>
          <w:rFonts w:hint="eastAsia" w:ascii="宋体" w:hAnsi="宋体" w:eastAsia="宋体" w:cs="宋体"/>
          <w:sz w:val="24"/>
          <w:szCs w:val="24"/>
          <w:lang w:eastAsia="zh-CN"/>
        </w:rPr>
        <w:t>坚持及时、清晰披露，持续丰富自愿性信息披露内容，帮助中小投资者更全面、直观地把握公司经营基本面。</w:t>
      </w:r>
    </w:p>
    <w:p w14:paraId="1CFEA3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二，持续落实稳定、可持续的回报机制，维护投资者收益权。公司已实施一年多次分红，下一步，公司将在统筹长期发展规划、现金流状况的基础上，持续保持分红政策、分红频次的连续性、稳定性，积极回报广大中小股东。</w:t>
      </w:r>
    </w:p>
    <w:p w14:paraId="72DBAB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第三，持续保障中小股东参与权与表决权。公司已</w:t>
      </w:r>
      <w:r>
        <w:rPr>
          <w:rFonts w:hint="eastAsia" w:ascii="宋体" w:hAnsi="宋体" w:cs="宋体"/>
          <w:sz w:val="24"/>
          <w:szCs w:val="24"/>
          <w:lang w:val="en-US" w:eastAsia="zh-CN"/>
        </w:rPr>
        <w:t>使用</w:t>
      </w:r>
      <w:r>
        <w:rPr>
          <w:rFonts w:hint="eastAsia" w:ascii="宋体" w:hAnsi="宋体" w:eastAsia="宋体" w:cs="宋体"/>
          <w:sz w:val="24"/>
          <w:szCs w:val="24"/>
          <w:lang w:eastAsia="zh-CN"/>
        </w:rPr>
        <w:t>股东会 “一键通” 投票</w:t>
      </w:r>
      <w:r>
        <w:rPr>
          <w:rFonts w:hint="eastAsia" w:ascii="宋体" w:hAnsi="宋体" w:cs="宋体"/>
          <w:sz w:val="24"/>
          <w:szCs w:val="24"/>
          <w:lang w:val="en-US" w:eastAsia="zh-CN"/>
        </w:rPr>
        <w:t>服务</w:t>
      </w:r>
      <w:r>
        <w:rPr>
          <w:rFonts w:hint="eastAsia" w:ascii="宋体" w:hAnsi="宋体" w:eastAsia="宋体" w:cs="宋体"/>
          <w:sz w:val="24"/>
          <w:szCs w:val="24"/>
          <w:lang w:eastAsia="zh-CN"/>
        </w:rPr>
        <w:t>，方便投资者及时知悉会议安排、便捷行使表决权，避免错过股东会。后续我们将持续用好该渠道，严格落实股东会网络投票、中小投资者单独计票机制。</w:t>
      </w:r>
    </w:p>
    <w:p w14:paraId="5DC619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四，持续优化常态化投关沟通体系。公司将持续用好上证e互动、投资者关系热线、业绩说明会等投关载体。业绩说明会会前配套提问二维码、线上问卷是我们已落地的安排，下一步我们将固化该配套模式，便利投资者提问参与；同时，根据股东实际诉求，按需组织实地调研接待，支持投资者深入了解公司经营与业务情况。</w:t>
      </w:r>
    </w:p>
    <w:p w14:paraId="2F943B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五，深化投资者权益保护宣传落地。公司已依托投资者保护宣传日等重要节点，通过官方公众号推送投资者保护相关内容、线下张贴宣传海报、发放投资者保护宣传手册等方式常态化开展投资者保护宣传。在此基础上，下一步我们将持续丰富投资者保护宣传的内容供给与传播形式，积极参与交易所组织的投资者权益保护相关专项工作，结合公司行业特点持续打磨轻量化宣传素材，面向中小投资者普及股东权利、理性投资、风险识别、维权渠道等相关知识，持续提升投资者权益保护宣传的触达实效。</w:t>
      </w:r>
    </w:p>
    <w:p w14:paraId="062F188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六，持续完善内部投保工作机制。公司将以《投资者关系管理办法》为基础，持续把投资者保护、公平披露、中小投资者权益保障等要求，更深嵌入信息披露、规范运作、重大事项决策等流程；常态化组织相关工作人员学习监管新规与同业先进投保实践，定期复盘投关及投保工作短板，动态迭代优化工作流程，推动投资者保护工作走向常态化、精细化。</w:t>
      </w:r>
    </w:p>
    <w:p w14:paraId="70CE8CA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谢谢！</w:t>
      </w:r>
    </w:p>
    <w:p w14:paraId="68028E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p>
    <w:p w14:paraId="69D4BD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问题2：</w:t>
      </w:r>
      <w:r>
        <w:rPr>
          <w:rFonts w:hint="eastAsia" w:ascii="宋体" w:hAnsi="宋体" w:eastAsia="宋体" w:cs="宋体"/>
          <w:sz w:val="24"/>
          <w:szCs w:val="24"/>
          <w:lang w:eastAsia="zh-CN"/>
        </w:rPr>
        <w:t>成套装备和智能制造的海外项目交付延后，暴露的是项目管理问题还是需求问题？</w:t>
      </w:r>
    </w:p>
    <w:p w14:paraId="54E0AD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答：成套装备业务海外项目履约链条长、部分项目内容需跨境完成，项目实施周期会受到跨境物流、业主配套土建、现场实施条件等多重外部条件约束，这也是装备出海企业普遍需要面对的不确定性因素。2026年上半年，成套装备业务部分海外项目履约节奏放缓，主要系以下外部客观因素导致，一是受海外地缘局势影响，海运物流承压、船运班次延误，影响设备发运排期；二是客户方现场配套工程进度滞后，暂不具备设备进场安装、调试的实施条件。公司已针对交付延后项目组织开展全方位评估，暂未发现较大风险；目前，公司内部项目管理体系运行正常，并与相关客户进行了充分沟通，积极统筹推进项目有序执行。</w:t>
      </w:r>
    </w:p>
    <w:p w14:paraId="1B838A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谢谢！</w:t>
      </w:r>
    </w:p>
    <w:p w14:paraId="48C022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p>
    <w:p w14:paraId="1EFC38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问题3：</w:t>
      </w:r>
      <w:r>
        <w:rPr>
          <w:rFonts w:hint="eastAsia" w:ascii="宋体" w:hAnsi="宋体" w:eastAsia="宋体" w:cs="宋体"/>
          <w:sz w:val="24"/>
          <w:szCs w:val="24"/>
          <w:lang w:eastAsia="zh-CN"/>
        </w:rPr>
        <w:t>检测认证、电池装备、励磁装备、环保材料多块业务并存，公司如何做战略取舍和资源分配？</w:t>
      </w:r>
    </w:p>
    <w:p w14:paraId="58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答：公司各项业务并非独立割裂布局，而是源于科研院所转制的技术根脉。公司最初是从事电器产品环境适应性基本规律与机理研究，简单来说就是研究电器产品在不同的气候、机械、化学、电磁等复杂环境中的适应能力，并进行改进来提升电器产品质量水平。从公司业务发展脉络看，质量技术服务业务属于公司最早发展的业务，后续在长期共性技术研发和质量技术服务过程中，公司基于市场对于生产装备以及防护材料质量提升的需求，通过核心技术成果转化，进一步为客户提供智能装备、环保涂料及树脂等产品，协同质量技术服务业务提升电器制造行业整体技术水平，为电器产品质量提升提供系统解决方案。四大业务是沿着电器质量提升这条主线逐步衍生、自然生长形成的，业务之间具备一定的协同性，不是非此即彼的取舍关系。</w:t>
      </w:r>
    </w:p>
    <w:p w14:paraId="51B96B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在各业务板块合作、协同发展的推动下，公司形成了为客户提供电器产品质量提升整体解决方案的综合服务能力，包括标准研究、技术研发、产品设计、工厂规划、装备制造、涂料涂装、检验检测、诊断（失效分析、缺陷分析）、改进（标杆对比提升、品控体系建立等）、认证推优的“全链条”服务，具有整体竞争优势，并不断完善在智能汽车、能源装备、医疗健康等领域产业的服务能力，打造更加完整的产业链。这种“独具特色的综合服务能力”，也是我们区别于单一检测机构、单一装备厂商、单一材料厂商的核心竞争力。</w:t>
      </w:r>
    </w:p>
    <w:p w14:paraId="5A6175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从经营层面看，质量技术服务、电气装备、成套装备、环保涂料及树脂各业务均处于战略性新兴行业，具备良好的成长空间，各业务板块营收体量相对均衡，共同支撑公司经营基本面。</w:t>
      </w:r>
    </w:p>
    <w:p w14:paraId="64C3A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在资源分配上，公司不做简单取舍：各板块在自身细分赛道均设定独立清晰的战略目标，按需匹配充足资源，支撑各自深耕发展；同时以协同融合为方向统筹资源配置，进一步促进质量技术服务、电气装备、成套装备和环保涂料及树脂实现深度融合，围绕智能家居、新能源、智能汽车三大产业构建整体解决方案，放大板块协同价值，共同做大产业服务的整体规模。</w:t>
      </w:r>
    </w:p>
    <w:p w14:paraId="2929B1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谢谢！</w:t>
      </w:r>
    </w:p>
    <w:p w14:paraId="5DF828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p>
    <w:p w14:paraId="38FC39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问题4：</w:t>
      </w:r>
      <w:r>
        <w:rPr>
          <w:rFonts w:hint="eastAsia" w:ascii="宋体" w:hAnsi="宋体" w:eastAsia="宋体" w:cs="宋体"/>
          <w:sz w:val="24"/>
          <w:szCs w:val="24"/>
          <w:lang w:eastAsia="zh-CN"/>
        </w:rPr>
        <w:t xml:space="preserve">未来产业要投钱，检测主业的资本开支也在继续，40%以上的股利支付率会不会成为第一个被牺牲的变量？ </w:t>
      </w:r>
    </w:p>
    <w:p w14:paraId="7CF36D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答：您提的这个问题，我们理解本质上是利润分配和长期发展之间如何统筹平衡。我们认为稳定分红的根基是持续盈利，只有经营上赚到利润、形成稳健内生造血能力，公司才有持续分红的空间。</w:t>
      </w:r>
    </w:p>
    <w:p w14:paraId="33CFAE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作为央企控股上市公司，公司严格遵循利润分配相关监管规定，牢固树立回报股东意识，兼顾分红政策的稳定性、持续性与可预期性。自2019年上市以来，公司历年现金分红比例持续保持在40%以上，并且公司已连续两年实施中期现金分红，通过增加分红频次，切实提升投资者的获得感。</w:t>
      </w:r>
    </w:p>
    <w:p w14:paraId="5AFADB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正如您关注到的，公司主业板块存在持续资本开支需求，除此之外，面向未来产业布局，我们也需要配套研发等战略性投入。在资源配置的考量上，我们并不将分红与主业投资及战略投入简单对立，高股利支付率并非重大资本投入时优先牺牲的调节变量。各主业的提质升级、研发攻关以及新产业布局，是夯实中长期盈利底盘的支撑，也是长期分红能力的来源；公司依托主业稳健的经营性现金流，辅以多元融资渠道统筹匹配各类资金需求。</w:t>
      </w:r>
    </w:p>
    <w:p w14:paraId="32E1C7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公司分红一直坚持量力而行、可持续原则，不会透支长期发展根基。每一年利润分配方案，董事会都会审慎结合当期盈利、可供分配利润、现金流水平、重大资本支出计划等综合研判，兼顾股东当期回报和企业长远发展。</w:t>
      </w:r>
    </w:p>
    <w:p w14:paraId="640CA4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长远来看，解决好二者平衡的根本，在于持续提升经营质效、深耕四大主业、精益管理，不断夯实盈利和现金流底盘。经营基本面越稳固，我们越有条件兼顾稳定的股东回报，同时保障科技创新、产能建设、市场开拓等投入，实现公司高质量发展与股东价值持续增长的统一。</w:t>
      </w:r>
    </w:p>
    <w:p w14:paraId="59BC3E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谢谢！</w:t>
      </w:r>
    </w:p>
    <w:p w14:paraId="18D359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p>
    <w:p w14:paraId="39F81F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问题5：</w:t>
      </w:r>
      <w:r>
        <w:rPr>
          <w:rFonts w:hint="eastAsia" w:ascii="宋体" w:hAnsi="宋体" w:eastAsia="宋体" w:cs="宋体"/>
          <w:sz w:val="24"/>
          <w:szCs w:val="24"/>
          <w:lang w:eastAsia="zh-CN"/>
        </w:rPr>
        <w:t>新能源电池检测装备的</w:t>
      </w:r>
      <w:r>
        <w:rPr>
          <w:rFonts w:hint="eastAsia" w:ascii="宋体" w:hAnsi="宋体" w:cs="宋体"/>
          <w:sz w:val="24"/>
          <w:szCs w:val="24"/>
          <w:lang w:val="en-US" w:eastAsia="zh-CN"/>
        </w:rPr>
        <w:t>持续</w:t>
      </w:r>
      <w:r>
        <w:rPr>
          <w:rFonts w:hint="eastAsia" w:ascii="宋体" w:hAnsi="宋体" w:eastAsia="宋体" w:cs="宋体"/>
          <w:sz w:val="24"/>
          <w:szCs w:val="24"/>
          <w:lang w:eastAsia="zh-CN"/>
        </w:rPr>
        <w:t>增长，</w:t>
      </w:r>
      <w:r>
        <w:rPr>
          <w:rFonts w:hint="eastAsia" w:ascii="宋体" w:hAnsi="宋体" w:cs="宋体"/>
          <w:sz w:val="24"/>
          <w:szCs w:val="24"/>
          <w:lang w:val="en-US" w:eastAsia="zh-CN"/>
        </w:rPr>
        <w:t>从驱动力来看有</w:t>
      </w:r>
      <w:r>
        <w:rPr>
          <w:rFonts w:hint="eastAsia" w:ascii="宋体" w:hAnsi="宋体" w:eastAsia="宋体" w:cs="宋体"/>
          <w:sz w:val="24"/>
          <w:szCs w:val="24"/>
          <w:lang w:eastAsia="zh-CN"/>
        </w:rPr>
        <w:t>多少来自行业扩产，多少来自公司份额提升？</w:t>
      </w:r>
    </w:p>
    <w:p w14:paraId="30DCEA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答：公司新能源电池检测装备业务的增长，是下游电池及储能行业产能扩张需求、以及公司产品持续提升等共同作用的结果。一方面，动力电池、储能等领域持续的产能建设，带来新增产线检测装备的基础需求；另一方面，依托产品技术、可靠性、一体化服务能力的不断进步，公司持续深化头部客户合作、拓展新客户与海外市场，实现份额提升。</w:t>
      </w:r>
    </w:p>
    <w:p w14:paraId="14AD19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从业务实际来看，行业扩产和份额提升对增量的影响存在交织，很难清晰切割；叠加细分赛道统计口径、行业公开数据等条件限制，目前无法对两类因素做精确量化拆分。</w:t>
      </w:r>
    </w:p>
    <w:p w14:paraId="506625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bookmarkStart w:id="0" w:name="_GoBack"/>
      <w:bookmarkEnd w:id="0"/>
      <w:r>
        <w:rPr>
          <w:rFonts w:hint="eastAsia" w:ascii="宋体" w:hAnsi="宋体" w:eastAsia="宋体" w:cs="宋体"/>
          <w:sz w:val="24"/>
          <w:szCs w:val="24"/>
          <w:lang w:eastAsia="zh-CN"/>
        </w:rPr>
        <w:t>谢谢！</w:t>
      </w:r>
    </w:p>
    <w:p w14:paraId="46A228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Y1Y2U5YWMxNTkzOGJkYzEwMWU5NTMzNDNkYjJkY2UifQ=="/>
  </w:docVars>
  <w:rsids>
    <w:rsidRoot w:val="74051C81"/>
    <w:rsid w:val="000261BD"/>
    <w:rsid w:val="0004297B"/>
    <w:rsid w:val="0005336E"/>
    <w:rsid w:val="000962ED"/>
    <w:rsid w:val="000A570A"/>
    <w:rsid w:val="000A7A69"/>
    <w:rsid w:val="000B2875"/>
    <w:rsid w:val="001077DD"/>
    <w:rsid w:val="0012376F"/>
    <w:rsid w:val="001278B6"/>
    <w:rsid w:val="001825A3"/>
    <w:rsid w:val="001B223C"/>
    <w:rsid w:val="002145E2"/>
    <w:rsid w:val="00247343"/>
    <w:rsid w:val="0028329C"/>
    <w:rsid w:val="002846B0"/>
    <w:rsid w:val="002B4765"/>
    <w:rsid w:val="002D5DE7"/>
    <w:rsid w:val="00305863"/>
    <w:rsid w:val="00320E27"/>
    <w:rsid w:val="003C0B1B"/>
    <w:rsid w:val="0046550B"/>
    <w:rsid w:val="004C2E04"/>
    <w:rsid w:val="004C694D"/>
    <w:rsid w:val="004F23CF"/>
    <w:rsid w:val="00537293"/>
    <w:rsid w:val="005C4343"/>
    <w:rsid w:val="005C56A6"/>
    <w:rsid w:val="00606C07"/>
    <w:rsid w:val="00682983"/>
    <w:rsid w:val="006959A9"/>
    <w:rsid w:val="006E2B5B"/>
    <w:rsid w:val="006F4263"/>
    <w:rsid w:val="0072256C"/>
    <w:rsid w:val="007A269E"/>
    <w:rsid w:val="007B53E5"/>
    <w:rsid w:val="007C66C8"/>
    <w:rsid w:val="007D48CD"/>
    <w:rsid w:val="0083524D"/>
    <w:rsid w:val="00836434"/>
    <w:rsid w:val="00840CD7"/>
    <w:rsid w:val="008D75D0"/>
    <w:rsid w:val="008F72B5"/>
    <w:rsid w:val="0090580C"/>
    <w:rsid w:val="0094620D"/>
    <w:rsid w:val="009561C1"/>
    <w:rsid w:val="009B4303"/>
    <w:rsid w:val="009E76A7"/>
    <w:rsid w:val="009F4C1B"/>
    <w:rsid w:val="00A1017A"/>
    <w:rsid w:val="00A21707"/>
    <w:rsid w:val="00A4469E"/>
    <w:rsid w:val="00A473DE"/>
    <w:rsid w:val="00A9642B"/>
    <w:rsid w:val="00AB0039"/>
    <w:rsid w:val="00AB35C0"/>
    <w:rsid w:val="00AE3D92"/>
    <w:rsid w:val="00B136C7"/>
    <w:rsid w:val="00B13C18"/>
    <w:rsid w:val="00B173B2"/>
    <w:rsid w:val="00B26C57"/>
    <w:rsid w:val="00B45CA1"/>
    <w:rsid w:val="00B95F3C"/>
    <w:rsid w:val="00BB4E1C"/>
    <w:rsid w:val="00BB6717"/>
    <w:rsid w:val="00BD4C5E"/>
    <w:rsid w:val="00BE3812"/>
    <w:rsid w:val="00BF1FC8"/>
    <w:rsid w:val="00C81F66"/>
    <w:rsid w:val="00D14C9E"/>
    <w:rsid w:val="00DA3E5E"/>
    <w:rsid w:val="00DA6FF9"/>
    <w:rsid w:val="00DB7597"/>
    <w:rsid w:val="00DE30D5"/>
    <w:rsid w:val="00E37496"/>
    <w:rsid w:val="00E56220"/>
    <w:rsid w:val="00E93436"/>
    <w:rsid w:val="00EB6187"/>
    <w:rsid w:val="00EC756F"/>
    <w:rsid w:val="00F072C5"/>
    <w:rsid w:val="00F31E1A"/>
    <w:rsid w:val="00F52409"/>
    <w:rsid w:val="00F54A0F"/>
    <w:rsid w:val="00FB1077"/>
    <w:rsid w:val="00FD4A0C"/>
    <w:rsid w:val="011501AB"/>
    <w:rsid w:val="01285DBA"/>
    <w:rsid w:val="015462E8"/>
    <w:rsid w:val="015A677A"/>
    <w:rsid w:val="016043AA"/>
    <w:rsid w:val="025739FF"/>
    <w:rsid w:val="02845B5A"/>
    <w:rsid w:val="029850CE"/>
    <w:rsid w:val="02A231A2"/>
    <w:rsid w:val="02CB1CF7"/>
    <w:rsid w:val="032E4779"/>
    <w:rsid w:val="034675D0"/>
    <w:rsid w:val="03922815"/>
    <w:rsid w:val="03E77005"/>
    <w:rsid w:val="04155DD9"/>
    <w:rsid w:val="04293179"/>
    <w:rsid w:val="046E0FEB"/>
    <w:rsid w:val="048B5BE2"/>
    <w:rsid w:val="04C374C4"/>
    <w:rsid w:val="04CE6802"/>
    <w:rsid w:val="04DA7371"/>
    <w:rsid w:val="0501522E"/>
    <w:rsid w:val="05731586"/>
    <w:rsid w:val="068B1EC9"/>
    <w:rsid w:val="069A210C"/>
    <w:rsid w:val="06A603A5"/>
    <w:rsid w:val="07242397"/>
    <w:rsid w:val="074958E1"/>
    <w:rsid w:val="07A22A78"/>
    <w:rsid w:val="07C136C9"/>
    <w:rsid w:val="07C15FD0"/>
    <w:rsid w:val="07CA6A21"/>
    <w:rsid w:val="07CF37B1"/>
    <w:rsid w:val="07DE24CD"/>
    <w:rsid w:val="07F96AAF"/>
    <w:rsid w:val="08102255"/>
    <w:rsid w:val="085307CF"/>
    <w:rsid w:val="088017D6"/>
    <w:rsid w:val="089808CE"/>
    <w:rsid w:val="08B92DCD"/>
    <w:rsid w:val="0902043D"/>
    <w:rsid w:val="090C0B3E"/>
    <w:rsid w:val="0982598E"/>
    <w:rsid w:val="09975029"/>
    <w:rsid w:val="0A1C108A"/>
    <w:rsid w:val="0A3D59D9"/>
    <w:rsid w:val="0A434AEC"/>
    <w:rsid w:val="0A776E62"/>
    <w:rsid w:val="0A7D38F6"/>
    <w:rsid w:val="0A7F6B2A"/>
    <w:rsid w:val="0AA97660"/>
    <w:rsid w:val="0AED5DAB"/>
    <w:rsid w:val="0BD75BB1"/>
    <w:rsid w:val="0BF35AAF"/>
    <w:rsid w:val="0BF73B5D"/>
    <w:rsid w:val="0C170BCA"/>
    <w:rsid w:val="0C201306"/>
    <w:rsid w:val="0C69738F"/>
    <w:rsid w:val="0C6976AE"/>
    <w:rsid w:val="0C775126"/>
    <w:rsid w:val="0CAF48F4"/>
    <w:rsid w:val="0CCF0636"/>
    <w:rsid w:val="0CF13E79"/>
    <w:rsid w:val="0D4054C6"/>
    <w:rsid w:val="0DA05D81"/>
    <w:rsid w:val="0E4244D5"/>
    <w:rsid w:val="0E664FCA"/>
    <w:rsid w:val="0EC17061"/>
    <w:rsid w:val="0EC87EB1"/>
    <w:rsid w:val="0F2412A4"/>
    <w:rsid w:val="10274C5F"/>
    <w:rsid w:val="10785354"/>
    <w:rsid w:val="11133C5B"/>
    <w:rsid w:val="119E717A"/>
    <w:rsid w:val="11C55AF3"/>
    <w:rsid w:val="11D870A9"/>
    <w:rsid w:val="11D90FF4"/>
    <w:rsid w:val="12026003"/>
    <w:rsid w:val="126006AE"/>
    <w:rsid w:val="12F91421"/>
    <w:rsid w:val="13405DEA"/>
    <w:rsid w:val="13FC4407"/>
    <w:rsid w:val="14DD19FD"/>
    <w:rsid w:val="14E82BDD"/>
    <w:rsid w:val="150F4227"/>
    <w:rsid w:val="152B0C00"/>
    <w:rsid w:val="15C0025F"/>
    <w:rsid w:val="160223D2"/>
    <w:rsid w:val="165C7A79"/>
    <w:rsid w:val="1669686C"/>
    <w:rsid w:val="16730284"/>
    <w:rsid w:val="173B0A19"/>
    <w:rsid w:val="175D22DD"/>
    <w:rsid w:val="177C2B6D"/>
    <w:rsid w:val="17845F94"/>
    <w:rsid w:val="178A120B"/>
    <w:rsid w:val="1798596E"/>
    <w:rsid w:val="17BB6387"/>
    <w:rsid w:val="17E6511D"/>
    <w:rsid w:val="17EC02EE"/>
    <w:rsid w:val="18365A0D"/>
    <w:rsid w:val="18901954"/>
    <w:rsid w:val="1896524C"/>
    <w:rsid w:val="18BA6A2E"/>
    <w:rsid w:val="196D36B1"/>
    <w:rsid w:val="19732343"/>
    <w:rsid w:val="19986AB1"/>
    <w:rsid w:val="19B0738D"/>
    <w:rsid w:val="19C16E81"/>
    <w:rsid w:val="19C91ECA"/>
    <w:rsid w:val="19DE3818"/>
    <w:rsid w:val="1A873CE0"/>
    <w:rsid w:val="1A8C5DB8"/>
    <w:rsid w:val="1AD003D6"/>
    <w:rsid w:val="1ADA6B24"/>
    <w:rsid w:val="1ADB7C95"/>
    <w:rsid w:val="1AF177AE"/>
    <w:rsid w:val="1B277A3B"/>
    <w:rsid w:val="1BC53330"/>
    <w:rsid w:val="1C2269D4"/>
    <w:rsid w:val="1C271AF3"/>
    <w:rsid w:val="1C7F7983"/>
    <w:rsid w:val="1C984EE8"/>
    <w:rsid w:val="1C9D24FF"/>
    <w:rsid w:val="1D061C37"/>
    <w:rsid w:val="1D465E85"/>
    <w:rsid w:val="1D7A2BB5"/>
    <w:rsid w:val="1E193E07"/>
    <w:rsid w:val="1E285DF8"/>
    <w:rsid w:val="1E4C12E5"/>
    <w:rsid w:val="1E543091"/>
    <w:rsid w:val="1E694C6D"/>
    <w:rsid w:val="1E7C16B2"/>
    <w:rsid w:val="1EA44D1C"/>
    <w:rsid w:val="1EBD0C36"/>
    <w:rsid w:val="1F05039B"/>
    <w:rsid w:val="1F195CE1"/>
    <w:rsid w:val="1F551979"/>
    <w:rsid w:val="1F6400AC"/>
    <w:rsid w:val="1F925C1F"/>
    <w:rsid w:val="204A0AEE"/>
    <w:rsid w:val="207769B4"/>
    <w:rsid w:val="20983E6D"/>
    <w:rsid w:val="20C7662B"/>
    <w:rsid w:val="21265C88"/>
    <w:rsid w:val="212D7899"/>
    <w:rsid w:val="213E6453"/>
    <w:rsid w:val="21521B0A"/>
    <w:rsid w:val="21C127EB"/>
    <w:rsid w:val="21D4251F"/>
    <w:rsid w:val="220B1D86"/>
    <w:rsid w:val="220C11EC"/>
    <w:rsid w:val="224F6049"/>
    <w:rsid w:val="22713BA0"/>
    <w:rsid w:val="227E06DD"/>
    <w:rsid w:val="22B303EE"/>
    <w:rsid w:val="22BC05F6"/>
    <w:rsid w:val="22C407E5"/>
    <w:rsid w:val="22F652F0"/>
    <w:rsid w:val="23060FC3"/>
    <w:rsid w:val="2369313B"/>
    <w:rsid w:val="23866999"/>
    <w:rsid w:val="23926362"/>
    <w:rsid w:val="23C93BD9"/>
    <w:rsid w:val="2408147A"/>
    <w:rsid w:val="2443573A"/>
    <w:rsid w:val="24460214"/>
    <w:rsid w:val="247A4BEB"/>
    <w:rsid w:val="248B63EE"/>
    <w:rsid w:val="24F46A34"/>
    <w:rsid w:val="254362E9"/>
    <w:rsid w:val="25706A02"/>
    <w:rsid w:val="259D531E"/>
    <w:rsid w:val="25B10E34"/>
    <w:rsid w:val="25EA28D5"/>
    <w:rsid w:val="25F0544D"/>
    <w:rsid w:val="263A06AE"/>
    <w:rsid w:val="268A6BC2"/>
    <w:rsid w:val="268B161A"/>
    <w:rsid w:val="26D20FF7"/>
    <w:rsid w:val="26FC7E22"/>
    <w:rsid w:val="27062E1E"/>
    <w:rsid w:val="275019D4"/>
    <w:rsid w:val="27534580"/>
    <w:rsid w:val="27B0452F"/>
    <w:rsid w:val="28074CD0"/>
    <w:rsid w:val="282D0BDB"/>
    <w:rsid w:val="285C14C0"/>
    <w:rsid w:val="287265EE"/>
    <w:rsid w:val="28B60685"/>
    <w:rsid w:val="28BF653E"/>
    <w:rsid w:val="29EE32C3"/>
    <w:rsid w:val="29FB472C"/>
    <w:rsid w:val="2A9F5694"/>
    <w:rsid w:val="2AFC6642"/>
    <w:rsid w:val="2AFD4D90"/>
    <w:rsid w:val="2B2F5BDD"/>
    <w:rsid w:val="2B8D3682"/>
    <w:rsid w:val="2B911481"/>
    <w:rsid w:val="2BAE0753"/>
    <w:rsid w:val="2C17411D"/>
    <w:rsid w:val="2C3D700C"/>
    <w:rsid w:val="2C4329E5"/>
    <w:rsid w:val="2C504E98"/>
    <w:rsid w:val="2C5C7EAC"/>
    <w:rsid w:val="2CA1148A"/>
    <w:rsid w:val="2CCE2260"/>
    <w:rsid w:val="2CE965D9"/>
    <w:rsid w:val="2CFE66A2"/>
    <w:rsid w:val="2D9143CC"/>
    <w:rsid w:val="2DB24988"/>
    <w:rsid w:val="2DDF4725"/>
    <w:rsid w:val="2E516CA5"/>
    <w:rsid w:val="2E692241"/>
    <w:rsid w:val="2E7262F4"/>
    <w:rsid w:val="2F431760"/>
    <w:rsid w:val="2FCF1A49"/>
    <w:rsid w:val="301601A6"/>
    <w:rsid w:val="302B5483"/>
    <w:rsid w:val="306E7B96"/>
    <w:rsid w:val="308E41E1"/>
    <w:rsid w:val="30C016F6"/>
    <w:rsid w:val="30F81DF3"/>
    <w:rsid w:val="311B2C29"/>
    <w:rsid w:val="313E7B6B"/>
    <w:rsid w:val="31653AFC"/>
    <w:rsid w:val="31F34AFF"/>
    <w:rsid w:val="31FE0EF2"/>
    <w:rsid w:val="320D0784"/>
    <w:rsid w:val="32125567"/>
    <w:rsid w:val="32352542"/>
    <w:rsid w:val="32594190"/>
    <w:rsid w:val="328238D1"/>
    <w:rsid w:val="32A61CB5"/>
    <w:rsid w:val="32B3487B"/>
    <w:rsid w:val="32D34495"/>
    <w:rsid w:val="32F26CA9"/>
    <w:rsid w:val="32F67AAB"/>
    <w:rsid w:val="33010C9A"/>
    <w:rsid w:val="33CA3782"/>
    <w:rsid w:val="33EF414B"/>
    <w:rsid w:val="33F739F8"/>
    <w:rsid w:val="34180991"/>
    <w:rsid w:val="342063C2"/>
    <w:rsid w:val="343A2039"/>
    <w:rsid w:val="344E23C6"/>
    <w:rsid w:val="345152C5"/>
    <w:rsid w:val="3463188B"/>
    <w:rsid w:val="34A508F6"/>
    <w:rsid w:val="34D92233"/>
    <w:rsid w:val="35326549"/>
    <w:rsid w:val="35693A10"/>
    <w:rsid w:val="359D047E"/>
    <w:rsid w:val="35C3492C"/>
    <w:rsid w:val="361167D6"/>
    <w:rsid w:val="36213401"/>
    <w:rsid w:val="364517E5"/>
    <w:rsid w:val="36613811"/>
    <w:rsid w:val="368443C0"/>
    <w:rsid w:val="37712166"/>
    <w:rsid w:val="37941808"/>
    <w:rsid w:val="37983B97"/>
    <w:rsid w:val="37A4253C"/>
    <w:rsid w:val="38010A6E"/>
    <w:rsid w:val="380751D0"/>
    <w:rsid w:val="389472BE"/>
    <w:rsid w:val="38FF63DE"/>
    <w:rsid w:val="39171BD8"/>
    <w:rsid w:val="395F36CB"/>
    <w:rsid w:val="39B7492C"/>
    <w:rsid w:val="39B8407C"/>
    <w:rsid w:val="39C43B12"/>
    <w:rsid w:val="3A12378C"/>
    <w:rsid w:val="3A330CF7"/>
    <w:rsid w:val="3A463D63"/>
    <w:rsid w:val="3A995C5C"/>
    <w:rsid w:val="3ACD3236"/>
    <w:rsid w:val="3B1D2B30"/>
    <w:rsid w:val="3B3D2A8B"/>
    <w:rsid w:val="3BB222F8"/>
    <w:rsid w:val="3C0C3B45"/>
    <w:rsid w:val="3C0D1907"/>
    <w:rsid w:val="3C53008C"/>
    <w:rsid w:val="3C683B38"/>
    <w:rsid w:val="3C922AA0"/>
    <w:rsid w:val="3C934114"/>
    <w:rsid w:val="3CC94355"/>
    <w:rsid w:val="3CE36516"/>
    <w:rsid w:val="3CED0D5A"/>
    <w:rsid w:val="3D006466"/>
    <w:rsid w:val="3D267147"/>
    <w:rsid w:val="3D2C39F4"/>
    <w:rsid w:val="3D434316"/>
    <w:rsid w:val="3E42537F"/>
    <w:rsid w:val="3E506F79"/>
    <w:rsid w:val="3E7013C9"/>
    <w:rsid w:val="3E7069E6"/>
    <w:rsid w:val="3EA87578"/>
    <w:rsid w:val="3ED41958"/>
    <w:rsid w:val="3EEC6DAF"/>
    <w:rsid w:val="3EF7687F"/>
    <w:rsid w:val="3EFD0EAF"/>
    <w:rsid w:val="3F043BAC"/>
    <w:rsid w:val="3F2033BA"/>
    <w:rsid w:val="3F81488F"/>
    <w:rsid w:val="3F8951C8"/>
    <w:rsid w:val="3FF760EB"/>
    <w:rsid w:val="40100B72"/>
    <w:rsid w:val="401B7113"/>
    <w:rsid w:val="40324B88"/>
    <w:rsid w:val="40F956A6"/>
    <w:rsid w:val="41171FD0"/>
    <w:rsid w:val="41391F47"/>
    <w:rsid w:val="41786327"/>
    <w:rsid w:val="417E5C9D"/>
    <w:rsid w:val="41A606AA"/>
    <w:rsid w:val="41A75102"/>
    <w:rsid w:val="41C84864"/>
    <w:rsid w:val="41D77988"/>
    <w:rsid w:val="43236B57"/>
    <w:rsid w:val="4359067E"/>
    <w:rsid w:val="43A322E2"/>
    <w:rsid w:val="44437923"/>
    <w:rsid w:val="4475773A"/>
    <w:rsid w:val="449A614F"/>
    <w:rsid w:val="451E643D"/>
    <w:rsid w:val="456B1BAB"/>
    <w:rsid w:val="45904571"/>
    <w:rsid w:val="45967548"/>
    <w:rsid w:val="459A3F8A"/>
    <w:rsid w:val="45C75D73"/>
    <w:rsid w:val="45EE12AA"/>
    <w:rsid w:val="45F20ABB"/>
    <w:rsid w:val="45F34DBA"/>
    <w:rsid w:val="46007017"/>
    <w:rsid w:val="46417674"/>
    <w:rsid w:val="46AA2F9F"/>
    <w:rsid w:val="46C44C74"/>
    <w:rsid w:val="46F5594E"/>
    <w:rsid w:val="47490A0A"/>
    <w:rsid w:val="476D46F8"/>
    <w:rsid w:val="47D429C9"/>
    <w:rsid w:val="47D57C08"/>
    <w:rsid w:val="47FF0EDB"/>
    <w:rsid w:val="4822715D"/>
    <w:rsid w:val="484A4A39"/>
    <w:rsid w:val="48537D92"/>
    <w:rsid w:val="48F759E7"/>
    <w:rsid w:val="49F20EE5"/>
    <w:rsid w:val="49FE5D18"/>
    <w:rsid w:val="4A1277D9"/>
    <w:rsid w:val="4A2E2E00"/>
    <w:rsid w:val="4A415C22"/>
    <w:rsid w:val="4A71337D"/>
    <w:rsid w:val="4A881849"/>
    <w:rsid w:val="4A9055C1"/>
    <w:rsid w:val="4ACD1071"/>
    <w:rsid w:val="4AE2446F"/>
    <w:rsid w:val="4AE927A4"/>
    <w:rsid w:val="4AF313B8"/>
    <w:rsid w:val="4B1D4687"/>
    <w:rsid w:val="4B223A4B"/>
    <w:rsid w:val="4B63653E"/>
    <w:rsid w:val="4BD16D6F"/>
    <w:rsid w:val="4BDE4FE9"/>
    <w:rsid w:val="4BF71A1A"/>
    <w:rsid w:val="4CF803E4"/>
    <w:rsid w:val="4D081E28"/>
    <w:rsid w:val="4DD13CF9"/>
    <w:rsid w:val="4E0C2D56"/>
    <w:rsid w:val="4E5E6A77"/>
    <w:rsid w:val="4E946A0E"/>
    <w:rsid w:val="4EC23B63"/>
    <w:rsid w:val="4ED84B4D"/>
    <w:rsid w:val="4F31425D"/>
    <w:rsid w:val="4F557D65"/>
    <w:rsid w:val="4F593967"/>
    <w:rsid w:val="4F7B2A3B"/>
    <w:rsid w:val="50124CD8"/>
    <w:rsid w:val="50BB4C2C"/>
    <w:rsid w:val="51402E7D"/>
    <w:rsid w:val="51556929"/>
    <w:rsid w:val="51700D9C"/>
    <w:rsid w:val="518E0501"/>
    <w:rsid w:val="51C07CD4"/>
    <w:rsid w:val="52151C14"/>
    <w:rsid w:val="52291B63"/>
    <w:rsid w:val="525C76C9"/>
    <w:rsid w:val="52D11605"/>
    <w:rsid w:val="52FC2DD4"/>
    <w:rsid w:val="53801F48"/>
    <w:rsid w:val="538F0E5D"/>
    <w:rsid w:val="53C303BB"/>
    <w:rsid w:val="53CF6D5A"/>
    <w:rsid w:val="53D23456"/>
    <w:rsid w:val="543F566E"/>
    <w:rsid w:val="54D51B2F"/>
    <w:rsid w:val="5505696E"/>
    <w:rsid w:val="55B6370E"/>
    <w:rsid w:val="55FB670D"/>
    <w:rsid w:val="560B178E"/>
    <w:rsid w:val="57182E80"/>
    <w:rsid w:val="573A3ECB"/>
    <w:rsid w:val="5755438D"/>
    <w:rsid w:val="57F24ED2"/>
    <w:rsid w:val="589D1393"/>
    <w:rsid w:val="58B2640F"/>
    <w:rsid w:val="58FE78A6"/>
    <w:rsid w:val="5927260C"/>
    <w:rsid w:val="5928537F"/>
    <w:rsid w:val="59973856"/>
    <w:rsid w:val="59A20424"/>
    <w:rsid w:val="59DC5C00"/>
    <w:rsid w:val="59DD570D"/>
    <w:rsid w:val="59F12F67"/>
    <w:rsid w:val="5A6232DD"/>
    <w:rsid w:val="5A696FA1"/>
    <w:rsid w:val="5A876F4F"/>
    <w:rsid w:val="5ABD087F"/>
    <w:rsid w:val="5AC9275A"/>
    <w:rsid w:val="5B0A49B9"/>
    <w:rsid w:val="5B231846"/>
    <w:rsid w:val="5B4918C2"/>
    <w:rsid w:val="5B5B0FE0"/>
    <w:rsid w:val="5B705FB5"/>
    <w:rsid w:val="5B713234"/>
    <w:rsid w:val="5BA36B38"/>
    <w:rsid w:val="5BA627FE"/>
    <w:rsid w:val="5BAA2499"/>
    <w:rsid w:val="5BB84712"/>
    <w:rsid w:val="5C0E4184"/>
    <w:rsid w:val="5CFC46A8"/>
    <w:rsid w:val="5D351234"/>
    <w:rsid w:val="5D4D4958"/>
    <w:rsid w:val="5D5E4110"/>
    <w:rsid w:val="5D66733F"/>
    <w:rsid w:val="5D881647"/>
    <w:rsid w:val="5DAA3B58"/>
    <w:rsid w:val="5DAD53F7"/>
    <w:rsid w:val="5DC50992"/>
    <w:rsid w:val="5DFE3466"/>
    <w:rsid w:val="5E0314BA"/>
    <w:rsid w:val="5E277097"/>
    <w:rsid w:val="5E2E29DB"/>
    <w:rsid w:val="5E525F9E"/>
    <w:rsid w:val="5E765D21"/>
    <w:rsid w:val="5ED370DF"/>
    <w:rsid w:val="5EE017FC"/>
    <w:rsid w:val="5F434264"/>
    <w:rsid w:val="5F5F5287"/>
    <w:rsid w:val="5FA41B93"/>
    <w:rsid w:val="600F05EB"/>
    <w:rsid w:val="6033122B"/>
    <w:rsid w:val="60421920"/>
    <w:rsid w:val="60471D2D"/>
    <w:rsid w:val="60882143"/>
    <w:rsid w:val="609103C0"/>
    <w:rsid w:val="60AE3960"/>
    <w:rsid w:val="60B62D4D"/>
    <w:rsid w:val="6114634D"/>
    <w:rsid w:val="61306CD7"/>
    <w:rsid w:val="6142054C"/>
    <w:rsid w:val="61934986"/>
    <w:rsid w:val="61AF5603"/>
    <w:rsid w:val="61C62F2B"/>
    <w:rsid w:val="620B370A"/>
    <w:rsid w:val="624C78D4"/>
    <w:rsid w:val="62B83D27"/>
    <w:rsid w:val="62C21E48"/>
    <w:rsid w:val="62C96F2C"/>
    <w:rsid w:val="62D460A8"/>
    <w:rsid w:val="62FA2262"/>
    <w:rsid w:val="639D4327"/>
    <w:rsid w:val="6495027F"/>
    <w:rsid w:val="649B48E2"/>
    <w:rsid w:val="64B6122E"/>
    <w:rsid w:val="64BB2AEF"/>
    <w:rsid w:val="654F4FE5"/>
    <w:rsid w:val="65D26342"/>
    <w:rsid w:val="65F77B57"/>
    <w:rsid w:val="661419CD"/>
    <w:rsid w:val="664F53FE"/>
    <w:rsid w:val="66742F55"/>
    <w:rsid w:val="66A7157D"/>
    <w:rsid w:val="66A86E40"/>
    <w:rsid w:val="66E9560E"/>
    <w:rsid w:val="674B77CA"/>
    <w:rsid w:val="67627252"/>
    <w:rsid w:val="67E807C9"/>
    <w:rsid w:val="67F00D02"/>
    <w:rsid w:val="67FD51CC"/>
    <w:rsid w:val="68186B31"/>
    <w:rsid w:val="685221B2"/>
    <w:rsid w:val="687141A6"/>
    <w:rsid w:val="68D414EA"/>
    <w:rsid w:val="68D8248E"/>
    <w:rsid w:val="68EC52C1"/>
    <w:rsid w:val="69083E29"/>
    <w:rsid w:val="69132EFA"/>
    <w:rsid w:val="692F54EF"/>
    <w:rsid w:val="6942558D"/>
    <w:rsid w:val="69586875"/>
    <w:rsid w:val="69605A13"/>
    <w:rsid w:val="696B0C31"/>
    <w:rsid w:val="697119CE"/>
    <w:rsid w:val="69777A85"/>
    <w:rsid w:val="69BE2739"/>
    <w:rsid w:val="6A3824EC"/>
    <w:rsid w:val="6A833B5D"/>
    <w:rsid w:val="6A955B90"/>
    <w:rsid w:val="6AA1779A"/>
    <w:rsid w:val="6AC83D20"/>
    <w:rsid w:val="6B3B04E6"/>
    <w:rsid w:val="6B76151E"/>
    <w:rsid w:val="6BF3491C"/>
    <w:rsid w:val="6C0905E4"/>
    <w:rsid w:val="6C472EBA"/>
    <w:rsid w:val="6C503112"/>
    <w:rsid w:val="6C861C34"/>
    <w:rsid w:val="6CA67DBF"/>
    <w:rsid w:val="6CB30C91"/>
    <w:rsid w:val="6CC17318"/>
    <w:rsid w:val="6D0A2CBD"/>
    <w:rsid w:val="6D12430A"/>
    <w:rsid w:val="6D2D2CEF"/>
    <w:rsid w:val="6D94212F"/>
    <w:rsid w:val="6DB450AA"/>
    <w:rsid w:val="6DCF4F15"/>
    <w:rsid w:val="6E061737"/>
    <w:rsid w:val="6E135F7A"/>
    <w:rsid w:val="6E4F49FF"/>
    <w:rsid w:val="6E8E4DD0"/>
    <w:rsid w:val="6EC17EEE"/>
    <w:rsid w:val="6EDE1AA7"/>
    <w:rsid w:val="6F3015C4"/>
    <w:rsid w:val="6FB62831"/>
    <w:rsid w:val="6FC51FA1"/>
    <w:rsid w:val="6FEF3888"/>
    <w:rsid w:val="701B2E02"/>
    <w:rsid w:val="705F07D2"/>
    <w:rsid w:val="706D1B66"/>
    <w:rsid w:val="70761FC0"/>
    <w:rsid w:val="70B7060E"/>
    <w:rsid w:val="70C67641"/>
    <w:rsid w:val="70CD245B"/>
    <w:rsid w:val="70F4004C"/>
    <w:rsid w:val="70FC0717"/>
    <w:rsid w:val="7139125F"/>
    <w:rsid w:val="7157594D"/>
    <w:rsid w:val="71586291"/>
    <w:rsid w:val="71931713"/>
    <w:rsid w:val="71E976E9"/>
    <w:rsid w:val="722717C4"/>
    <w:rsid w:val="722D66AE"/>
    <w:rsid w:val="724E6446"/>
    <w:rsid w:val="726D6414"/>
    <w:rsid w:val="72A83F15"/>
    <w:rsid w:val="72AC0501"/>
    <w:rsid w:val="72E767C0"/>
    <w:rsid w:val="72F9177F"/>
    <w:rsid w:val="73900343"/>
    <w:rsid w:val="73A05043"/>
    <w:rsid w:val="73F0076E"/>
    <w:rsid w:val="74051C81"/>
    <w:rsid w:val="74373814"/>
    <w:rsid w:val="744077DC"/>
    <w:rsid w:val="746A3BEA"/>
    <w:rsid w:val="748202E9"/>
    <w:rsid w:val="74B12738"/>
    <w:rsid w:val="74C97A4B"/>
    <w:rsid w:val="74FF5486"/>
    <w:rsid w:val="75053AEC"/>
    <w:rsid w:val="75306BE1"/>
    <w:rsid w:val="75F37AA8"/>
    <w:rsid w:val="760F67F7"/>
    <w:rsid w:val="766721CB"/>
    <w:rsid w:val="769136B0"/>
    <w:rsid w:val="76B936A0"/>
    <w:rsid w:val="76F40C6F"/>
    <w:rsid w:val="774D6EF6"/>
    <w:rsid w:val="776611C1"/>
    <w:rsid w:val="77B05304"/>
    <w:rsid w:val="77C04036"/>
    <w:rsid w:val="77F51FC5"/>
    <w:rsid w:val="78445331"/>
    <w:rsid w:val="786528DD"/>
    <w:rsid w:val="78DD6EF1"/>
    <w:rsid w:val="792726DA"/>
    <w:rsid w:val="79EB3639"/>
    <w:rsid w:val="79FE1232"/>
    <w:rsid w:val="7A0A5C53"/>
    <w:rsid w:val="7A1556BE"/>
    <w:rsid w:val="7A326F58"/>
    <w:rsid w:val="7ACF0C4A"/>
    <w:rsid w:val="7AD24297"/>
    <w:rsid w:val="7B242D44"/>
    <w:rsid w:val="7B6C1433"/>
    <w:rsid w:val="7BC934AC"/>
    <w:rsid w:val="7BDF6C60"/>
    <w:rsid w:val="7BE559FE"/>
    <w:rsid w:val="7C2074F7"/>
    <w:rsid w:val="7C312336"/>
    <w:rsid w:val="7C6E2AB9"/>
    <w:rsid w:val="7CA058FC"/>
    <w:rsid w:val="7CAF129F"/>
    <w:rsid w:val="7CC96FB5"/>
    <w:rsid w:val="7CCE3522"/>
    <w:rsid w:val="7D255BFC"/>
    <w:rsid w:val="7D44147C"/>
    <w:rsid w:val="7D750BB3"/>
    <w:rsid w:val="7DBD60A0"/>
    <w:rsid w:val="7DF81912"/>
    <w:rsid w:val="7E136A82"/>
    <w:rsid w:val="7E150C4C"/>
    <w:rsid w:val="7E174370"/>
    <w:rsid w:val="7EED4C49"/>
    <w:rsid w:val="7F3834E8"/>
    <w:rsid w:val="7F800765"/>
    <w:rsid w:val="7FB613D5"/>
    <w:rsid w:val="F67F342C"/>
    <w:rsid w:val="FBEEE28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qFormat/>
    <w:uiPriority w:val="0"/>
    <w:rPr>
      <w:sz w:val="21"/>
      <w:szCs w:val="21"/>
    </w:rPr>
  </w:style>
  <w:style w:type="character" w:customStyle="1" w:styleId="9">
    <w:name w:val="批注框文本 字符"/>
    <w:basedOn w:val="7"/>
    <w:link w:val="3"/>
    <w:qFormat/>
    <w:uiPriority w:val="0"/>
    <w:rPr>
      <w:rFonts w:ascii="Calibri" w:hAnsi="Calibri" w:eastAsia="宋体" w:cs="Times New Roman"/>
      <w:kern w:val="2"/>
      <w:sz w:val="18"/>
      <w:szCs w:val="18"/>
    </w:rPr>
  </w:style>
  <w:style w:type="character" w:customStyle="1" w:styleId="10">
    <w:name w:val="页眉 字符"/>
    <w:basedOn w:val="7"/>
    <w:link w:val="5"/>
    <w:qFormat/>
    <w:uiPriority w:val="0"/>
    <w:rPr>
      <w:rFonts w:ascii="Calibri" w:hAnsi="Calibri" w:eastAsia="宋体" w:cs="Times New Roman"/>
      <w:kern w:val="2"/>
      <w:sz w:val="18"/>
      <w:szCs w:val="18"/>
    </w:rPr>
  </w:style>
  <w:style w:type="character" w:customStyle="1" w:styleId="11">
    <w:name w:val="页脚 字符"/>
    <w:basedOn w:val="7"/>
    <w:link w:val="4"/>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3506</Words>
  <Characters>3527</Characters>
  <Lines>36</Lines>
  <Paragraphs>10</Paragraphs>
  <TotalTime>45</TotalTime>
  <ScaleCrop>false</ScaleCrop>
  <LinksUpToDate>false</LinksUpToDate>
  <CharactersWithSpaces>3544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2021-09-22T22:44:00Z</dcterms:created>
  <dc:creator>大头娃SUN</dc:creator>
  <cp:lastModifiedBy>董办</cp:lastModifiedBy>
  <dcterms:modified xsi:type="dcterms:W3CDTF">2026-10-26T06:12:56Z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E622BA109F6945ED8E36B93314100789</vt:lpwstr>
  </property>
  <property fmtid="{D5CDD505-2E9C-101B-9397-08002B2CF9AE}" pid="4" name="KSOTemplateDocerSaveRecord">
    <vt:lpwstr>eyJoZGlkIjoiNDc4NWZmNWQzYjY4MjYyOTgyZjBhMTg3NGUzYTYzYzIiLCJ1c2VySWQiOiIxNDY3OTA0MjQ4In0=</vt:lpwstr>
  </property>
</Properties>
</file>