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5CC79">
      <w:pPr>
        <w:spacing w:after="22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证券代码：</w:t>
      </w:r>
      <w:r>
        <w:rPr>
          <w:rFonts w:ascii="Times New Roman" w:hAnsi="Times New Roman" w:eastAsia="宋体" w:cs="Times New Roman"/>
          <w:b/>
          <w:color w:val="auto"/>
          <w:sz w:val="24"/>
          <w:szCs w:val="24"/>
        </w:rPr>
        <w:t xml:space="preserve">688772                                 </w:t>
      </w:r>
      <w:r>
        <w:rPr>
          <w:rFonts w:hint="eastAsia" w:ascii="Times New Roman" w:hAnsi="Times New Roman" w:eastAsia="宋体" w:cs="Times New Roman"/>
          <w:b/>
          <w:color w:val="auto"/>
          <w:sz w:val="24"/>
          <w:szCs w:val="24"/>
        </w:rPr>
        <w:t>证券简称：珠海冠宇</w:t>
      </w:r>
    </w:p>
    <w:p w14:paraId="40320750">
      <w:pPr>
        <w:spacing w:after="217"/>
        <w:ind w:left="4153"/>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 </w:t>
      </w:r>
    </w:p>
    <w:p w14:paraId="5A4F5B3B">
      <w:pPr>
        <w:spacing w:after="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珠海冠宇电池股份有限公司投资者关系活动记录表</w:t>
      </w:r>
    </w:p>
    <w:p w14:paraId="316BD81A">
      <w:pPr>
        <w:spacing w:after="0"/>
        <w:ind w:left="1179"/>
        <w:jc w:val="righ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编号：</w:t>
      </w:r>
      <w:r>
        <w:rPr>
          <w:rFonts w:ascii="Times New Roman" w:hAnsi="Times New Roman" w:eastAsia="宋体" w:cs="Times New Roman"/>
          <w:color w:val="auto"/>
          <w:sz w:val="24"/>
          <w:szCs w:val="24"/>
        </w:rPr>
        <w:t>2026-008</w:t>
      </w:r>
    </w:p>
    <w:tbl>
      <w:tblPr>
        <w:tblStyle w:val="8"/>
        <w:tblW w:w="9976" w:type="dxa"/>
        <w:tblInd w:w="-744" w:type="dxa"/>
        <w:tblLayout w:type="autofit"/>
        <w:tblCellMar>
          <w:top w:w="0" w:type="dxa"/>
          <w:left w:w="108" w:type="dxa"/>
          <w:bottom w:w="41" w:type="dxa"/>
          <w:right w:w="0" w:type="dxa"/>
        </w:tblCellMar>
      </w:tblPr>
      <w:tblGrid>
        <w:gridCol w:w="1703"/>
        <w:gridCol w:w="8273"/>
      </w:tblGrid>
      <w:tr w14:paraId="452DFB1A">
        <w:tblPrEx>
          <w:tblCellMar>
            <w:top w:w="0" w:type="dxa"/>
            <w:left w:w="108" w:type="dxa"/>
            <w:bottom w:w="41" w:type="dxa"/>
            <w:right w:w="0" w:type="dxa"/>
          </w:tblCellMar>
        </w:tblPrEx>
        <w:trPr>
          <w:trHeight w:val="2472"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114E25FB">
            <w:pPr>
              <w:snapToGrid w:val="0"/>
              <w:spacing w:after="0" w:line="360" w:lineRule="auto"/>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投资者关系活动类别</w:t>
            </w:r>
          </w:p>
        </w:tc>
        <w:tc>
          <w:tcPr>
            <w:tcW w:w="8273" w:type="dxa"/>
            <w:tcBorders>
              <w:top w:val="single" w:color="000000" w:sz="4" w:space="0"/>
              <w:left w:val="single" w:color="000000" w:sz="4" w:space="0"/>
              <w:bottom w:val="single" w:color="000000" w:sz="4" w:space="0"/>
              <w:right w:val="single" w:color="000000" w:sz="4" w:space="0"/>
            </w:tcBorders>
            <w:vAlign w:val="center"/>
          </w:tcPr>
          <w:p w14:paraId="7E13BB10">
            <w:pPr>
              <w:snapToGrid w:val="0"/>
              <w:spacing w:after="0" w:line="360" w:lineRule="auto"/>
              <w:rPr>
                <w:rFonts w:ascii="宋体" w:hAnsi="宋体" w:eastAsia="宋体" w:cs="Times New Roman"/>
                <w:color w:val="auto"/>
                <w:sz w:val="24"/>
                <w:szCs w:val="24"/>
              </w:rPr>
            </w:pPr>
            <w:r>
              <w:rPr>
                <w:rFonts w:hint="eastAsia" w:ascii="宋体" w:hAnsi="宋体" w:eastAsia="宋体" w:cs="Times New Roman"/>
                <w:color w:val="auto"/>
                <w:sz w:val="24"/>
                <w:szCs w:val="24"/>
              </w:rPr>
              <w:t>□特定对象调研</w:t>
            </w:r>
            <w:r>
              <w:rPr>
                <w:rFonts w:ascii="宋体" w:hAnsi="宋体" w:eastAsia="宋体" w:cs="Times New Roman"/>
                <w:color w:val="auto"/>
                <w:sz w:val="24"/>
                <w:szCs w:val="24"/>
              </w:rPr>
              <w:t xml:space="preserve">        </w:t>
            </w:r>
            <w:r>
              <w:rPr>
                <w:rFonts w:ascii="Segoe UI Symbol" w:hAnsi="Segoe UI Symbol" w:eastAsia="宋体" w:cs="Segoe UI Symbol"/>
                <w:color w:val="auto"/>
                <w:sz w:val="24"/>
                <w:szCs w:val="24"/>
              </w:rPr>
              <w:t>☑</w:t>
            </w:r>
            <w:r>
              <w:rPr>
                <w:rFonts w:hint="eastAsia" w:ascii="宋体" w:hAnsi="宋体" w:eastAsia="宋体" w:cs="Times New Roman"/>
                <w:color w:val="auto"/>
                <w:sz w:val="24"/>
                <w:szCs w:val="24"/>
              </w:rPr>
              <w:t>分析师会议</w:t>
            </w:r>
            <w:r>
              <w:rPr>
                <w:rFonts w:ascii="宋体" w:hAnsi="宋体" w:eastAsia="宋体" w:cs="Times New Roman"/>
                <w:color w:val="auto"/>
                <w:sz w:val="24"/>
                <w:szCs w:val="24"/>
              </w:rPr>
              <w:t xml:space="preserve"> </w:t>
            </w:r>
          </w:p>
          <w:p w14:paraId="55FC4D72">
            <w:pPr>
              <w:snapToGrid w:val="0"/>
              <w:spacing w:after="0" w:line="360" w:lineRule="auto"/>
              <w:rPr>
                <w:rFonts w:ascii="宋体" w:hAnsi="宋体" w:eastAsia="宋体" w:cs="Times New Roman"/>
                <w:color w:val="auto"/>
                <w:sz w:val="24"/>
                <w:szCs w:val="24"/>
              </w:rPr>
            </w:pPr>
            <w:r>
              <w:rPr>
                <w:rFonts w:hint="eastAsia" w:ascii="宋体" w:hAnsi="宋体" w:eastAsia="宋体" w:cs="Times New Roman"/>
                <w:color w:val="auto"/>
                <w:sz w:val="24"/>
                <w:szCs w:val="24"/>
              </w:rPr>
              <w:t>□媒体采访</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□业绩说明会</w:t>
            </w:r>
            <w:r>
              <w:rPr>
                <w:rFonts w:ascii="宋体" w:hAnsi="宋体" w:eastAsia="宋体" w:cs="Times New Roman"/>
                <w:color w:val="auto"/>
                <w:sz w:val="24"/>
                <w:szCs w:val="24"/>
              </w:rPr>
              <w:t xml:space="preserve"> </w:t>
            </w:r>
          </w:p>
          <w:p w14:paraId="4B33F956">
            <w:pPr>
              <w:snapToGrid w:val="0"/>
              <w:spacing w:after="0" w:line="360" w:lineRule="auto"/>
              <w:rPr>
                <w:rFonts w:ascii="宋体" w:hAnsi="宋体" w:eastAsia="宋体" w:cs="Times New Roman"/>
                <w:color w:val="auto"/>
                <w:sz w:val="24"/>
                <w:szCs w:val="24"/>
              </w:rPr>
            </w:pPr>
            <w:r>
              <w:rPr>
                <w:rFonts w:hint="eastAsia" w:ascii="宋体" w:hAnsi="宋体" w:eastAsia="宋体" w:cs="Times New Roman"/>
                <w:color w:val="auto"/>
                <w:sz w:val="24"/>
                <w:szCs w:val="24"/>
              </w:rPr>
              <w:t>□新闻发布会</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□路演活动</w:t>
            </w:r>
            <w:r>
              <w:rPr>
                <w:rFonts w:ascii="宋体" w:hAnsi="宋体" w:eastAsia="宋体" w:cs="Times New Roman"/>
                <w:color w:val="auto"/>
                <w:sz w:val="24"/>
                <w:szCs w:val="24"/>
              </w:rPr>
              <w:t xml:space="preserve"> </w:t>
            </w:r>
          </w:p>
          <w:p w14:paraId="23F139CD">
            <w:pPr>
              <w:snapToGrid w:val="0"/>
              <w:spacing w:after="0" w:line="360" w:lineRule="auto"/>
              <w:rPr>
                <w:rFonts w:ascii="宋体" w:hAnsi="宋体" w:eastAsia="宋体" w:cs="Times New Roman"/>
                <w:color w:val="auto"/>
                <w:sz w:val="24"/>
                <w:szCs w:val="24"/>
              </w:rPr>
            </w:pPr>
            <w:r>
              <w:rPr>
                <w:rFonts w:hint="eastAsia" w:ascii="宋体" w:hAnsi="宋体" w:eastAsia="宋体" w:cs="Times New Roman"/>
                <w:color w:val="auto"/>
                <w:sz w:val="24"/>
                <w:szCs w:val="24"/>
              </w:rPr>
              <w:t>□现场参观</w:t>
            </w:r>
            <w:r>
              <w:rPr>
                <w:rFonts w:ascii="宋体" w:hAnsi="宋体" w:eastAsia="宋体" w:cs="Times New Roman"/>
                <w:color w:val="auto"/>
                <w:sz w:val="24"/>
                <w:szCs w:val="24"/>
              </w:rPr>
              <w:t xml:space="preserve">            </w:t>
            </w:r>
            <w:r>
              <w:rPr>
                <w:rFonts w:hint="eastAsia" w:ascii="宋体" w:hAnsi="宋体" w:eastAsia="宋体" w:cs="Times New Roman"/>
                <w:color w:val="auto"/>
                <w:sz w:val="24"/>
                <w:szCs w:val="24"/>
              </w:rPr>
              <w:t>□一对一沟通</w:t>
            </w:r>
            <w:r>
              <w:rPr>
                <w:rFonts w:ascii="宋体" w:hAnsi="宋体" w:eastAsia="宋体" w:cs="Times New Roman"/>
                <w:color w:val="auto"/>
                <w:sz w:val="24"/>
                <w:szCs w:val="24"/>
              </w:rPr>
              <w:t xml:space="preserve"> </w:t>
            </w:r>
          </w:p>
          <w:p w14:paraId="784333FA">
            <w:pPr>
              <w:snapToGrid w:val="0"/>
              <w:spacing w:after="0" w:line="360" w:lineRule="auto"/>
              <w:rPr>
                <w:rFonts w:ascii="Times New Roman" w:hAnsi="Times New Roman" w:eastAsia="宋体" w:cs="Times New Roman"/>
                <w:color w:val="auto"/>
                <w:sz w:val="24"/>
                <w:szCs w:val="24"/>
              </w:rPr>
            </w:pPr>
            <w:r>
              <w:rPr>
                <w:rFonts w:hint="eastAsia" w:ascii="宋体" w:hAnsi="宋体" w:eastAsia="宋体" w:cs="Times New Roman"/>
                <w:color w:val="auto"/>
                <w:sz w:val="24"/>
                <w:szCs w:val="24"/>
              </w:rPr>
              <w:t>□其他</w:t>
            </w:r>
            <w:r>
              <w:rPr>
                <w:rFonts w:ascii="宋体" w:hAnsi="宋体" w:eastAsia="宋体" w:cs="Times New Roman"/>
                <w:color w:val="auto"/>
                <w:sz w:val="24"/>
                <w:szCs w:val="24"/>
              </w:rPr>
              <w:t xml:space="preserve"> </w:t>
            </w:r>
          </w:p>
        </w:tc>
      </w:tr>
      <w:tr w14:paraId="44D9A9CF">
        <w:tblPrEx>
          <w:tblCellMar>
            <w:top w:w="0" w:type="dxa"/>
            <w:left w:w="108" w:type="dxa"/>
            <w:bottom w:w="41" w:type="dxa"/>
            <w:right w:w="0" w:type="dxa"/>
          </w:tblCellMar>
        </w:tblPrEx>
        <w:trPr>
          <w:trHeight w:val="694"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1006E2E6">
            <w:pPr>
              <w:snapToGrid w:val="0"/>
              <w:spacing w:after="0" w:line="360" w:lineRule="auto"/>
              <w:ind w:right="11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参与单位</w:t>
            </w:r>
          </w:p>
        </w:tc>
        <w:tc>
          <w:tcPr>
            <w:tcW w:w="8273" w:type="dxa"/>
            <w:tcBorders>
              <w:top w:val="single" w:color="000000" w:sz="4" w:space="0"/>
              <w:left w:val="single" w:color="000000" w:sz="4" w:space="0"/>
              <w:bottom w:val="single" w:color="000000" w:sz="4" w:space="0"/>
              <w:right w:val="single" w:color="000000" w:sz="4" w:space="0"/>
            </w:tcBorders>
            <w:vAlign w:val="center"/>
          </w:tcPr>
          <w:p w14:paraId="733B4BD9">
            <w:pPr>
              <w:pStyle w:val="2"/>
              <w:keepNext w:val="0"/>
              <w:keepLines w:val="0"/>
              <w:shd w:val="clear" w:color="auto" w:fill="FFFFFF"/>
              <w:spacing w:before="0" w:after="0"/>
              <w:rPr>
                <w:rFonts w:ascii="Times New Roman" w:hAnsi="Times New Roman" w:eastAsia="宋体" w:cs="Times New Roman"/>
                <w:b w:val="0"/>
                <w:color w:val="auto"/>
                <w:sz w:val="24"/>
                <w:szCs w:val="24"/>
              </w:rPr>
            </w:pPr>
            <w:r>
              <w:rPr>
                <w:rFonts w:hint="eastAsia" w:ascii="Times New Roman" w:hAnsi="Times New Roman" w:eastAsia="宋体" w:cs="Times New Roman"/>
                <w:b w:val="0"/>
                <w:color w:val="auto"/>
                <w:sz w:val="24"/>
                <w:szCs w:val="24"/>
              </w:rPr>
              <w:t>中信建投、申万宏源、开源证券、财通证券、高盛、招商证券、中金公司、中信证券、天风证券、华泰证券、国信证券、国金证券、广发证券、西部证券、长江证券、东北证券、工商银行、</w:t>
            </w:r>
            <w:r>
              <w:rPr>
                <w:rFonts w:ascii="Times New Roman" w:hAnsi="Times New Roman" w:eastAsia="宋体" w:cs="Times New Roman"/>
                <w:b w:val="0"/>
                <w:color w:val="auto"/>
                <w:sz w:val="24"/>
                <w:szCs w:val="24"/>
              </w:rPr>
              <w:t>Jefferies</w:t>
            </w:r>
            <w:r>
              <w:rPr>
                <w:rFonts w:hint="eastAsia" w:ascii="Times New Roman" w:hAnsi="Times New Roman" w:eastAsia="宋体" w:cs="Times New Roman"/>
                <w:b w:val="0"/>
                <w:color w:val="auto"/>
                <w:sz w:val="24"/>
                <w:szCs w:val="24"/>
              </w:rPr>
              <w:t>、</w:t>
            </w:r>
            <w:r>
              <w:rPr>
                <w:rFonts w:ascii="Times New Roman" w:hAnsi="Times New Roman" w:eastAsia="宋体" w:cs="Times New Roman"/>
                <w:b w:val="0"/>
                <w:color w:val="auto"/>
                <w:sz w:val="24"/>
                <w:szCs w:val="24"/>
              </w:rPr>
              <w:t>UBS</w:t>
            </w:r>
            <w:r>
              <w:rPr>
                <w:rFonts w:hint="eastAsia" w:ascii="Times New Roman" w:hAnsi="Times New Roman" w:eastAsia="宋体" w:cs="Times New Roman"/>
                <w:b w:val="0"/>
                <w:color w:val="auto"/>
                <w:sz w:val="24"/>
                <w:szCs w:val="24"/>
              </w:rPr>
              <w:t>等</w:t>
            </w:r>
          </w:p>
        </w:tc>
      </w:tr>
      <w:tr w14:paraId="3AF0DAB3">
        <w:tblPrEx>
          <w:tblCellMar>
            <w:top w:w="0" w:type="dxa"/>
            <w:left w:w="108" w:type="dxa"/>
            <w:bottom w:w="41" w:type="dxa"/>
            <w:right w:w="0" w:type="dxa"/>
          </w:tblCellMar>
        </w:tblPrEx>
        <w:trPr>
          <w:trHeight w:val="552"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6D544C47">
            <w:pPr>
              <w:snapToGrid w:val="0"/>
              <w:spacing w:after="0" w:line="360" w:lineRule="auto"/>
              <w:ind w:right="11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时间</w:t>
            </w:r>
          </w:p>
        </w:tc>
        <w:tc>
          <w:tcPr>
            <w:tcW w:w="8273" w:type="dxa"/>
            <w:tcBorders>
              <w:top w:val="single" w:color="000000" w:sz="4" w:space="0"/>
              <w:left w:val="single" w:color="000000" w:sz="4" w:space="0"/>
              <w:bottom w:val="single" w:color="000000" w:sz="4" w:space="0"/>
              <w:right w:val="single" w:color="000000" w:sz="4" w:space="0"/>
            </w:tcBorders>
            <w:vAlign w:val="center"/>
          </w:tcPr>
          <w:p w14:paraId="55FF3714">
            <w:pPr>
              <w:snapToGrid w:val="0"/>
              <w:spacing w:after="0" w:line="360" w:lineRule="auto"/>
              <w:jc w:val="both"/>
              <w:rPr>
                <w:rFonts w:ascii="Times New Roman" w:hAnsi="Times New Roman" w:eastAsia="宋体" w:cs="Times New Roman"/>
                <w:color w:val="auto"/>
                <w:sz w:val="24"/>
                <w:szCs w:val="24"/>
              </w:rPr>
            </w:pPr>
            <w:r>
              <w:rPr>
                <w:rFonts w:ascii="Times New Roman" w:hAnsi="Times New Roman" w:eastAsia="宋体" w:cs="Times New Roman"/>
                <w:bCs/>
                <w:iCs/>
                <w:color w:val="auto"/>
                <w:sz w:val="24"/>
                <w:szCs w:val="24"/>
              </w:rPr>
              <w:t>2026</w:t>
            </w:r>
            <w:r>
              <w:rPr>
                <w:rFonts w:hint="eastAsia" w:ascii="Times New Roman" w:hAnsi="Times New Roman" w:eastAsia="宋体" w:cs="Times New Roman"/>
                <w:bCs/>
                <w:iCs/>
                <w:color w:val="auto"/>
                <w:sz w:val="24"/>
                <w:szCs w:val="24"/>
              </w:rPr>
              <w:t>年</w:t>
            </w:r>
            <w:r>
              <w:rPr>
                <w:rFonts w:ascii="Times New Roman" w:hAnsi="Times New Roman" w:eastAsia="宋体" w:cs="Times New Roman"/>
                <w:bCs/>
                <w:iCs/>
                <w:color w:val="auto"/>
                <w:sz w:val="24"/>
                <w:szCs w:val="24"/>
              </w:rPr>
              <w:t>10</w:t>
            </w:r>
            <w:r>
              <w:rPr>
                <w:rFonts w:hint="eastAsia" w:ascii="Times New Roman" w:hAnsi="Times New Roman" w:eastAsia="宋体" w:cs="Times New Roman"/>
                <w:bCs/>
                <w:iCs/>
                <w:color w:val="auto"/>
                <w:sz w:val="24"/>
                <w:szCs w:val="24"/>
              </w:rPr>
              <w:t>月</w:t>
            </w:r>
            <w:r>
              <w:rPr>
                <w:rFonts w:ascii="Times New Roman" w:hAnsi="Times New Roman" w:eastAsia="宋体" w:cs="Times New Roman"/>
                <w:bCs/>
                <w:iCs/>
                <w:color w:val="auto"/>
                <w:sz w:val="24"/>
                <w:szCs w:val="24"/>
              </w:rPr>
              <w:t>25</w:t>
            </w:r>
            <w:r>
              <w:rPr>
                <w:rFonts w:hint="eastAsia" w:ascii="Times New Roman" w:hAnsi="Times New Roman" w:eastAsia="宋体" w:cs="Times New Roman"/>
                <w:bCs/>
                <w:iCs/>
                <w:color w:val="auto"/>
                <w:sz w:val="24"/>
                <w:szCs w:val="24"/>
              </w:rPr>
              <w:t>日</w:t>
            </w:r>
            <w:r>
              <w:rPr>
                <w:rFonts w:ascii="Times New Roman" w:hAnsi="Times New Roman" w:eastAsia="宋体" w:cs="Times New Roman"/>
                <w:bCs/>
                <w:iCs/>
                <w:color w:val="auto"/>
                <w:sz w:val="24"/>
                <w:szCs w:val="24"/>
              </w:rPr>
              <w:t>20:00</w:t>
            </w:r>
            <w:r>
              <w:rPr>
                <w:rFonts w:hint="eastAsia" w:ascii="微软雅黑" w:hAnsi="微软雅黑" w:eastAsia="微软雅黑"/>
                <w:color w:val="333333"/>
                <w:sz w:val="21"/>
                <w:szCs w:val="21"/>
                <w:shd w:val="clear" w:color="auto" w:fill="FFFFFF"/>
              </w:rPr>
              <w:t>-</w:t>
            </w:r>
            <w:r>
              <w:rPr>
                <w:rFonts w:hint="eastAsia" w:ascii="Times New Roman" w:hAnsi="Times New Roman" w:eastAsia="宋体" w:cs="Times New Roman"/>
                <w:bCs/>
                <w:iCs/>
                <w:color w:val="auto"/>
                <w:sz w:val="24"/>
                <w:szCs w:val="24"/>
                <w:shd w:val="clear" w:color="auto" w:fill="auto"/>
              </w:rPr>
              <w:t>21:00</w:t>
            </w:r>
          </w:p>
        </w:tc>
      </w:tr>
      <w:tr w14:paraId="5B1309F8">
        <w:tblPrEx>
          <w:tblCellMar>
            <w:top w:w="0" w:type="dxa"/>
            <w:left w:w="108" w:type="dxa"/>
            <w:bottom w:w="41" w:type="dxa"/>
            <w:right w:w="0" w:type="dxa"/>
          </w:tblCellMar>
        </w:tblPrEx>
        <w:trPr>
          <w:trHeight w:val="490"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4502D61A">
            <w:pPr>
              <w:snapToGrid w:val="0"/>
              <w:spacing w:after="0" w:line="360" w:lineRule="auto"/>
              <w:ind w:right="11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地点</w:t>
            </w:r>
          </w:p>
        </w:tc>
        <w:tc>
          <w:tcPr>
            <w:tcW w:w="8273" w:type="dxa"/>
            <w:tcBorders>
              <w:top w:val="single" w:color="000000" w:sz="4" w:space="0"/>
              <w:left w:val="single" w:color="000000" w:sz="4" w:space="0"/>
              <w:bottom w:val="single" w:color="000000" w:sz="4" w:space="0"/>
              <w:right w:val="single" w:color="000000" w:sz="4" w:space="0"/>
            </w:tcBorders>
            <w:vAlign w:val="center"/>
          </w:tcPr>
          <w:p w14:paraId="18DC6B74">
            <w:pPr>
              <w:snapToGrid w:val="0"/>
              <w:spacing w:after="0" w:line="360" w:lineRule="auto"/>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珠海</w:t>
            </w:r>
          </w:p>
        </w:tc>
      </w:tr>
      <w:tr w14:paraId="1ED6BC7A">
        <w:tblPrEx>
          <w:tblCellMar>
            <w:top w:w="0" w:type="dxa"/>
            <w:left w:w="108" w:type="dxa"/>
            <w:bottom w:w="41" w:type="dxa"/>
            <w:right w:w="0" w:type="dxa"/>
          </w:tblCellMar>
        </w:tblPrEx>
        <w:trPr>
          <w:trHeight w:val="624"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04725E37">
            <w:pPr>
              <w:snapToGrid w:val="0"/>
              <w:spacing w:after="0" w:line="360" w:lineRule="auto"/>
              <w:ind w:right="11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形式</w:t>
            </w:r>
          </w:p>
        </w:tc>
        <w:tc>
          <w:tcPr>
            <w:tcW w:w="8273" w:type="dxa"/>
            <w:tcBorders>
              <w:top w:val="single" w:color="000000" w:sz="4" w:space="0"/>
              <w:left w:val="single" w:color="000000" w:sz="4" w:space="0"/>
              <w:bottom w:val="single" w:color="000000" w:sz="4" w:space="0"/>
              <w:right w:val="single" w:color="000000" w:sz="4" w:space="0"/>
            </w:tcBorders>
            <w:vAlign w:val="center"/>
          </w:tcPr>
          <w:p w14:paraId="329525C5">
            <w:pPr>
              <w:snapToGrid w:val="0"/>
              <w:spacing w:after="0" w:line="360" w:lineRule="auto"/>
              <w:jc w:val="both"/>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线上会议</w:t>
            </w:r>
          </w:p>
        </w:tc>
      </w:tr>
      <w:tr w14:paraId="7B9D37B1">
        <w:tblPrEx>
          <w:tblCellMar>
            <w:top w:w="0" w:type="dxa"/>
            <w:left w:w="108" w:type="dxa"/>
            <w:bottom w:w="41" w:type="dxa"/>
            <w:right w:w="0" w:type="dxa"/>
          </w:tblCellMar>
        </w:tblPrEx>
        <w:trPr>
          <w:trHeight w:val="454"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2F0959DB">
            <w:pPr>
              <w:snapToGrid w:val="0"/>
              <w:spacing w:after="0" w:line="360" w:lineRule="auto"/>
              <w:ind w:right="110"/>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接待人员</w:t>
            </w:r>
          </w:p>
        </w:tc>
        <w:tc>
          <w:tcPr>
            <w:tcW w:w="8273" w:type="dxa"/>
            <w:tcBorders>
              <w:top w:val="single" w:color="000000" w:sz="4" w:space="0"/>
              <w:left w:val="single" w:color="000000" w:sz="4" w:space="0"/>
              <w:bottom w:val="single" w:color="000000" w:sz="4" w:space="0"/>
              <w:right w:val="single" w:color="000000" w:sz="4" w:space="0"/>
            </w:tcBorders>
            <w:vAlign w:val="center"/>
          </w:tcPr>
          <w:p w14:paraId="13EA6009">
            <w:pPr>
              <w:snapToGrid w:val="0"/>
              <w:spacing w:after="0" w:line="360" w:lineRule="auto"/>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董事会秘书、财务负责人</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刘宗坤先生</w:t>
            </w:r>
          </w:p>
          <w:p w14:paraId="12F547DD">
            <w:pPr>
              <w:snapToGrid w:val="0"/>
              <w:spacing w:after="0" w:line="360" w:lineRule="auto"/>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投资者关系负责人</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王子越先生</w:t>
            </w:r>
          </w:p>
        </w:tc>
      </w:tr>
      <w:tr w14:paraId="194E55DC">
        <w:tblPrEx>
          <w:tblCellMar>
            <w:top w:w="0" w:type="dxa"/>
            <w:left w:w="108" w:type="dxa"/>
            <w:bottom w:w="41" w:type="dxa"/>
            <w:right w:w="0" w:type="dxa"/>
          </w:tblCellMar>
        </w:tblPrEx>
        <w:trPr>
          <w:trHeight w:val="8354"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596E8373">
            <w:pPr>
              <w:snapToGrid w:val="0"/>
              <w:spacing w:after="0" w:line="360" w:lineRule="auto"/>
              <w:ind w:right="110"/>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投资者关系活动主要内容介绍</w:t>
            </w:r>
          </w:p>
        </w:tc>
        <w:tc>
          <w:tcPr>
            <w:tcW w:w="8273" w:type="dxa"/>
            <w:tcBorders>
              <w:top w:val="single" w:color="000000" w:sz="4" w:space="0"/>
              <w:left w:val="single" w:color="000000" w:sz="4" w:space="0"/>
              <w:bottom w:val="single" w:color="000000" w:sz="4" w:space="0"/>
              <w:right w:val="single" w:color="000000" w:sz="4" w:space="0"/>
            </w:tcBorders>
            <w:vAlign w:val="bottom"/>
          </w:tcPr>
          <w:p w14:paraId="5A2051EE">
            <w:pPr>
              <w:pStyle w:val="9"/>
              <w:spacing w:before="156" w:after="156" w:afterLines="50"/>
              <w:ind w:firstLine="0" w:firstLineChars="0"/>
              <w:rPr>
                <w:kern w:val="0"/>
                <w:szCs w:val="24"/>
              </w:rPr>
            </w:pPr>
            <w:r>
              <w:rPr>
                <w:rFonts w:hint="eastAsia"/>
                <w:kern w:val="0"/>
                <w:szCs w:val="24"/>
              </w:rPr>
              <w:t>主要内容介绍：</w:t>
            </w:r>
          </w:p>
          <w:p w14:paraId="21309FF9">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1、公司</w:t>
            </w:r>
            <w:r>
              <w:rPr>
                <w:rFonts w:ascii="Times New Roman" w:hAnsi="Times New Roman" w:eastAsia="宋体" w:cs="Times New Roman"/>
                <w:color w:val="auto"/>
                <w:kern w:val="0"/>
                <w:sz w:val="24"/>
                <w:szCs w:val="24"/>
              </w:rPr>
              <w:t>2026</w:t>
            </w:r>
            <w:r>
              <w:rPr>
                <w:rFonts w:hint="eastAsia" w:ascii="Times New Roman" w:hAnsi="Times New Roman" w:eastAsia="宋体" w:cs="Times New Roman"/>
                <w:color w:val="auto"/>
                <w:kern w:val="0"/>
                <w:sz w:val="24"/>
                <w:szCs w:val="24"/>
              </w:rPr>
              <w:t>年第三季度整体业绩表现如何？</w:t>
            </w:r>
          </w:p>
          <w:p w14:paraId="7D46425C">
            <w:pPr>
              <w:pStyle w:val="10"/>
              <w:spacing w:before="157" w:beforeLines="50" w:after="157" w:afterLines="50" w:line="360" w:lineRule="auto"/>
              <w:ind w:firstLine="48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答：公司前三季度实现营业收入</w:t>
            </w:r>
            <w:r>
              <w:rPr>
                <w:rFonts w:ascii="Times New Roman" w:hAnsi="Times New Roman" w:eastAsia="宋体" w:cs="Times New Roman"/>
                <w:color w:val="auto"/>
                <w:kern w:val="0"/>
                <w:sz w:val="24"/>
                <w:szCs w:val="24"/>
              </w:rPr>
              <w:t>116.22</w:t>
            </w:r>
            <w:r>
              <w:rPr>
                <w:rFonts w:hint="eastAsia" w:ascii="Times New Roman" w:hAnsi="Times New Roman" w:eastAsia="宋体" w:cs="Times New Roman"/>
                <w:color w:val="auto"/>
                <w:kern w:val="0"/>
                <w:sz w:val="24"/>
                <w:szCs w:val="24"/>
              </w:rPr>
              <w:t>亿元，同比增长</w:t>
            </w:r>
            <w:r>
              <w:rPr>
                <w:rFonts w:ascii="Times New Roman" w:hAnsi="Times New Roman" w:eastAsia="宋体" w:cs="Times New Roman"/>
                <w:color w:val="auto"/>
                <w:kern w:val="0"/>
                <w:sz w:val="24"/>
                <w:szCs w:val="24"/>
              </w:rPr>
              <w:t>12.61%</w:t>
            </w:r>
            <w:r>
              <w:rPr>
                <w:rFonts w:hint="eastAsia" w:ascii="Times New Roman" w:hAnsi="Times New Roman" w:eastAsia="宋体" w:cs="Times New Roman"/>
                <w:color w:val="auto"/>
                <w:kern w:val="0"/>
                <w:sz w:val="24"/>
                <w:szCs w:val="24"/>
              </w:rPr>
              <w:t>。在利润表现上，第三季度单季度实现归属于上市公司股东的净利润为</w:t>
            </w:r>
            <w:r>
              <w:rPr>
                <w:rFonts w:ascii="Times New Roman" w:hAnsi="Times New Roman" w:eastAsia="宋体" w:cs="Times New Roman"/>
                <w:color w:val="auto"/>
                <w:kern w:val="0"/>
                <w:sz w:val="24"/>
                <w:szCs w:val="24"/>
              </w:rPr>
              <w:t>3,599.02</w:t>
            </w:r>
            <w:r>
              <w:rPr>
                <w:rFonts w:hint="eastAsia" w:ascii="Times New Roman" w:hAnsi="Times New Roman" w:eastAsia="宋体" w:cs="Times New Roman"/>
                <w:color w:val="auto"/>
                <w:kern w:val="0"/>
                <w:sz w:val="24"/>
                <w:szCs w:val="24"/>
              </w:rPr>
              <w:t>万元，前三季度累计亏损敞口已有所收窄。</w:t>
            </w:r>
          </w:p>
          <w:p w14:paraId="6E4F3D1C">
            <w:pPr>
              <w:pStyle w:val="10"/>
              <w:spacing w:before="157" w:beforeLines="50" w:after="157" w:afterLines="50" w:line="360" w:lineRule="auto"/>
              <w:ind w:firstLine="48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面对行业整体需求下滑、原材料价格仍处于高位、美元兑人民币汇率持续下行、税收政策变化以及市场竞争加剧等多重挑战导致利润端短期承压的情况下，公司凭借清晰的战略定力展现出了较强的经营韧性。一方面，营业收入保持稳步攀升的同时，核心客户份额实现有效提升。</w:t>
            </w:r>
            <w:r>
              <w:rPr>
                <w:rFonts w:ascii="Times New Roman" w:hAnsi="Times New Roman" w:eastAsia="宋体" w:cs="Times New Roman"/>
                <w:color w:val="auto"/>
                <w:kern w:val="0"/>
                <w:sz w:val="24"/>
                <w:szCs w:val="24"/>
              </w:rPr>
              <w:t>2026</w:t>
            </w:r>
            <w:r>
              <w:rPr>
                <w:rFonts w:hint="eastAsia" w:ascii="Times New Roman" w:hAnsi="Times New Roman" w:eastAsia="宋体" w:cs="Times New Roman"/>
                <w:color w:val="auto"/>
                <w:kern w:val="0"/>
                <w:sz w:val="24"/>
                <w:szCs w:val="24"/>
              </w:rPr>
              <w:t>年前三季度，公司手机电池收入同比增长</w:t>
            </w:r>
            <w:r>
              <w:rPr>
                <w:rFonts w:ascii="Times New Roman" w:hAnsi="Times New Roman" w:eastAsia="宋体" w:cs="Times New Roman"/>
                <w:color w:val="auto"/>
                <w:kern w:val="0"/>
                <w:sz w:val="24"/>
                <w:szCs w:val="24"/>
              </w:rPr>
              <w:t>43.14%</w:t>
            </w:r>
            <w:r>
              <w:rPr>
                <w:rFonts w:hint="eastAsia" w:ascii="Times New Roman" w:hAnsi="Times New Roman" w:eastAsia="宋体" w:cs="Times New Roman"/>
                <w:color w:val="auto"/>
                <w:kern w:val="0"/>
                <w:sz w:val="24"/>
                <w:szCs w:val="24"/>
              </w:rPr>
              <w:t>；主营动力及储能类业务的子公司浙江冠宇电池实现营业收入</w:t>
            </w:r>
            <w:r>
              <w:rPr>
                <w:rFonts w:ascii="Times New Roman" w:hAnsi="Times New Roman" w:eastAsia="宋体" w:cs="Times New Roman"/>
                <w:color w:val="auto"/>
                <w:kern w:val="0"/>
                <w:sz w:val="24"/>
                <w:szCs w:val="24"/>
              </w:rPr>
              <w:t>23.76</w:t>
            </w:r>
            <w:r>
              <w:rPr>
                <w:rFonts w:hint="eastAsia" w:ascii="Times New Roman" w:hAnsi="Times New Roman" w:eastAsia="宋体" w:cs="Times New Roman"/>
                <w:color w:val="auto"/>
                <w:kern w:val="0"/>
                <w:sz w:val="24"/>
                <w:szCs w:val="24"/>
              </w:rPr>
              <w:t>亿元，同比增长</w:t>
            </w:r>
            <w:r>
              <w:rPr>
                <w:rFonts w:ascii="Times New Roman" w:hAnsi="Times New Roman" w:eastAsia="宋体" w:cs="Times New Roman"/>
                <w:color w:val="auto"/>
                <w:kern w:val="0"/>
                <w:sz w:val="24"/>
                <w:szCs w:val="24"/>
              </w:rPr>
              <w:t>63.89%</w:t>
            </w:r>
            <w:r>
              <w:rPr>
                <w:rFonts w:hint="eastAsia" w:ascii="Times New Roman" w:hAnsi="Times New Roman" w:eastAsia="宋体" w:cs="Times New Roman"/>
                <w:color w:val="auto"/>
                <w:kern w:val="0"/>
                <w:sz w:val="24"/>
                <w:szCs w:val="24"/>
              </w:rPr>
              <w:t>。另一方面，公司持续加大研发投入，前三季度研发投入达</w:t>
            </w:r>
            <w:r>
              <w:rPr>
                <w:rFonts w:ascii="Times New Roman" w:hAnsi="Times New Roman" w:eastAsia="宋体" w:cs="Times New Roman"/>
                <w:color w:val="auto"/>
                <w:kern w:val="0"/>
                <w:sz w:val="24"/>
                <w:szCs w:val="24"/>
              </w:rPr>
              <w:t>15.64</w:t>
            </w:r>
            <w:r>
              <w:rPr>
                <w:rFonts w:hint="eastAsia" w:ascii="Times New Roman" w:hAnsi="Times New Roman" w:eastAsia="宋体" w:cs="Times New Roman"/>
                <w:color w:val="auto"/>
                <w:kern w:val="0"/>
                <w:sz w:val="24"/>
                <w:szCs w:val="24"/>
              </w:rPr>
              <w:t>亿元，占营收比例为</w:t>
            </w:r>
            <w:r>
              <w:rPr>
                <w:rFonts w:ascii="Times New Roman" w:hAnsi="Times New Roman" w:eastAsia="宋体" w:cs="Times New Roman"/>
                <w:color w:val="auto"/>
                <w:kern w:val="0"/>
                <w:sz w:val="24"/>
                <w:szCs w:val="24"/>
              </w:rPr>
              <w:t>13.46%</w:t>
            </w:r>
            <w:r>
              <w:rPr>
                <w:rFonts w:hint="eastAsia" w:ascii="Times New Roman" w:hAnsi="Times New Roman" w:eastAsia="宋体" w:cs="Times New Roman"/>
                <w:color w:val="auto"/>
                <w:kern w:val="0"/>
                <w:sz w:val="24"/>
                <w:szCs w:val="24"/>
              </w:rPr>
              <w:t>，持续推动钢壳电池、高硅负极电池等前沿技术的加速落地以及新兴业务版图的有序扩张，为后续战略推进和业绩增长奠定基础，谢谢！</w:t>
            </w:r>
          </w:p>
          <w:p w14:paraId="17655A08">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bookmarkStart w:id="0" w:name="OLE_LINK1"/>
            <w:bookmarkStart w:id="1" w:name="OLE_LINK2"/>
            <w:r>
              <w:rPr>
                <w:rFonts w:hint="eastAsia" w:ascii="Times New Roman" w:hAnsi="Times New Roman" w:eastAsia="宋体" w:cs="Times New Roman"/>
                <w:color w:val="auto"/>
                <w:kern w:val="0"/>
                <w:sz w:val="24"/>
                <w:szCs w:val="24"/>
              </w:rPr>
              <w:t>2、公司目前在消费电子领域的业务亮点及新兴领域布局进展如何？</w:t>
            </w:r>
            <w:bookmarkEnd w:id="0"/>
          </w:p>
          <w:p w14:paraId="3B77D9DF">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答：公司在巩固消费类与动力及储能业务的基础上，积极把握消费电子智能化、</w:t>
            </w:r>
            <w:r>
              <w:rPr>
                <w:rFonts w:ascii="Times New Roman" w:hAnsi="Times New Roman" w:eastAsia="宋体" w:cs="Times New Roman"/>
                <w:color w:val="auto"/>
                <w:kern w:val="0"/>
                <w:sz w:val="24"/>
                <w:szCs w:val="24"/>
              </w:rPr>
              <w:t>AI</w:t>
            </w:r>
            <w:r>
              <w:rPr>
                <w:rFonts w:hint="eastAsia" w:ascii="Times New Roman" w:hAnsi="Times New Roman" w:eastAsia="宋体" w:cs="Times New Roman"/>
                <w:color w:val="auto"/>
                <w:kern w:val="0"/>
                <w:sz w:val="24"/>
                <w:szCs w:val="24"/>
              </w:rPr>
              <w:t>化等技术演进带来的产业机遇，持续拓展业务布局。公司持续推进钢壳电池、高硅负极电池等技术创新与应用，电池硅含量已提升至</w:t>
            </w:r>
            <w:r>
              <w:rPr>
                <w:rFonts w:ascii="Times New Roman" w:hAnsi="Times New Roman" w:eastAsia="宋体" w:cs="Times New Roman"/>
                <w:color w:val="auto"/>
                <w:kern w:val="0"/>
                <w:sz w:val="24"/>
                <w:szCs w:val="24"/>
              </w:rPr>
              <w:t>40%</w:t>
            </w:r>
            <w:r>
              <w:rPr>
                <w:rFonts w:hint="eastAsia" w:ascii="Times New Roman" w:hAnsi="Times New Roman" w:eastAsia="宋体" w:cs="Times New Roman"/>
                <w:color w:val="auto"/>
                <w:kern w:val="0"/>
                <w:sz w:val="24"/>
                <w:szCs w:val="24"/>
              </w:rPr>
              <w:t>，处于行业领先水平。同时，凭借持续技术迭代和创新，公司在多个高端旗舰项目实现突破，并已对多家客户新一代折叠旗舰机型进行量产供货。</w:t>
            </w:r>
          </w:p>
          <w:p w14:paraId="4C4B0EB0">
            <w:pPr>
              <w:pStyle w:val="10"/>
              <w:spacing w:before="157" w:beforeLines="50" w:after="157" w:afterLines="50" w:line="360" w:lineRule="auto"/>
              <w:ind w:firstLine="48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新兴业务方面，公司积极布局</w:t>
            </w:r>
            <w:r>
              <w:rPr>
                <w:rFonts w:ascii="Times New Roman" w:hAnsi="Times New Roman" w:eastAsia="宋体" w:cs="Times New Roman"/>
                <w:color w:val="auto"/>
                <w:kern w:val="0"/>
                <w:sz w:val="24"/>
                <w:szCs w:val="24"/>
              </w:rPr>
              <w:t>AI</w:t>
            </w:r>
            <w:r>
              <w:rPr>
                <w:rFonts w:hint="eastAsia" w:ascii="Times New Roman" w:hAnsi="Times New Roman" w:eastAsia="宋体" w:cs="Times New Roman"/>
                <w:color w:val="auto"/>
                <w:kern w:val="0"/>
                <w:sz w:val="24"/>
                <w:szCs w:val="24"/>
              </w:rPr>
              <w:t>眼镜、戒指、手表及</w:t>
            </w:r>
            <w:r>
              <w:rPr>
                <w:rFonts w:ascii="Times New Roman" w:hAnsi="Times New Roman" w:eastAsia="宋体" w:cs="Times New Roman"/>
                <w:color w:val="auto"/>
                <w:kern w:val="0"/>
                <w:sz w:val="24"/>
                <w:szCs w:val="24"/>
              </w:rPr>
              <w:t>AR</w:t>
            </w:r>
            <w:r>
              <w:rPr>
                <w:rFonts w:hint="eastAsia" w:ascii="Times New Roman" w:hAnsi="Times New Roman" w:eastAsia="宋体" w:cs="Times New Roman"/>
                <w:color w:val="auto"/>
                <w:kern w:val="0"/>
                <w:sz w:val="24"/>
                <w:szCs w:val="24"/>
              </w:rPr>
              <w:t>设备等端侧应用场景，与国内外多家头部智能穿戴设备厂商建立合作，配合客户开发多款异型钢壳电池。此外，在可移动通信终端电池领域，公司与该领域头部厂商建立合作，有望为后续业绩增长提供新动能。谢谢！</w:t>
            </w:r>
            <w:bookmarkEnd w:id="1"/>
          </w:p>
          <w:p w14:paraId="5B450D9E">
            <w:pPr>
              <w:spacing w:before="157" w:beforeLines="50" w:after="157" w:afterLines="50" w:line="360" w:lineRule="auto"/>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3、公司高硅负极电池的商业化落地情况如何？</w:t>
            </w:r>
          </w:p>
          <w:p w14:paraId="01B0A4E6">
            <w:pPr>
              <w:pStyle w:val="10"/>
              <w:spacing w:before="157" w:beforeLines="50" w:after="157" w:afterLines="50" w:line="360" w:lineRule="auto"/>
              <w:ind w:firstLine="48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答：在技术与量产落地方面，公司已成功实现</w:t>
            </w:r>
            <w:r>
              <w:rPr>
                <w:rFonts w:ascii="Times New Roman" w:hAnsi="Times New Roman" w:eastAsia="宋体" w:cs="Times New Roman"/>
                <w:color w:val="auto"/>
                <w:kern w:val="0"/>
                <w:sz w:val="24"/>
                <w:szCs w:val="24"/>
              </w:rPr>
              <w:t>40%</w:t>
            </w:r>
            <w:r>
              <w:rPr>
                <w:rFonts w:hint="eastAsia" w:ascii="Times New Roman" w:hAnsi="Times New Roman" w:eastAsia="宋体" w:cs="Times New Roman"/>
                <w:color w:val="auto"/>
                <w:kern w:val="0"/>
                <w:sz w:val="24"/>
                <w:szCs w:val="24"/>
              </w:rPr>
              <w:t>高硅负极电池的规模化量产，实现了电池</w:t>
            </w:r>
            <w:r>
              <w:rPr>
                <w:rFonts w:ascii="Times New Roman" w:hAnsi="Times New Roman" w:eastAsia="宋体" w:cs="Times New Roman"/>
                <w:color w:val="auto"/>
                <w:kern w:val="0"/>
                <w:sz w:val="24"/>
                <w:szCs w:val="24"/>
              </w:rPr>
              <w:t>1000Wh/L</w:t>
            </w:r>
            <w:r>
              <w:rPr>
                <w:rFonts w:hint="eastAsia" w:ascii="Times New Roman" w:hAnsi="Times New Roman" w:eastAsia="宋体" w:cs="Times New Roman"/>
                <w:color w:val="auto"/>
                <w:kern w:val="0"/>
                <w:sz w:val="24"/>
                <w:szCs w:val="24"/>
              </w:rPr>
              <w:t>的能量密度和</w:t>
            </w:r>
            <w:r>
              <w:rPr>
                <w:rFonts w:ascii="Times New Roman" w:hAnsi="Times New Roman" w:eastAsia="宋体" w:cs="Times New Roman"/>
                <w:color w:val="auto"/>
                <w:kern w:val="0"/>
                <w:sz w:val="24"/>
                <w:szCs w:val="24"/>
              </w:rPr>
              <w:t>8800mAh</w:t>
            </w:r>
            <w:r>
              <w:rPr>
                <w:rFonts w:hint="eastAsia" w:ascii="Times New Roman" w:hAnsi="Times New Roman" w:eastAsia="宋体" w:cs="Times New Roman"/>
                <w:color w:val="auto"/>
                <w:kern w:val="0"/>
                <w:sz w:val="24"/>
                <w:szCs w:val="24"/>
              </w:rPr>
              <w:t>的超大容量，为终端旗舰产品提供了强劲的续航支撑。</w:t>
            </w:r>
          </w:p>
          <w:p w14:paraId="069F5ED7">
            <w:pPr>
              <w:pStyle w:val="10"/>
              <w:spacing w:before="157" w:beforeLines="50" w:after="157" w:afterLines="50" w:line="360" w:lineRule="auto"/>
              <w:ind w:firstLine="48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在客户拓展方面，公司已进入华为、苹果、荣耀、小米、</w:t>
            </w:r>
            <w:r>
              <w:rPr>
                <w:rFonts w:ascii="Times New Roman" w:hAnsi="Times New Roman" w:eastAsia="宋体" w:cs="Times New Roman"/>
                <w:color w:val="auto"/>
                <w:kern w:val="0"/>
                <w:sz w:val="24"/>
                <w:szCs w:val="24"/>
              </w:rPr>
              <w:t>OPPO</w:t>
            </w:r>
            <w:r>
              <w:rPr>
                <w:rFonts w:hint="eastAsia" w:ascii="Times New Roman" w:hAnsi="Times New Roman" w:eastAsia="宋体" w:cs="Times New Roman"/>
                <w:color w:val="auto"/>
                <w:kern w:val="0"/>
                <w:sz w:val="24"/>
                <w:szCs w:val="24"/>
              </w:rPr>
              <w:t>以及三星等</w:t>
            </w:r>
            <w:r>
              <w:rPr>
                <w:rFonts w:hint="eastAsia" w:ascii="Times New Roman" w:hAnsi="Times New Roman" w:eastAsia="宋体" w:cs="Times New Roman"/>
                <w:color w:val="auto"/>
                <w:kern w:val="0"/>
                <w:sz w:val="24"/>
                <w:szCs w:val="24"/>
                <w:lang w:val="en-US" w:eastAsia="zh-CN"/>
              </w:rPr>
              <w:t>多家国内外知名手机</w:t>
            </w:r>
            <w:r>
              <w:rPr>
                <w:rFonts w:hint="eastAsia" w:ascii="Times New Roman" w:hAnsi="Times New Roman" w:eastAsia="宋体" w:cs="Times New Roman"/>
                <w:color w:val="auto"/>
                <w:kern w:val="0"/>
                <w:sz w:val="24"/>
                <w:szCs w:val="24"/>
              </w:rPr>
              <w:t>厂商的供应链体系，并在高端机型配套上持续取得实质性成果。未来，公司将继续以技术为核心，推动消费类电池性能持续升级。谢谢！</w:t>
            </w:r>
          </w:p>
          <w:p w14:paraId="1B21774A">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4、近期市场高度关注苹果折叠机</w:t>
            </w:r>
            <w:r>
              <w:rPr>
                <w:rFonts w:ascii="Times New Roman" w:hAnsi="Times New Roman" w:eastAsia="宋体" w:cs="Times New Roman"/>
                <w:color w:val="auto"/>
                <w:kern w:val="0"/>
                <w:sz w:val="24"/>
                <w:szCs w:val="24"/>
              </w:rPr>
              <w:t>iPhone Duo的发布，请问贵公司出货量如何，</w:t>
            </w:r>
            <w:r>
              <w:rPr>
                <w:rFonts w:hint="eastAsia" w:ascii="Times New Roman" w:hAnsi="Times New Roman" w:eastAsia="宋体" w:cs="Times New Roman"/>
                <w:color w:val="auto"/>
                <w:kern w:val="0"/>
                <w:sz w:val="24"/>
                <w:szCs w:val="24"/>
              </w:rPr>
              <w:t>未来这一客户的份额是否有望大幅提升？</w:t>
            </w:r>
          </w:p>
          <w:p w14:paraId="6322C71F">
            <w:pPr>
              <w:pStyle w:val="10"/>
              <w:spacing w:before="157" w:beforeLines="50" w:after="157" w:afterLines="50" w:line="360" w:lineRule="auto"/>
              <w:ind w:firstLine="48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答：公司作为客户此款折叠机型电芯产品的主要供应商，正努力安排相关</w:t>
            </w:r>
            <w:bookmarkStart w:id="2" w:name="OLE_LINK3"/>
            <w:r>
              <w:rPr>
                <w:rFonts w:hint="eastAsia" w:ascii="Times New Roman" w:hAnsi="Times New Roman" w:eastAsia="宋体" w:cs="Times New Roman"/>
                <w:color w:val="auto"/>
                <w:kern w:val="0"/>
                <w:sz w:val="24"/>
                <w:szCs w:val="24"/>
              </w:rPr>
              <w:t>产品的生产及出货，以保障客户的需求。同时，公司相关产品产线具备一定的产能弹性，若客户有进一步的增量订单需求，公司可通过现有产线的产能释放及内部资源调配，响应客户需求。谢谢</w:t>
            </w:r>
            <w:bookmarkEnd w:id="2"/>
            <w:r>
              <w:rPr>
                <w:rFonts w:hint="eastAsia" w:ascii="Times New Roman" w:hAnsi="Times New Roman" w:eastAsia="宋体" w:cs="Times New Roman"/>
                <w:color w:val="auto"/>
                <w:kern w:val="0"/>
                <w:sz w:val="24"/>
                <w:szCs w:val="24"/>
              </w:rPr>
              <w:t>！</w:t>
            </w:r>
          </w:p>
          <w:p w14:paraId="530BDF22">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5、公司本次向特定对象发行股票的进展如何？</w:t>
            </w:r>
          </w:p>
          <w:p w14:paraId="39049C54">
            <w:pPr>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答：公司</w:t>
            </w:r>
            <w:r>
              <w:rPr>
                <w:rFonts w:ascii="Times New Roman" w:hAnsi="Times New Roman" w:eastAsia="宋体" w:cs="Times New Roman"/>
                <w:color w:val="auto"/>
                <w:kern w:val="0"/>
                <w:sz w:val="24"/>
                <w:szCs w:val="24"/>
              </w:rPr>
              <w:t>2026</w:t>
            </w:r>
            <w:r>
              <w:rPr>
                <w:rFonts w:hint="eastAsia" w:ascii="Times New Roman" w:hAnsi="Times New Roman" w:eastAsia="宋体" w:cs="Times New Roman"/>
                <w:color w:val="auto"/>
                <w:kern w:val="0"/>
                <w:sz w:val="24"/>
                <w:szCs w:val="24"/>
              </w:rPr>
              <w:t>年度向特定对象发行</w:t>
            </w:r>
            <w:r>
              <w:rPr>
                <w:rFonts w:ascii="Times New Roman" w:hAnsi="Times New Roman" w:eastAsia="宋体" w:cs="Times New Roman"/>
                <w:color w:val="auto"/>
                <w:kern w:val="0"/>
                <w:sz w:val="24"/>
                <w:szCs w:val="24"/>
              </w:rPr>
              <w:t>A</w:t>
            </w:r>
            <w:r>
              <w:rPr>
                <w:rFonts w:hint="eastAsia" w:ascii="Times New Roman" w:hAnsi="Times New Roman" w:eastAsia="宋体" w:cs="Times New Roman"/>
                <w:color w:val="auto"/>
                <w:kern w:val="0"/>
                <w:sz w:val="24"/>
                <w:szCs w:val="24"/>
              </w:rPr>
              <w:t>股股票申请已于</w:t>
            </w:r>
            <w:r>
              <w:rPr>
                <w:rFonts w:ascii="Times New Roman" w:hAnsi="Times New Roman" w:eastAsia="宋体" w:cs="Times New Roman"/>
                <w:color w:val="auto"/>
                <w:kern w:val="0"/>
                <w:sz w:val="24"/>
                <w:szCs w:val="24"/>
              </w:rPr>
              <w:t>2026</w:t>
            </w:r>
            <w:r>
              <w:rPr>
                <w:rFonts w:hint="eastAsia" w:ascii="Times New Roman" w:hAnsi="Times New Roman" w:eastAsia="宋体" w:cs="Times New Roman"/>
                <w:color w:val="auto"/>
                <w:kern w:val="0"/>
                <w:sz w:val="24"/>
                <w:szCs w:val="24"/>
              </w:rPr>
              <w:t>年</w:t>
            </w:r>
            <w:r>
              <w:rPr>
                <w:rFonts w:ascii="Times New Roman" w:hAnsi="Times New Roman" w:eastAsia="宋体" w:cs="Times New Roman"/>
                <w:color w:val="auto"/>
                <w:kern w:val="0"/>
                <w:sz w:val="24"/>
                <w:szCs w:val="24"/>
              </w:rPr>
              <w:t>6</w:t>
            </w:r>
            <w:r>
              <w:rPr>
                <w:rFonts w:hint="eastAsia" w:ascii="Times New Roman" w:hAnsi="Times New Roman" w:eastAsia="宋体" w:cs="Times New Roman"/>
                <w:color w:val="auto"/>
                <w:kern w:val="0"/>
                <w:sz w:val="24"/>
                <w:szCs w:val="24"/>
              </w:rPr>
              <w:t>月获得中国证监会同意注册的批复（证监许可〔</w:t>
            </w:r>
            <w:r>
              <w:rPr>
                <w:rFonts w:ascii="Times New Roman" w:hAnsi="Times New Roman" w:eastAsia="宋体" w:cs="Times New Roman"/>
                <w:color w:val="auto"/>
                <w:kern w:val="0"/>
                <w:sz w:val="24"/>
                <w:szCs w:val="24"/>
              </w:rPr>
              <w:t>2026</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1497</w:t>
            </w:r>
            <w:r>
              <w:rPr>
                <w:rFonts w:hint="eastAsia" w:ascii="Times New Roman" w:hAnsi="Times New Roman" w:eastAsia="宋体" w:cs="Times New Roman"/>
                <w:color w:val="auto"/>
                <w:kern w:val="0"/>
                <w:sz w:val="24"/>
                <w:szCs w:val="24"/>
              </w:rPr>
              <w:t>号</w:t>
            </w:r>
            <w:bookmarkStart w:id="3" w:name="_GoBack"/>
            <w:bookmarkEnd w:id="3"/>
            <w:r>
              <w:rPr>
                <w:rFonts w:hint="eastAsia" w:ascii="Times New Roman" w:hAnsi="Times New Roman" w:eastAsia="宋体" w:cs="Times New Roman"/>
                <w:color w:val="auto"/>
                <w:kern w:val="0"/>
                <w:sz w:val="24"/>
                <w:szCs w:val="24"/>
              </w:rPr>
              <w:t>），批复自同意注册之日起</w:t>
            </w:r>
            <w:r>
              <w:rPr>
                <w:rFonts w:ascii="Times New Roman" w:hAnsi="Times New Roman" w:eastAsia="宋体" w:cs="Times New Roman"/>
                <w:color w:val="auto"/>
                <w:kern w:val="0"/>
                <w:sz w:val="24"/>
                <w:szCs w:val="24"/>
              </w:rPr>
              <w:t>12</w:t>
            </w:r>
            <w:r>
              <w:rPr>
                <w:rFonts w:hint="eastAsia" w:ascii="Times New Roman" w:hAnsi="Times New Roman" w:eastAsia="宋体" w:cs="Times New Roman"/>
                <w:color w:val="auto"/>
                <w:kern w:val="0"/>
                <w:sz w:val="24"/>
                <w:szCs w:val="24"/>
              </w:rPr>
              <w:t>个月内有效。在发行窗口的选择上，公司将综合考虑募投项目建设进度与资金需求、资本市场整体环境与公司股价表现、发行时点对现有股东权益摊薄程度等因素，在批复有效期内审慎评估市场条件，选择有利于全体股东利益的发行窗口，并及时履行信息披露义务。谢谢！</w:t>
            </w:r>
          </w:p>
          <w:p w14:paraId="29DADCFF">
            <w:pPr>
              <w:adjustRightInd w:val="0"/>
              <w:spacing w:before="157" w:beforeLines="50" w:after="157" w:afterLines="50" w:line="360" w:lineRule="auto"/>
              <w:ind w:firstLine="480" w:firstLineChars="200"/>
              <w:jc w:val="both"/>
              <w:rPr>
                <w:rFonts w:ascii="Times New Roman" w:hAnsi="Times New Roman" w:eastAsia="宋体" w:cs="Times New Roman"/>
                <w:color w:val="auto"/>
                <w:kern w:val="0"/>
                <w:sz w:val="24"/>
                <w:szCs w:val="24"/>
              </w:rPr>
            </w:pPr>
          </w:p>
          <w:p w14:paraId="5AC6D7B6">
            <w:pPr>
              <w:pStyle w:val="11"/>
              <w:spacing w:before="157" w:after="157"/>
              <w:ind w:firstLine="480"/>
            </w:pPr>
            <w:r>
              <w:rPr>
                <w:rFonts w:hint="eastAsia"/>
              </w:rPr>
              <w:t>接待过程中，公司与投资者进行了充分的交流与沟通，并严格按照公司《信息披露管理制度》等规定，保证信息披露的真实、准确、完整、及时、公平，没有出现未公开重大信息泄露等情况。</w:t>
            </w:r>
          </w:p>
        </w:tc>
      </w:tr>
      <w:tr w14:paraId="5F99092F">
        <w:tblPrEx>
          <w:tblCellMar>
            <w:top w:w="0" w:type="dxa"/>
            <w:left w:w="108" w:type="dxa"/>
            <w:bottom w:w="41" w:type="dxa"/>
            <w:right w:w="0" w:type="dxa"/>
          </w:tblCellMar>
        </w:tblPrEx>
        <w:trPr>
          <w:trHeight w:val="490"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6D408C3F">
            <w:pPr>
              <w:snapToGrid w:val="0"/>
              <w:spacing w:after="0" w:line="360" w:lineRule="auto"/>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附件清单</w:t>
            </w:r>
          </w:p>
          <w:p w14:paraId="605136FC">
            <w:pPr>
              <w:snapToGrid w:val="0"/>
              <w:spacing w:after="0" w:line="360" w:lineRule="auto"/>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（如有）</w:t>
            </w:r>
          </w:p>
        </w:tc>
        <w:tc>
          <w:tcPr>
            <w:tcW w:w="8273" w:type="dxa"/>
            <w:tcBorders>
              <w:top w:val="single" w:color="000000" w:sz="4" w:space="0"/>
              <w:left w:val="single" w:color="000000" w:sz="4" w:space="0"/>
              <w:bottom w:val="single" w:color="000000" w:sz="4" w:space="0"/>
              <w:right w:val="single" w:color="000000" w:sz="4" w:space="0"/>
            </w:tcBorders>
            <w:vAlign w:val="center"/>
          </w:tcPr>
          <w:p w14:paraId="26B7432E">
            <w:pPr>
              <w:snapToGrid w:val="0"/>
              <w:spacing w:after="0"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14:paraId="0C081DE7">
        <w:tblPrEx>
          <w:tblCellMar>
            <w:top w:w="0" w:type="dxa"/>
            <w:left w:w="108" w:type="dxa"/>
            <w:bottom w:w="41" w:type="dxa"/>
            <w:right w:w="0" w:type="dxa"/>
          </w:tblCellMar>
        </w:tblPrEx>
        <w:trPr>
          <w:trHeight w:val="490"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0D02493D">
            <w:pPr>
              <w:snapToGrid w:val="0"/>
              <w:spacing w:after="0" w:line="360" w:lineRule="auto"/>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关于本次活动是否涉及应当披露重大信息的说明</w:t>
            </w:r>
          </w:p>
        </w:tc>
        <w:tc>
          <w:tcPr>
            <w:tcW w:w="8273" w:type="dxa"/>
            <w:tcBorders>
              <w:top w:val="single" w:color="000000" w:sz="4" w:space="0"/>
              <w:left w:val="single" w:color="000000" w:sz="4" w:space="0"/>
              <w:bottom w:val="single" w:color="000000" w:sz="4" w:space="0"/>
              <w:right w:val="single" w:color="000000" w:sz="4" w:space="0"/>
            </w:tcBorders>
            <w:vAlign w:val="center"/>
          </w:tcPr>
          <w:p w14:paraId="2BC0519F">
            <w:pPr>
              <w:snapToGrid w:val="0"/>
              <w:spacing w:after="0"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否</w:t>
            </w:r>
          </w:p>
        </w:tc>
      </w:tr>
    </w:tbl>
    <w:p w14:paraId="2E6FD1EE">
      <w:pPr>
        <w:spacing w:after="0" w:line="240" w:lineRule="auto"/>
        <w:rPr>
          <w:rFonts w:ascii="Times New Roman" w:hAnsi="Times New Roman" w:eastAsia="宋体" w:cs="Times New Roman"/>
          <w:color w:val="auto"/>
          <w:sz w:val="24"/>
          <w:szCs w:val="24"/>
        </w:rPr>
      </w:pPr>
    </w:p>
    <w:p w14:paraId="140AEC1F">
      <w:pPr>
        <w:rPr>
          <w:rFonts w:ascii="Times New Roman" w:hAnsi="Times New Roman" w:eastAsia="宋体" w:cs="Times New Roman"/>
          <w:color w:val="auto"/>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335AC"/>
    <w:rsid w:val="000601F7"/>
    <w:rsid w:val="00093451"/>
    <w:rsid w:val="000C2ED1"/>
    <w:rsid w:val="000F1FAA"/>
    <w:rsid w:val="000F765F"/>
    <w:rsid w:val="0017180F"/>
    <w:rsid w:val="0027770F"/>
    <w:rsid w:val="002B7789"/>
    <w:rsid w:val="00301D1E"/>
    <w:rsid w:val="00335179"/>
    <w:rsid w:val="00336D85"/>
    <w:rsid w:val="00342CC3"/>
    <w:rsid w:val="00355830"/>
    <w:rsid w:val="003731E8"/>
    <w:rsid w:val="003860C9"/>
    <w:rsid w:val="003B0A9F"/>
    <w:rsid w:val="003B501E"/>
    <w:rsid w:val="004A7020"/>
    <w:rsid w:val="005B3E17"/>
    <w:rsid w:val="006140D1"/>
    <w:rsid w:val="0066460A"/>
    <w:rsid w:val="006A2FD1"/>
    <w:rsid w:val="006A3910"/>
    <w:rsid w:val="007309B5"/>
    <w:rsid w:val="00740F11"/>
    <w:rsid w:val="007B75CF"/>
    <w:rsid w:val="007C0969"/>
    <w:rsid w:val="007F3559"/>
    <w:rsid w:val="00815E7D"/>
    <w:rsid w:val="00826DAF"/>
    <w:rsid w:val="008D3F4B"/>
    <w:rsid w:val="00957341"/>
    <w:rsid w:val="009C1C2C"/>
    <w:rsid w:val="00A6107A"/>
    <w:rsid w:val="00A76CC0"/>
    <w:rsid w:val="00AD32F6"/>
    <w:rsid w:val="00B35A3C"/>
    <w:rsid w:val="00B60236"/>
    <w:rsid w:val="00B735C2"/>
    <w:rsid w:val="00B75BE3"/>
    <w:rsid w:val="00BA6DF1"/>
    <w:rsid w:val="00BC1CE2"/>
    <w:rsid w:val="00C938C5"/>
    <w:rsid w:val="00CA6708"/>
    <w:rsid w:val="00DD017C"/>
    <w:rsid w:val="00DD7610"/>
    <w:rsid w:val="00DE6D6F"/>
    <w:rsid w:val="00DF413E"/>
    <w:rsid w:val="00E21F9F"/>
    <w:rsid w:val="00E264F5"/>
    <w:rsid w:val="00E2791E"/>
    <w:rsid w:val="00EA3C73"/>
    <w:rsid w:val="00EA55D2"/>
    <w:rsid w:val="00F4262A"/>
    <w:rsid w:val="00F70717"/>
    <w:rsid w:val="00FA0061"/>
    <w:rsid w:val="00FA2242"/>
    <w:rsid w:val="00FE3745"/>
    <w:rsid w:val="01066CF1"/>
    <w:rsid w:val="011F0D79"/>
    <w:rsid w:val="012703A8"/>
    <w:rsid w:val="0233227E"/>
    <w:rsid w:val="024130AA"/>
    <w:rsid w:val="026E7310"/>
    <w:rsid w:val="029C5243"/>
    <w:rsid w:val="030542CC"/>
    <w:rsid w:val="03865D61"/>
    <w:rsid w:val="03FB759E"/>
    <w:rsid w:val="041A1181"/>
    <w:rsid w:val="041D4A08"/>
    <w:rsid w:val="042669A9"/>
    <w:rsid w:val="0430385D"/>
    <w:rsid w:val="0499131F"/>
    <w:rsid w:val="04DC3197"/>
    <w:rsid w:val="04E3041C"/>
    <w:rsid w:val="057E7188"/>
    <w:rsid w:val="06C97AF2"/>
    <w:rsid w:val="072F5A7C"/>
    <w:rsid w:val="07E6283A"/>
    <w:rsid w:val="081E5222"/>
    <w:rsid w:val="08343302"/>
    <w:rsid w:val="084C733D"/>
    <w:rsid w:val="09707AE4"/>
    <w:rsid w:val="09A53DE1"/>
    <w:rsid w:val="09CD6497"/>
    <w:rsid w:val="09D9098B"/>
    <w:rsid w:val="09F8474E"/>
    <w:rsid w:val="0A8849C7"/>
    <w:rsid w:val="0AA33E40"/>
    <w:rsid w:val="0B9B3F7C"/>
    <w:rsid w:val="0C18218B"/>
    <w:rsid w:val="0C2061D8"/>
    <w:rsid w:val="0C4309BE"/>
    <w:rsid w:val="0CEB50C4"/>
    <w:rsid w:val="0DD376FE"/>
    <w:rsid w:val="0E2C5BF6"/>
    <w:rsid w:val="0E6E76D7"/>
    <w:rsid w:val="0E8C3C3D"/>
    <w:rsid w:val="0EAC28ED"/>
    <w:rsid w:val="0F520DAF"/>
    <w:rsid w:val="0F540F96"/>
    <w:rsid w:val="10375F20"/>
    <w:rsid w:val="10F80A71"/>
    <w:rsid w:val="11185D56"/>
    <w:rsid w:val="1144124A"/>
    <w:rsid w:val="1174193E"/>
    <w:rsid w:val="11C721A6"/>
    <w:rsid w:val="11FC0A9E"/>
    <w:rsid w:val="14241B9A"/>
    <w:rsid w:val="146535ED"/>
    <w:rsid w:val="149E6672"/>
    <w:rsid w:val="14D822CA"/>
    <w:rsid w:val="150E0A8B"/>
    <w:rsid w:val="15705313"/>
    <w:rsid w:val="158135E0"/>
    <w:rsid w:val="159B5230"/>
    <w:rsid w:val="16104EEE"/>
    <w:rsid w:val="17956BF0"/>
    <w:rsid w:val="17D707BB"/>
    <w:rsid w:val="17D7471F"/>
    <w:rsid w:val="18183C22"/>
    <w:rsid w:val="184250CD"/>
    <w:rsid w:val="1AB71F62"/>
    <w:rsid w:val="1AEA562A"/>
    <w:rsid w:val="1AEC2EC5"/>
    <w:rsid w:val="1AFB062D"/>
    <w:rsid w:val="1B844B97"/>
    <w:rsid w:val="1C5D6ACB"/>
    <w:rsid w:val="1C7C44C8"/>
    <w:rsid w:val="1CC84742"/>
    <w:rsid w:val="1CF12F01"/>
    <w:rsid w:val="1D6262C5"/>
    <w:rsid w:val="1D6D63C0"/>
    <w:rsid w:val="1E97685C"/>
    <w:rsid w:val="1EE64E15"/>
    <w:rsid w:val="1F2743CF"/>
    <w:rsid w:val="1F661732"/>
    <w:rsid w:val="1F952378"/>
    <w:rsid w:val="206B5486"/>
    <w:rsid w:val="21317A54"/>
    <w:rsid w:val="21665CE4"/>
    <w:rsid w:val="217F2D13"/>
    <w:rsid w:val="227D2354"/>
    <w:rsid w:val="23936E76"/>
    <w:rsid w:val="23CF5A02"/>
    <w:rsid w:val="23D62F91"/>
    <w:rsid w:val="24DD1BD2"/>
    <w:rsid w:val="253F367A"/>
    <w:rsid w:val="25513673"/>
    <w:rsid w:val="25771570"/>
    <w:rsid w:val="265D3F12"/>
    <w:rsid w:val="266928B5"/>
    <w:rsid w:val="26B83C0C"/>
    <w:rsid w:val="27972220"/>
    <w:rsid w:val="27D32975"/>
    <w:rsid w:val="27DF5621"/>
    <w:rsid w:val="27EB28F0"/>
    <w:rsid w:val="287B75A1"/>
    <w:rsid w:val="28FF1ACB"/>
    <w:rsid w:val="29033F26"/>
    <w:rsid w:val="29463AA1"/>
    <w:rsid w:val="29866CBC"/>
    <w:rsid w:val="2A647738"/>
    <w:rsid w:val="2A6F56E0"/>
    <w:rsid w:val="2A813AFC"/>
    <w:rsid w:val="2AAE2D3E"/>
    <w:rsid w:val="2AD8510E"/>
    <w:rsid w:val="2ADA7101"/>
    <w:rsid w:val="2AE40466"/>
    <w:rsid w:val="2C2954E2"/>
    <w:rsid w:val="2C4F099F"/>
    <w:rsid w:val="2C60344C"/>
    <w:rsid w:val="2C820306"/>
    <w:rsid w:val="2D2A7FAF"/>
    <w:rsid w:val="2DB84E18"/>
    <w:rsid w:val="2DCA51E8"/>
    <w:rsid w:val="2DD57492"/>
    <w:rsid w:val="2EBB414E"/>
    <w:rsid w:val="2EC62B6C"/>
    <w:rsid w:val="2F540A14"/>
    <w:rsid w:val="2FE632E3"/>
    <w:rsid w:val="2FEC69C7"/>
    <w:rsid w:val="301445E3"/>
    <w:rsid w:val="306C6537"/>
    <w:rsid w:val="3076434A"/>
    <w:rsid w:val="30F07958"/>
    <w:rsid w:val="3178298F"/>
    <w:rsid w:val="31B37CBD"/>
    <w:rsid w:val="31DE3DF8"/>
    <w:rsid w:val="327C7A79"/>
    <w:rsid w:val="329C3BC5"/>
    <w:rsid w:val="32E12FEC"/>
    <w:rsid w:val="333568AC"/>
    <w:rsid w:val="33AD49BA"/>
    <w:rsid w:val="33FE3CF0"/>
    <w:rsid w:val="346E513C"/>
    <w:rsid w:val="34A47C1E"/>
    <w:rsid w:val="35522A38"/>
    <w:rsid w:val="3569688F"/>
    <w:rsid w:val="356C0D1E"/>
    <w:rsid w:val="35F04275"/>
    <w:rsid w:val="35F665D1"/>
    <w:rsid w:val="36247FF7"/>
    <w:rsid w:val="36393B78"/>
    <w:rsid w:val="3675760F"/>
    <w:rsid w:val="36FB48CB"/>
    <w:rsid w:val="37024A89"/>
    <w:rsid w:val="370B1F63"/>
    <w:rsid w:val="37AA0BC4"/>
    <w:rsid w:val="37AF6160"/>
    <w:rsid w:val="37BF3F44"/>
    <w:rsid w:val="37DF49D8"/>
    <w:rsid w:val="382648D7"/>
    <w:rsid w:val="393D75C5"/>
    <w:rsid w:val="394C3C53"/>
    <w:rsid w:val="39A54766"/>
    <w:rsid w:val="39FF1695"/>
    <w:rsid w:val="3A200597"/>
    <w:rsid w:val="3A507936"/>
    <w:rsid w:val="3A9115B0"/>
    <w:rsid w:val="3AEA3A3A"/>
    <w:rsid w:val="3B5B6996"/>
    <w:rsid w:val="3B712B25"/>
    <w:rsid w:val="3BD50875"/>
    <w:rsid w:val="3C0830CF"/>
    <w:rsid w:val="3C5B2416"/>
    <w:rsid w:val="3C8D22AA"/>
    <w:rsid w:val="3CC04F6F"/>
    <w:rsid w:val="3CCA2441"/>
    <w:rsid w:val="3D0439E8"/>
    <w:rsid w:val="3DBA777D"/>
    <w:rsid w:val="3DDC4471"/>
    <w:rsid w:val="3DF82AC0"/>
    <w:rsid w:val="3E4D14F9"/>
    <w:rsid w:val="3EC97183"/>
    <w:rsid w:val="3EEE2FD9"/>
    <w:rsid w:val="3F012BE0"/>
    <w:rsid w:val="40014A76"/>
    <w:rsid w:val="402C2B70"/>
    <w:rsid w:val="40514DFE"/>
    <w:rsid w:val="40761CDF"/>
    <w:rsid w:val="40A3608C"/>
    <w:rsid w:val="40CB7D6D"/>
    <w:rsid w:val="40E77269"/>
    <w:rsid w:val="410A01BE"/>
    <w:rsid w:val="418A3613"/>
    <w:rsid w:val="41D722C6"/>
    <w:rsid w:val="41EA3956"/>
    <w:rsid w:val="42F33444"/>
    <w:rsid w:val="43337CCD"/>
    <w:rsid w:val="43613665"/>
    <w:rsid w:val="43A842E8"/>
    <w:rsid w:val="43CA39F6"/>
    <w:rsid w:val="43CE7DE2"/>
    <w:rsid w:val="44401874"/>
    <w:rsid w:val="45447BC4"/>
    <w:rsid w:val="459D38BC"/>
    <w:rsid w:val="46133503"/>
    <w:rsid w:val="4639005F"/>
    <w:rsid w:val="464A0896"/>
    <w:rsid w:val="465D55FB"/>
    <w:rsid w:val="46F33E76"/>
    <w:rsid w:val="47C91F9D"/>
    <w:rsid w:val="47D325B9"/>
    <w:rsid w:val="48057CBF"/>
    <w:rsid w:val="48E87614"/>
    <w:rsid w:val="48EA5AB2"/>
    <w:rsid w:val="49B67D2E"/>
    <w:rsid w:val="49B753AE"/>
    <w:rsid w:val="49C66F3C"/>
    <w:rsid w:val="4AD900CE"/>
    <w:rsid w:val="4AF02992"/>
    <w:rsid w:val="4B5F1820"/>
    <w:rsid w:val="4BA06570"/>
    <w:rsid w:val="4BE003B8"/>
    <w:rsid w:val="4BE92D5E"/>
    <w:rsid w:val="4C320A87"/>
    <w:rsid w:val="4CB25097"/>
    <w:rsid w:val="4D2C61FA"/>
    <w:rsid w:val="4D397C67"/>
    <w:rsid w:val="4D4F6594"/>
    <w:rsid w:val="4D710AD3"/>
    <w:rsid w:val="4DB2599E"/>
    <w:rsid w:val="4DB973A7"/>
    <w:rsid w:val="4DCC18E0"/>
    <w:rsid w:val="4DCC790F"/>
    <w:rsid w:val="4DE30212"/>
    <w:rsid w:val="4E1512D1"/>
    <w:rsid w:val="4E2127A7"/>
    <w:rsid w:val="4F0444E3"/>
    <w:rsid w:val="4F2D704D"/>
    <w:rsid w:val="4FB40962"/>
    <w:rsid w:val="4FCA6D8C"/>
    <w:rsid w:val="4FFA7BD9"/>
    <w:rsid w:val="502A15DC"/>
    <w:rsid w:val="502E263D"/>
    <w:rsid w:val="505F0C44"/>
    <w:rsid w:val="51545B83"/>
    <w:rsid w:val="51615A21"/>
    <w:rsid w:val="519F58A7"/>
    <w:rsid w:val="525A6835"/>
    <w:rsid w:val="53395C68"/>
    <w:rsid w:val="53BA71C0"/>
    <w:rsid w:val="53CA127E"/>
    <w:rsid w:val="53F32192"/>
    <w:rsid w:val="54396988"/>
    <w:rsid w:val="548813D5"/>
    <w:rsid w:val="54887C4C"/>
    <w:rsid w:val="54BA5E93"/>
    <w:rsid w:val="54D8403E"/>
    <w:rsid w:val="559D000D"/>
    <w:rsid w:val="55E74402"/>
    <w:rsid w:val="564A022C"/>
    <w:rsid w:val="56534912"/>
    <w:rsid w:val="567A333D"/>
    <w:rsid w:val="567F50EF"/>
    <w:rsid w:val="56D42CBF"/>
    <w:rsid w:val="57DF165E"/>
    <w:rsid w:val="58103D5B"/>
    <w:rsid w:val="58AA2051"/>
    <w:rsid w:val="58CE0A3D"/>
    <w:rsid w:val="58CE52F4"/>
    <w:rsid w:val="59B35666"/>
    <w:rsid w:val="5A94179A"/>
    <w:rsid w:val="5ADE59A5"/>
    <w:rsid w:val="5B2E299C"/>
    <w:rsid w:val="5B3000C6"/>
    <w:rsid w:val="5B9C1DBC"/>
    <w:rsid w:val="5BDC5206"/>
    <w:rsid w:val="5C1E09D1"/>
    <w:rsid w:val="5C4A7CDF"/>
    <w:rsid w:val="5C7015C2"/>
    <w:rsid w:val="5CA53960"/>
    <w:rsid w:val="5CBA27D2"/>
    <w:rsid w:val="5D343254"/>
    <w:rsid w:val="5E0E0610"/>
    <w:rsid w:val="5E5216E5"/>
    <w:rsid w:val="5F4A1F84"/>
    <w:rsid w:val="5F4E5DA6"/>
    <w:rsid w:val="5F6A07D3"/>
    <w:rsid w:val="5FED4E95"/>
    <w:rsid w:val="603D75A0"/>
    <w:rsid w:val="60833368"/>
    <w:rsid w:val="60E336CF"/>
    <w:rsid w:val="6109272D"/>
    <w:rsid w:val="616B2B43"/>
    <w:rsid w:val="61BF2E1D"/>
    <w:rsid w:val="620315EC"/>
    <w:rsid w:val="623C597F"/>
    <w:rsid w:val="62BD0A8F"/>
    <w:rsid w:val="633228A3"/>
    <w:rsid w:val="63365DE8"/>
    <w:rsid w:val="6398141E"/>
    <w:rsid w:val="63AC7B46"/>
    <w:rsid w:val="63BF1DE3"/>
    <w:rsid w:val="644302A1"/>
    <w:rsid w:val="645544B5"/>
    <w:rsid w:val="64CB7D7C"/>
    <w:rsid w:val="6529355A"/>
    <w:rsid w:val="652C0618"/>
    <w:rsid w:val="65C6043F"/>
    <w:rsid w:val="65E80DD6"/>
    <w:rsid w:val="66450F57"/>
    <w:rsid w:val="669D1564"/>
    <w:rsid w:val="66B604BF"/>
    <w:rsid w:val="66DD74B8"/>
    <w:rsid w:val="675714CD"/>
    <w:rsid w:val="67F14E28"/>
    <w:rsid w:val="689B610C"/>
    <w:rsid w:val="68A578BE"/>
    <w:rsid w:val="68E16784"/>
    <w:rsid w:val="68F4655C"/>
    <w:rsid w:val="6A123028"/>
    <w:rsid w:val="6A6024EC"/>
    <w:rsid w:val="6A760920"/>
    <w:rsid w:val="6A927CFA"/>
    <w:rsid w:val="6A9F37DE"/>
    <w:rsid w:val="6AF63857"/>
    <w:rsid w:val="6B0335AC"/>
    <w:rsid w:val="6B2D36AA"/>
    <w:rsid w:val="6BCE424F"/>
    <w:rsid w:val="6C1647CB"/>
    <w:rsid w:val="6CC222BB"/>
    <w:rsid w:val="6CDB5229"/>
    <w:rsid w:val="6D8E4799"/>
    <w:rsid w:val="6DCC5351"/>
    <w:rsid w:val="6E0204B3"/>
    <w:rsid w:val="6E2012BC"/>
    <w:rsid w:val="6F08773A"/>
    <w:rsid w:val="6F570DF8"/>
    <w:rsid w:val="6FD33D27"/>
    <w:rsid w:val="703868F1"/>
    <w:rsid w:val="707D4F2B"/>
    <w:rsid w:val="715F5385"/>
    <w:rsid w:val="72F154CF"/>
    <w:rsid w:val="72FE75FA"/>
    <w:rsid w:val="732F6511"/>
    <w:rsid w:val="73AB0B86"/>
    <w:rsid w:val="73E34932"/>
    <w:rsid w:val="740B40FE"/>
    <w:rsid w:val="753D40C1"/>
    <w:rsid w:val="75743ECE"/>
    <w:rsid w:val="759F07FA"/>
    <w:rsid w:val="75AA739A"/>
    <w:rsid w:val="760D2486"/>
    <w:rsid w:val="767311F9"/>
    <w:rsid w:val="76756264"/>
    <w:rsid w:val="76EF4BBD"/>
    <w:rsid w:val="773D1729"/>
    <w:rsid w:val="779C2C5A"/>
    <w:rsid w:val="77D94C85"/>
    <w:rsid w:val="78C33281"/>
    <w:rsid w:val="792644E2"/>
    <w:rsid w:val="79CB287F"/>
    <w:rsid w:val="79D1696F"/>
    <w:rsid w:val="7A152C58"/>
    <w:rsid w:val="7A575C25"/>
    <w:rsid w:val="7A8848C7"/>
    <w:rsid w:val="7AC44D61"/>
    <w:rsid w:val="7B582CA7"/>
    <w:rsid w:val="7B901EB1"/>
    <w:rsid w:val="7BA81B94"/>
    <w:rsid w:val="7BAA7513"/>
    <w:rsid w:val="7C813AFF"/>
    <w:rsid w:val="7C943F2C"/>
    <w:rsid w:val="7CBE5920"/>
    <w:rsid w:val="7CCF17A6"/>
    <w:rsid w:val="7D0A5EF7"/>
    <w:rsid w:val="7E047325"/>
    <w:rsid w:val="7E061C5C"/>
    <w:rsid w:val="7E7D4592"/>
    <w:rsid w:val="7EB43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Calibri" w:hAnsi="Calibri" w:eastAsia="Calibri" w:cs="Calibri"/>
      <w:color w:val="000000"/>
      <w:kern w:val="2"/>
      <w:sz w:val="22"/>
      <w:szCs w:val="22"/>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Balloon Text"/>
    <w:basedOn w:val="1"/>
    <w:link w:val="12"/>
    <w:qFormat/>
    <w:uiPriority w:val="0"/>
    <w:pPr>
      <w:spacing w:after="0" w:line="240" w:lineRule="auto"/>
    </w:pPr>
    <w:rPr>
      <w:sz w:val="18"/>
      <w:szCs w:val="18"/>
    </w:rPr>
  </w:style>
  <w:style w:type="character" w:styleId="7">
    <w:name w:val="annotation reference"/>
    <w:basedOn w:val="6"/>
    <w:qFormat/>
    <w:uiPriority w:val="0"/>
    <w:rPr>
      <w:sz w:val="21"/>
      <w:szCs w:val="21"/>
    </w:rPr>
  </w:style>
  <w:style w:type="table" w:customStyle="1" w:styleId="8">
    <w:name w:val="TableGrid"/>
    <w:qFormat/>
    <w:uiPriority w:val="0"/>
    <w:tblPr>
      <w:tblCellMar>
        <w:top w:w="0" w:type="dxa"/>
        <w:left w:w="0" w:type="dxa"/>
        <w:bottom w:w="0" w:type="dxa"/>
        <w:right w:w="0" w:type="dxa"/>
      </w:tblCellMar>
    </w:tblPr>
  </w:style>
  <w:style w:type="paragraph" w:customStyle="1" w:styleId="9">
    <w:name w:val="005正文"/>
    <w:basedOn w:val="1"/>
    <w:qFormat/>
    <w:uiPriority w:val="0"/>
    <w:pPr>
      <w:widowControl w:val="0"/>
      <w:spacing w:before="50" w:beforeLines="50" w:after="0" w:line="360" w:lineRule="auto"/>
      <w:ind w:firstLine="200" w:firstLineChars="200"/>
      <w:jc w:val="both"/>
    </w:pPr>
    <w:rPr>
      <w:rFonts w:ascii="Times New Roman" w:hAnsi="Times New Roman" w:eastAsia="宋体" w:cs="Times New Roman"/>
      <w:color w:val="auto"/>
      <w:sz w:val="24"/>
    </w:rPr>
  </w:style>
  <w:style w:type="paragraph" w:styleId="10">
    <w:name w:val="List Paragraph"/>
    <w:basedOn w:val="1"/>
    <w:qFormat/>
    <w:uiPriority w:val="34"/>
    <w:pPr>
      <w:ind w:firstLine="420" w:firstLineChars="200"/>
    </w:pPr>
  </w:style>
  <w:style w:type="paragraph" w:customStyle="1" w:styleId="11">
    <w:name w:val="zhengwen"/>
    <w:qFormat/>
    <w:uiPriority w:val="99"/>
    <w:pPr>
      <w:adjustRightInd w:val="0"/>
      <w:snapToGrid w:val="0"/>
      <w:spacing w:before="50" w:beforeLines="50" w:after="50" w:afterLines="50"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12">
    <w:name w:val="批注框文本 字符"/>
    <w:basedOn w:val="6"/>
    <w:link w:val="4"/>
    <w:qFormat/>
    <w:uiPriority w:val="0"/>
    <w:rPr>
      <w:rFonts w:ascii="Calibri" w:hAnsi="Calibri" w:eastAsia="Calibri" w:cs="Calibri"/>
      <w:color w:val="000000"/>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295</Words>
  <Characters>1682</Characters>
  <Lines>14</Lines>
  <Paragraphs>3</Paragraphs>
  <TotalTime>3</TotalTime>
  <ScaleCrop>false</ScaleCrop>
  <LinksUpToDate>false</LinksUpToDate>
  <CharactersWithSpaces>1974</CharactersWithSpaces>
  <Application>WPS Office_12.8.2.19315_F1E327BC-269C-435d-A152-05C5408002CA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2026-10-26T10:03:00Z</dcterms:created>
  <dc:creator>caihaoxin</dc:creator>
  <cp:lastModifiedBy>caihaoxin</cp:lastModifiedBy>
  <dcterms:modified xsi:type="dcterms:W3CDTF">2026-10-27T05:50:20Z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2052-12.8.2.19315</vt:lpwstr>
  </property>
  <property fmtid="{D5CDD505-2E9C-101B-9397-08002B2CF9AE}" pid="3" name="ICV">
    <vt:lpwstr>181DAB6004634F059E01CF4EBF728B3D_13</vt:lpwstr>
  </property>
</Properties>
</file>