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42278">
      <w:pPr>
        <w:spacing w:before="156" w:beforeLines="50" w:after="156" w:afterLines="50" w:line="400" w:lineRule="exact"/>
        <w:rPr>
          <w:rFonts w:eastAsiaTheme="minorEastAsia"/>
          <w:bCs/>
          <w:iCs/>
          <w:sz w:val="24"/>
        </w:rPr>
      </w:pPr>
      <w:r>
        <w:rPr>
          <w:rFonts w:hint="eastAsia" w:eastAsiaTheme="minorEastAsia"/>
          <w:bCs/>
          <w:iCs/>
          <w:sz w:val="24"/>
        </w:rPr>
        <w:t>证券代码：688139</w:t>
      </w:r>
      <w:r>
        <w:rPr>
          <w:rFonts w:eastAsiaTheme="minorEastAsia"/>
          <w:bCs/>
          <w:iCs/>
          <w:sz w:val="24"/>
        </w:rPr>
        <w:t xml:space="preserve">                                 </w:t>
      </w:r>
      <w:r>
        <w:rPr>
          <w:rFonts w:hint="eastAsia" w:eastAsiaTheme="minorEastAsia"/>
          <w:bCs/>
          <w:iCs/>
          <w:sz w:val="24"/>
        </w:rPr>
        <w:t xml:space="preserve">   证券简称：海尔生物</w:t>
      </w:r>
    </w:p>
    <w:p w14:paraId="6EBB0698">
      <w:pPr>
        <w:spacing w:before="156" w:beforeLines="50" w:after="156" w:afterLines="50" w:line="400" w:lineRule="exact"/>
        <w:jc w:val="center"/>
        <w:rPr>
          <w:rFonts w:eastAsiaTheme="minorEastAsia"/>
          <w:b/>
          <w:bCs/>
          <w:iCs/>
          <w:sz w:val="30"/>
          <w:szCs w:val="30"/>
        </w:rPr>
      </w:pPr>
      <w:r>
        <w:rPr>
          <w:rFonts w:hint="eastAsia" w:eastAsiaTheme="minorEastAsia"/>
          <w:b/>
          <w:bCs/>
          <w:iCs/>
          <w:sz w:val="30"/>
          <w:szCs w:val="30"/>
        </w:rPr>
        <w:t>青岛海尔生物医疗股份有限公司</w:t>
      </w:r>
    </w:p>
    <w:p w14:paraId="17F8ED7B">
      <w:pPr>
        <w:spacing w:before="156" w:beforeLines="50" w:after="156" w:afterLines="50" w:line="400" w:lineRule="exact"/>
        <w:jc w:val="center"/>
        <w:rPr>
          <w:rFonts w:eastAsiaTheme="minorEastAsia"/>
          <w:b/>
          <w:bCs/>
          <w:iCs/>
          <w:sz w:val="30"/>
          <w:szCs w:val="30"/>
        </w:rPr>
      </w:pPr>
      <w:r>
        <w:rPr>
          <w:rFonts w:hint="eastAsia" w:eastAsiaTheme="minorEastAsia"/>
          <w:b/>
          <w:bCs/>
          <w:iCs/>
          <w:sz w:val="30"/>
          <w:szCs w:val="30"/>
        </w:rPr>
        <w:t>投资者关系活动记录表</w:t>
      </w:r>
    </w:p>
    <w:p w14:paraId="43BB4FB1">
      <w:pPr>
        <w:spacing w:line="400" w:lineRule="exact"/>
        <w:rPr>
          <w:rFonts w:eastAsiaTheme="minorEastAsia"/>
          <w:bCs/>
          <w:iCs/>
          <w:sz w:val="24"/>
          <w:szCs w:val="24"/>
        </w:rPr>
      </w:pPr>
      <w:r>
        <w:rPr>
          <w:rFonts w:eastAsiaTheme="minorEastAsia"/>
          <w:bCs/>
          <w:iCs/>
          <w:sz w:val="24"/>
          <w:szCs w:val="24"/>
        </w:rPr>
        <w:t xml:space="preserve">                                                    </w:t>
      </w:r>
      <w:r>
        <w:rPr>
          <w:rFonts w:hint="eastAsia" w:eastAsiaTheme="minorEastAsia"/>
          <w:bCs/>
          <w:iCs/>
          <w:sz w:val="24"/>
          <w:szCs w:val="24"/>
        </w:rPr>
        <w:t xml:space="preserve">  </w:t>
      </w:r>
      <w:r>
        <w:rPr>
          <w:rFonts w:eastAsiaTheme="minorEastAsia"/>
          <w:bCs/>
          <w:iCs/>
          <w:sz w:val="24"/>
          <w:szCs w:val="24"/>
        </w:rPr>
        <w:t xml:space="preserve">  </w:t>
      </w:r>
      <w:r>
        <w:rPr>
          <w:rFonts w:hint="eastAsia" w:eastAsiaTheme="minorEastAsia"/>
          <w:bCs/>
          <w:iCs/>
          <w:sz w:val="24"/>
          <w:szCs w:val="24"/>
        </w:rPr>
        <w:t>编号：</w:t>
      </w:r>
      <w:r>
        <w:rPr>
          <w:rFonts w:eastAsiaTheme="minorEastAsia"/>
          <w:bCs/>
          <w:iCs/>
          <w:sz w:val="24"/>
          <w:szCs w:val="24"/>
        </w:rPr>
        <w:t>2026-0</w:t>
      </w:r>
      <w:r>
        <w:rPr>
          <w:rFonts w:hint="eastAsia" w:eastAsiaTheme="minorEastAsia"/>
          <w:bCs/>
          <w:iCs/>
          <w:sz w:val="24"/>
          <w:szCs w:val="24"/>
        </w:rPr>
        <w:t>1</w:t>
      </w:r>
      <w:r>
        <w:rPr>
          <w:rFonts w:eastAsiaTheme="minorEastAsia"/>
          <w:bCs/>
          <w:iCs/>
          <w:sz w:val="24"/>
          <w:szCs w:val="24"/>
        </w:rPr>
        <w:t>6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614"/>
      </w:tblGrid>
      <w:tr w14:paraId="1C648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ED0223">
            <w:pPr>
              <w:spacing w:line="360" w:lineRule="auto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hint="eastAsia" w:eastAsiaTheme="minorEastAsia"/>
                <w:b/>
                <w:bCs/>
                <w:iCs/>
                <w:sz w:val="24"/>
                <w:szCs w:val="24"/>
              </w:rPr>
              <w:t>投资者关系活动类别</w:t>
            </w:r>
          </w:p>
          <w:p w14:paraId="36779B1C">
            <w:pPr>
              <w:spacing w:line="360" w:lineRule="auto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8642F6">
            <w:pPr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hint="eastAsia" w:eastAsiaTheme="minorEastAsia"/>
                <w:sz w:val="24"/>
                <w:szCs w:val="24"/>
              </w:rPr>
              <w:t xml:space="preserve">√特定对象调研  </w:t>
            </w:r>
            <w:r>
              <w:rPr>
                <w:rFonts w:eastAsiaTheme="minorEastAsia"/>
                <w:sz w:val="24"/>
                <w:szCs w:val="24"/>
              </w:rPr>
              <w:t xml:space="preserve"> </w:t>
            </w:r>
            <w:r>
              <w:rPr>
                <w:rFonts w:hint="eastAsia" w:eastAsiaTheme="minorEastAsia"/>
                <w:sz w:val="24"/>
                <w:szCs w:val="24"/>
              </w:rPr>
              <w:t xml:space="preserve">     </w:t>
            </w:r>
            <w:r>
              <w:rPr>
                <w:rFonts w:hint="eastAsia" w:eastAsiaTheme="minorEastAsia"/>
                <w:bCs/>
                <w:iCs/>
                <w:sz w:val="24"/>
                <w:szCs w:val="24"/>
              </w:rPr>
              <w:t>□</w:t>
            </w:r>
            <w:r>
              <w:rPr>
                <w:rFonts w:hint="eastAsia" w:eastAsiaTheme="minorEastAsia"/>
                <w:sz w:val="24"/>
                <w:szCs w:val="24"/>
              </w:rPr>
              <w:t>分析师会议</w:t>
            </w:r>
          </w:p>
          <w:p w14:paraId="2AC39D47">
            <w:pPr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hint="eastAsia" w:eastAsiaTheme="minorEastAsia"/>
                <w:bCs/>
                <w:iCs/>
                <w:sz w:val="24"/>
                <w:szCs w:val="24"/>
              </w:rPr>
              <w:t>□</w:t>
            </w:r>
            <w:r>
              <w:rPr>
                <w:rFonts w:hint="eastAsia" w:eastAsiaTheme="minorEastAsia"/>
                <w:sz w:val="24"/>
                <w:szCs w:val="24"/>
              </w:rPr>
              <w:t xml:space="preserve">媒体采访            </w:t>
            </w:r>
            <w:r>
              <w:rPr>
                <w:rFonts w:hint="eastAsia" w:eastAsiaTheme="minorEastAsia"/>
                <w:bCs/>
                <w:iCs/>
                <w:sz w:val="24"/>
                <w:szCs w:val="24"/>
              </w:rPr>
              <w:t>□</w:t>
            </w:r>
            <w:r>
              <w:rPr>
                <w:rFonts w:hint="eastAsia" w:eastAsiaTheme="minorEastAsia"/>
                <w:sz w:val="24"/>
                <w:szCs w:val="24"/>
              </w:rPr>
              <w:t>业绩说明会</w:t>
            </w:r>
          </w:p>
          <w:p w14:paraId="2D757254">
            <w:pPr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hint="eastAsia" w:eastAsiaTheme="minorEastAsia"/>
                <w:bCs/>
                <w:iCs/>
                <w:sz w:val="24"/>
                <w:szCs w:val="24"/>
              </w:rPr>
              <w:t>□</w:t>
            </w:r>
            <w:r>
              <w:rPr>
                <w:rFonts w:hint="eastAsia" w:eastAsiaTheme="minorEastAsia"/>
                <w:sz w:val="24"/>
                <w:szCs w:val="24"/>
              </w:rPr>
              <w:t xml:space="preserve">新闻发布会          </w:t>
            </w:r>
            <w:r>
              <w:rPr>
                <w:rFonts w:hint="eastAsia" w:eastAsiaTheme="minorEastAsia"/>
                <w:bCs/>
                <w:iCs/>
                <w:sz w:val="24"/>
                <w:szCs w:val="24"/>
              </w:rPr>
              <w:t>□</w:t>
            </w:r>
            <w:r>
              <w:rPr>
                <w:rFonts w:hint="eastAsia" w:eastAsiaTheme="minorEastAsia"/>
                <w:sz w:val="24"/>
                <w:szCs w:val="24"/>
              </w:rPr>
              <w:t>路演活动</w:t>
            </w:r>
          </w:p>
          <w:p w14:paraId="0DAFC993">
            <w:pPr>
              <w:tabs>
                <w:tab w:val="left" w:pos="3045"/>
                <w:tab w:val="center" w:pos="3199"/>
              </w:tabs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hint="eastAsia" w:eastAsiaTheme="minorEastAsia"/>
                <w:bCs/>
                <w:iCs/>
                <w:sz w:val="24"/>
                <w:szCs w:val="24"/>
              </w:rPr>
              <w:t>□</w:t>
            </w:r>
            <w:r>
              <w:rPr>
                <w:rFonts w:hint="eastAsia" w:eastAsiaTheme="minorEastAsia"/>
                <w:sz w:val="24"/>
                <w:szCs w:val="24"/>
              </w:rPr>
              <w:t xml:space="preserve">现场参观            </w:t>
            </w:r>
            <w:r>
              <w:rPr>
                <w:rFonts w:hint="eastAsia" w:eastAsiaTheme="minorEastAsia"/>
                <w:bCs/>
                <w:iCs/>
                <w:sz w:val="24"/>
                <w:szCs w:val="24"/>
              </w:rPr>
              <w:t>□</w:t>
            </w:r>
            <w:r>
              <w:rPr>
                <w:rFonts w:hint="eastAsia" w:eastAsiaTheme="minorEastAsia"/>
                <w:sz w:val="24"/>
                <w:szCs w:val="24"/>
              </w:rPr>
              <w:t>电话会议</w:t>
            </w:r>
          </w:p>
          <w:p w14:paraId="2BD4C3B3">
            <w:pPr>
              <w:tabs>
                <w:tab w:val="center" w:pos="3199"/>
              </w:tabs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hint="eastAsia" w:eastAsiaTheme="minorEastAsia"/>
                <w:bCs/>
                <w:iCs/>
                <w:sz w:val="24"/>
                <w:szCs w:val="24"/>
              </w:rPr>
              <w:t>□</w:t>
            </w:r>
            <w:r>
              <w:rPr>
                <w:rFonts w:hint="eastAsia" w:eastAsiaTheme="minorEastAsia"/>
                <w:sz w:val="24"/>
                <w:szCs w:val="24"/>
              </w:rPr>
              <w:t>其他 （</w:t>
            </w:r>
            <w:r>
              <w:rPr>
                <w:rFonts w:hint="eastAsia" w:eastAsiaTheme="minorEastAsia"/>
                <w:sz w:val="24"/>
                <w:szCs w:val="24"/>
                <w:u w:val="single"/>
              </w:rPr>
              <w:t>请文字说明其他活动内容）</w:t>
            </w:r>
          </w:p>
        </w:tc>
      </w:tr>
      <w:tr w14:paraId="58E36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6E69F5">
            <w:pPr>
              <w:spacing w:line="360" w:lineRule="auto"/>
              <w:rPr>
                <w:rFonts w:hint="eastAsia"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hint="eastAsia" w:eastAsiaTheme="minorEastAsia"/>
                <w:b/>
                <w:bCs/>
                <w:iCs/>
                <w:sz w:val="24"/>
                <w:szCs w:val="24"/>
              </w:rPr>
              <w:t>参与单位名称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E3BD56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WCM Investment Management</w:t>
            </w:r>
            <w:r>
              <w:rPr>
                <w:rFonts w:hint="eastAsia" w:ascii="宋体" w:hAnsi="宋体" w:cs="宋体"/>
                <w:sz w:val="24"/>
                <w:szCs w:val="24"/>
              </w:rPr>
              <w:t>、东方证券、富国基金、广发基金、国联民生证券、华夏基金、万家基金、兴业基金、中信证券共9家机构</w:t>
            </w:r>
          </w:p>
        </w:tc>
      </w:tr>
      <w:tr w14:paraId="0739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82889">
            <w:pPr>
              <w:spacing w:line="360" w:lineRule="auto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hint="eastAsia" w:eastAsiaTheme="minorEastAsia"/>
                <w:b/>
                <w:bCs/>
                <w:iCs/>
                <w:sz w:val="24"/>
                <w:szCs w:val="24"/>
              </w:rPr>
              <w:t>时间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7DD18">
            <w:pPr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hint="eastAsia" w:eastAsiaTheme="minorEastAsia"/>
                <w:bCs/>
                <w:iCs/>
                <w:sz w:val="24"/>
                <w:szCs w:val="24"/>
              </w:rPr>
              <w:t>202</w:t>
            </w:r>
            <w:r>
              <w:rPr>
                <w:rFonts w:eastAsiaTheme="minorEastAsia"/>
                <w:bCs/>
                <w:iCs/>
                <w:sz w:val="24"/>
                <w:szCs w:val="24"/>
              </w:rPr>
              <w:t>6</w:t>
            </w:r>
            <w:r>
              <w:rPr>
                <w:rFonts w:hint="eastAsia" w:eastAsiaTheme="minorEastAsia"/>
                <w:bCs/>
                <w:iCs/>
                <w:sz w:val="24"/>
                <w:szCs w:val="24"/>
              </w:rPr>
              <w:t>年1</w:t>
            </w:r>
            <w:r>
              <w:rPr>
                <w:rFonts w:eastAsiaTheme="minorEastAsia"/>
                <w:bCs/>
                <w:iCs/>
                <w:sz w:val="24"/>
                <w:szCs w:val="24"/>
              </w:rPr>
              <w:t>0</w:t>
            </w:r>
            <w:r>
              <w:rPr>
                <w:rFonts w:hint="eastAsia" w:eastAsiaTheme="minorEastAsia"/>
                <w:bCs/>
                <w:iCs/>
                <w:sz w:val="24"/>
                <w:szCs w:val="24"/>
              </w:rPr>
              <w:t>月2</w:t>
            </w:r>
            <w:r>
              <w:rPr>
                <w:rFonts w:eastAsiaTheme="minorEastAsia"/>
                <w:bCs/>
                <w:iCs/>
                <w:sz w:val="24"/>
                <w:szCs w:val="24"/>
              </w:rPr>
              <w:t>7</w:t>
            </w:r>
            <w:r>
              <w:rPr>
                <w:rFonts w:hint="eastAsia" w:eastAsiaTheme="minorEastAsia"/>
                <w:bCs/>
                <w:iCs/>
                <w:sz w:val="24"/>
                <w:szCs w:val="24"/>
              </w:rPr>
              <w:t>日</w:t>
            </w:r>
            <w:r>
              <w:rPr>
                <w:rFonts w:eastAsiaTheme="minorEastAsia"/>
                <w:bCs/>
                <w:iCs/>
                <w:sz w:val="24"/>
                <w:szCs w:val="24"/>
              </w:rPr>
              <w:t xml:space="preserve">- </w:t>
            </w:r>
            <w:r>
              <w:rPr>
                <w:rFonts w:hint="eastAsia" w:eastAsiaTheme="minorEastAsia"/>
                <w:bCs/>
                <w:iCs/>
                <w:sz w:val="24"/>
                <w:szCs w:val="24"/>
              </w:rPr>
              <w:t>1</w:t>
            </w:r>
            <w:r>
              <w:rPr>
                <w:rFonts w:eastAsiaTheme="minorEastAsia"/>
                <w:bCs/>
                <w:iCs/>
                <w:sz w:val="24"/>
                <w:szCs w:val="24"/>
              </w:rPr>
              <w:t>0</w:t>
            </w:r>
            <w:r>
              <w:rPr>
                <w:rFonts w:hint="eastAsia" w:eastAsiaTheme="minorEastAsia"/>
                <w:bCs/>
                <w:iCs/>
                <w:sz w:val="24"/>
                <w:szCs w:val="24"/>
              </w:rPr>
              <w:t>月2</w:t>
            </w:r>
            <w:r>
              <w:rPr>
                <w:rFonts w:eastAsiaTheme="minorEastAsia"/>
                <w:bCs/>
                <w:iCs/>
                <w:sz w:val="24"/>
                <w:szCs w:val="24"/>
              </w:rPr>
              <w:t>8</w:t>
            </w:r>
            <w:r>
              <w:rPr>
                <w:rFonts w:hint="eastAsia" w:eastAsiaTheme="minorEastAsia"/>
                <w:bCs/>
                <w:iCs/>
                <w:sz w:val="24"/>
                <w:szCs w:val="24"/>
              </w:rPr>
              <w:t>日</w:t>
            </w:r>
          </w:p>
        </w:tc>
      </w:tr>
      <w:tr w14:paraId="5CDB4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8109E">
            <w:pPr>
              <w:spacing w:line="360" w:lineRule="auto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hint="eastAsia" w:eastAsiaTheme="minorEastAsia"/>
                <w:b/>
                <w:bCs/>
                <w:iCs/>
                <w:sz w:val="24"/>
                <w:szCs w:val="24"/>
              </w:rPr>
              <w:t>参会方式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259C9">
            <w:pPr>
              <w:spacing w:line="360" w:lineRule="auto"/>
              <w:rPr>
                <w:rFonts w:hint="eastAsia" w:eastAsiaTheme="minorEastAsia"/>
                <w:bCs/>
                <w:iCs/>
                <w:sz w:val="24"/>
                <w:szCs w:val="24"/>
              </w:rPr>
            </w:pPr>
            <w:r>
              <w:rPr>
                <w:rFonts w:hint="eastAsia" w:eastAsiaTheme="minorEastAsia"/>
                <w:bCs/>
                <w:iCs/>
                <w:sz w:val="24"/>
                <w:szCs w:val="24"/>
              </w:rPr>
              <w:t>线上会议</w:t>
            </w:r>
          </w:p>
        </w:tc>
      </w:tr>
      <w:tr w14:paraId="38F3A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10250D">
            <w:pPr>
              <w:spacing w:line="360" w:lineRule="auto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hint="eastAsia" w:eastAsiaTheme="minorEastAsia"/>
                <w:b/>
                <w:bCs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6A3EAF">
            <w:pPr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hint="eastAsia" w:eastAsiaTheme="minorEastAsia"/>
                <w:bCs/>
                <w:iCs/>
                <w:sz w:val="24"/>
                <w:szCs w:val="24"/>
              </w:rPr>
              <w:t>董事会秘书黄艳莉、证券事务代表宋佳峻</w:t>
            </w:r>
          </w:p>
        </w:tc>
      </w:tr>
      <w:tr w14:paraId="39B99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1A274">
            <w:pPr>
              <w:spacing w:line="480" w:lineRule="atLeast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hint="eastAsia" w:eastAsiaTheme="minorEastAsia"/>
                <w:b/>
                <w:bCs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0CFFA1">
            <w:pPr>
              <w:spacing w:before="156" w:beforeLines="50" w:line="360" w:lineRule="auto"/>
              <w:ind w:firstLine="482" w:firstLineChars="200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问题一：很高兴公司第三季度业绩表现能够持续兑现，请问作为公司业绩增长的核心驱动力来自于哪里？</w:t>
            </w:r>
          </w:p>
          <w:p w14:paraId="77E27EFC">
            <w:pPr>
              <w:spacing w:before="156" w:beforeLines="50" w:line="360" w:lineRule="auto"/>
              <w:ind w:firstLine="482" w:firstLineChars="200"/>
              <w:jc w:val="left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答：</w:t>
            </w:r>
            <w:r>
              <w:rPr>
                <w:rFonts w:hint="eastAsia" w:ascii="宋体" w:hAnsi="宋体"/>
                <w:bCs/>
                <w:sz w:val="24"/>
              </w:rPr>
              <w:t>2026年第三季度，公司继续推进“规模增长、进攻突破”的年度战略方针，收入和利润的同比增速相较于上半年继续提速，增长战略的有效性和持续性得到进一步验证。尽管汇兑等不利因素对收入、利润端的增幅产生了负向影响，公司第三季度营业收入、归母净利润和扣非归母净利润同比增速分别为18%、30%和21%，带动前三季度营业收入、归母净利润和扣非归母净利润同比增长12%、11%和14%。上述业绩兑现，均得益于公司自年初以来精准把握的三大增长引擎，即空间广阔的海外市场、需求旺盛的制药终端、加速放量的新兴产业持续转化为经营成果：</w:t>
            </w:r>
          </w:p>
          <w:p w14:paraId="472E8148">
            <w:pPr>
              <w:spacing w:before="156" w:beforeLines="50" w:line="360" w:lineRule="auto"/>
              <w:ind w:firstLine="480" w:firstLineChars="200"/>
              <w:jc w:val="left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①引擎1：海外市场在地化布局继续深化，第三季度新设波兰在地化运营体系，累计覆盖23个国家，得益于同期负向影响出清第三季度收入大幅提速、同比增长约22%，前三季度增速7%，全年双位数增长的确定性不变。国内市场继续展现复苏态势，超低温、低温、培养箱、安全柜、离心机、智慧用药、血浆采集方案系列产品的市场份额稳步提升（根据国内各主要招标网公开数据统计），第三季度同比增长约16%，前三季度增速14%。</w:t>
            </w:r>
          </w:p>
          <w:p w14:paraId="5E228B2F">
            <w:pPr>
              <w:spacing w:before="156" w:beforeLines="50" w:line="360" w:lineRule="auto"/>
              <w:ind w:firstLine="480" w:firstLineChars="200"/>
              <w:jc w:val="left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②引擎2：制药终端研发和生产需求旺盛，第三季度公司国内市场新突破近30家、累计覆盖国内TOP100药企中的50家；海外新突破6家、累计覆盖全球Top 25药企超2/3，驱动公司制药端整体前三季度增速达21%。全年来看制药终端市场高增长仍将持续，也是至少未来3年公司增长的核心动力。</w:t>
            </w:r>
          </w:p>
          <w:p w14:paraId="7BB7B1EE">
            <w:pPr>
              <w:spacing w:before="156" w:beforeLines="50" w:line="360" w:lineRule="auto"/>
              <w:ind w:firstLine="480" w:firstLineChars="200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③引擎3：在低温产业复苏的基础上，新兴产业全面提速，前三季度新兴产业同比增长16%。实验室解决方案、智慧用药和血液技术第三季度分别增长35%、24%和19%。</w:t>
            </w:r>
          </w:p>
          <w:p w14:paraId="27A38FF4">
            <w:pPr>
              <w:spacing w:before="156" w:beforeLines="50" w:line="360" w:lineRule="auto"/>
              <w:ind w:firstLine="482" w:firstLineChars="200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问题二：请问公司具体在制药工艺中能够提供什么产品或方案？大概有多大价值呢？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</w:p>
          <w:p w14:paraId="2974090E">
            <w:pPr>
              <w:spacing w:before="156" w:beforeLines="50" w:line="360" w:lineRule="auto"/>
              <w:ind w:firstLine="482" w:firstLineChars="200"/>
              <w:jc w:val="left"/>
              <w:rPr>
                <w:rFonts w:hint="eastAsia" w:ascii="宋体" w:hAnsi="宋体"/>
                <w:bCs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答:</w:t>
            </w:r>
            <w:r>
              <w:rPr>
                <w:rFonts w:hint="eastAsia" w:ascii="宋体" w:hAnsi="宋体"/>
                <w:bCs/>
                <w:sz w:val="24"/>
              </w:rPr>
              <w:t>公司的制药场景解决方案覆盖 GLP 研发与非临床研究、GMP 小试/中试/量产、GMP 质控、GSP 低温转运及 GCP 临床样本管理等环节，具体来看：</w:t>
            </w:r>
          </w:p>
          <w:p w14:paraId="638C262A">
            <w:pPr>
              <w:spacing w:before="156" w:beforeLines="50" w:line="360" w:lineRule="auto"/>
              <w:ind w:firstLine="480" w:firstLineChars="200"/>
              <w:jc w:val="left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在研发端，公司提供涵盖安全柜、离心机、培养箱等在内的实验室防护处理、样品处理、生物培养、分析检测等产品，服务于日益增长的实验室活动。此外还提供自动化工作站为代表的智慧实验室方案，如类器官自动化培养及药敏测试工作站，可以加速药物评价，助力IND申报所需的证据链完整与合规。</w:t>
            </w:r>
          </w:p>
          <w:p w14:paraId="66C39264">
            <w:pPr>
              <w:spacing w:before="156" w:beforeLines="50" w:line="360" w:lineRule="auto"/>
              <w:ind w:firstLine="480" w:firstLineChars="200"/>
              <w:jc w:val="lef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在生产端，公司产品方案可用于细胞株开发/建库、细胞扩增/培养、降温、原液存储、转运等工艺流程，包括深度定制的大型超低温阵列、大型深低温阵列、工业可控冻融系统、大型工业程序降温仪等产品，以及PBMC提取工作站、全自动细胞培养工作站等自动化方案。</w:t>
            </w:r>
          </w:p>
          <w:p w14:paraId="189608EA">
            <w:pPr>
              <w:spacing w:before="156" w:beforeLines="50" w:line="360" w:lineRule="auto"/>
              <w:ind w:firstLine="480" w:firstLineChars="200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从价值量来看，不同药物类型的占比有所差异。对抗体、ADC、重组蛋白等大分子蛋白药而言，公司低温及配套工艺设备约占整体设备价值的20%-30%；而对于产线规模偏小的CGT（细胞与基因治疗）领域，公司配套工艺设备价值占比最高可达50%左右，价值量占比相对更高。</w:t>
            </w:r>
          </w:p>
          <w:p w14:paraId="7035B4F1">
            <w:pPr>
              <w:spacing w:before="156" w:beforeLines="50" w:line="360" w:lineRule="auto"/>
              <w:ind w:firstLine="482" w:firstLineChars="200"/>
              <w:jc w:val="lef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问题三：长期来看，公司在制药渠道的高速增长是否可以持续？</w:t>
            </w:r>
          </w:p>
          <w:p w14:paraId="71B74C3F">
            <w:pPr>
              <w:spacing w:before="156" w:beforeLines="50" w:line="360" w:lineRule="auto"/>
              <w:ind w:firstLine="482" w:firstLineChars="200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答:</w:t>
            </w:r>
            <w:r>
              <w:rPr>
                <w:rFonts w:hint="eastAsia" w:ascii="宋体" w:hAnsi="宋体"/>
                <w:bCs/>
                <w:sz w:val="24"/>
              </w:rPr>
              <w:t>公司来自制药终端的业务增长具备较好的可持续性：</w:t>
            </w:r>
          </w:p>
          <w:p w14:paraId="161847B6">
            <w:pPr>
              <w:spacing w:before="156" w:beforeLines="50" w:line="360" w:lineRule="auto"/>
              <w:ind w:firstLine="480" w:firstLineChars="200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一方面，增长驱动明确，包括全球药物研发活动增强带来的实验室相关产品需求，以及药企新建及扩建产能、存量设备升级等带来的工艺生产相关产品需求。截至2026年三季度，全球制药用户景气度仍持续提升，相关商机漏斗不断漏入，2026年前三季度公司制药端业务已同比增长21%。</w:t>
            </w:r>
          </w:p>
          <w:p w14:paraId="6DF9BC9A">
            <w:pPr>
              <w:spacing w:before="156" w:beforeLines="50" w:line="360" w:lineRule="auto"/>
              <w:ind w:firstLine="480" w:firstLineChars="200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另一方面，公司拥有服务全球5000多家药企的广泛用户基础，从科研端向生产端延伸的空间正逐渐打开，并通过跟随国内药企出海服务其海外基地建设（如某头部CXO公司）、参与已合作海外药企的全球新建产能项目（如某全球TOP10药企）、持续拓展新用户（三季度新拓展6家全球Top25制药用户）等方式不断拓宽场景。</w:t>
            </w:r>
          </w:p>
          <w:p w14:paraId="1CB8DD8C">
            <w:pPr>
              <w:spacing w:before="156" w:beforeLines="50" w:line="360" w:lineRule="auto"/>
              <w:ind w:firstLine="480" w:firstLineChars="200"/>
              <w:jc w:val="left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与此同时，公司竞争力正从技术和产品领先向用户项目的顾问和伙伴升级，前置介入项目顶层设计、产线布局与合规方案规划，例如国内首个取得GMP证书的商业化细胞药物生产线便是通过这种深度合作模式，协助用户顺利通过药监GMP审计，这种角色升级有助于加深客户绑定并提升单客户价值。</w:t>
            </w:r>
          </w:p>
          <w:p w14:paraId="3B2AFD7B">
            <w:pPr>
              <w:spacing w:before="156" w:beforeLines="50" w:line="360" w:lineRule="auto"/>
              <w:ind w:firstLine="480" w:firstLineChars="200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综上，在下游需求景气延续、用户拓展路径清晰、方案价值量占比较高以及服务角色不断升级等多重因素支撑下，公司来自制药终端的业务增长具有较好的可持续性。公司将坚持内生与外延并举，持续拓宽在生物制造产业链中的价值覆盖，稳步向“生物制造智能生产力平台”的目标迈进。</w:t>
            </w:r>
          </w:p>
          <w:p w14:paraId="3021C154">
            <w:pPr>
              <w:spacing w:before="156" w:beforeLines="50" w:line="360" w:lineRule="auto"/>
              <w:ind w:firstLine="482" w:firstLineChars="200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问题四：从国内和海外不同市场的角度来看，制药用户的景气度分别表现如何？</w:t>
            </w:r>
          </w:p>
          <w:p w14:paraId="2DD71A89">
            <w:pPr>
              <w:spacing w:before="156" w:beforeLines="50" w:line="360" w:lineRule="auto"/>
              <w:ind w:firstLine="482" w:firstLineChars="200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答：</w:t>
            </w:r>
            <w:r>
              <w:rPr>
                <w:rFonts w:hint="eastAsia" w:ascii="宋体" w:hAnsi="宋体"/>
                <w:bCs/>
                <w:sz w:val="24"/>
              </w:rPr>
              <w:t>海外市场方面，公司加速欧美主流市场本地化能力建设投入并深化合作模式，卡位亚太市场医药产能搬迁、制药产业链升级等区域性机会，推动相关商机漏斗持续扩容。第三季度，公司海外市场新突破6家药企，累计覆盖全球Top 25药企超2/3。目前公司在东南亚与全球某头部CXO签订的方案合同已接近4,000万元，后续项目储备近亿元。全球范围内，类似的新建药厂项目还有超20个正在筹备或推进中。</w:t>
            </w:r>
          </w:p>
          <w:p w14:paraId="589ADD40">
            <w:pPr>
              <w:spacing w:before="156" w:beforeLines="50" w:line="360" w:lineRule="auto"/>
              <w:ind w:firstLine="480" w:firstLineChars="200"/>
              <w:jc w:val="left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国内市场方面，制药终端的用户研发和生产的高景气度延续，以公司常年服务的全球某头部CXO企业为例，截至今年三季度其采购金额相比去年全年大幅增长。第三季度，公司国内市场新突破近30家药企用户、累计覆盖国内TOP100药企中的50家，公司深度定制的场景方案展现出较强的市场吸引力，有望持续贡献增量收入。</w:t>
            </w:r>
          </w:p>
          <w:p w14:paraId="33E3B511">
            <w:pPr>
              <w:spacing w:before="156" w:beforeLines="50" w:line="360" w:lineRule="auto"/>
              <w:ind w:firstLine="482" w:firstLineChars="200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问题五：公司在AI制药或者说实验室自动化领域，具体拥有哪些产品和能力？</w:t>
            </w:r>
          </w:p>
          <w:p w14:paraId="2D0B62DB">
            <w:pPr>
              <w:spacing w:before="156" w:beforeLines="50" w:line="360" w:lineRule="auto"/>
              <w:ind w:firstLine="480" w:firstLineChars="200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答：当前，公司的AI自动化能力建设处于产品一体化向场景一体化迈进的阶段，致力于把设备连成场景，把场景变成无人化、智能化的整体解决方案，实现全流程智能调度、自主执行、动态优化。</w:t>
            </w:r>
            <w:bookmarkStart w:id="0" w:name="_GoBack"/>
            <w:bookmarkEnd w:id="0"/>
          </w:p>
          <w:p w14:paraId="28DC337E">
            <w:pPr>
              <w:spacing w:before="156" w:beforeLines="50" w:line="360" w:lineRule="auto"/>
              <w:ind w:firstLine="480" w:firstLineChars="200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在实验室的应用上：公司持续探索AI+自动化底层技术，持续拓展自动化检测单元、标准化智能工作站和整体解决方案，目前已扩展出水质分析检测智慧实验室、理化检测智慧实验室、生命科学智慧实验室等方案，用户涵盖生物医药、新能源、新材料等高景气赛道。截至三季度末，智慧实验室方案累计获取在手订单已接近千万并有序交付，超亿元商机开始转化。</w:t>
            </w:r>
          </w:p>
          <w:p w14:paraId="3A47AD1A">
            <w:pPr>
              <w:spacing w:before="156" w:beforeLines="50" w:line="360" w:lineRule="auto"/>
              <w:ind w:firstLine="480" w:firstLineChars="200"/>
              <w:jc w:val="left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在制药工艺的应用上，已启动开发智能体黄金批次智能配方管理系统，能快速锁定关键影响因子阵列，从而快速锁定黄金批次，并自动生成合规电子批记录；从正在共创合作的案例进展来看，细胞活率大于95%，批次间差异小于4%，有望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将</w:t>
            </w:r>
            <w:r>
              <w:rPr>
                <w:rFonts w:hint="eastAsia" w:ascii="宋体" w:hAnsi="宋体"/>
                <w:bCs/>
                <w:sz w:val="24"/>
              </w:rPr>
              <w:t>IND申报周期缩短60%。</w:t>
            </w:r>
          </w:p>
        </w:tc>
      </w:tr>
      <w:tr w14:paraId="381D7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FDC98">
            <w:pPr>
              <w:spacing w:line="480" w:lineRule="atLeast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hint="eastAsia" w:eastAsiaTheme="minorEastAsia"/>
                <w:b/>
                <w:bCs/>
                <w:iCs/>
                <w:sz w:val="24"/>
                <w:szCs w:val="24"/>
              </w:rPr>
              <w:t>附件清单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CE86FD">
            <w:pPr>
              <w:spacing w:line="480" w:lineRule="atLeast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hint="eastAsia" w:eastAsiaTheme="minorEastAsia"/>
                <w:bCs/>
                <w:iCs/>
                <w:sz w:val="24"/>
                <w:szCs w:val="24"/>
              </w:rPr>
              <w:t>无</w:t>
            </w:r>
          </w:p>
        </w:tc>
      </w:tr>
      <w:tr w14:paraId="2E325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EDF82">
            <w:pPr>
              <w:spacing w:line="480" w:lineRule="atLeast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hint="eastAsia" w:eastAsiaTheme="minorEastAsia"/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A15479">
            <w:pPr>
              <w:spacing w:line="480" w:lineRule="atLeast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hint="eastAsia" w:eastAsiaTheme="minorEastAsia"/>
                <w:bCs/>
                <w:iCs/>
                <w:sz w:val="24"/>
                <w:szCs w:val="24"/>
              </w:rPr>
              <w:t>202</w:t>
            </w:r>
            <w:r>
              <w:rPr>
                <w:rFonts w:eastAsiaTheme="minorEastAsia"/>
                <w:bCs/>
                <w:iCs/>
                <w:sz w:val="24"/>
                <w:szCs w:val="24"/>
              </w:rPr>
              <w:t>6</w:t>
            </w:r>
            <w:r>
              <w:rPr>
                <w:rFonts w:hint="eastAsia" w:eastAsiaTheme="minorEastAsia"/>
                <w:bCs/>
                <w:iCs/>
                <w:sz w:val="24"/>
                <w:szCs w:val="24"/>
              </w:rPr>
              <w:t>年1</w:t>
            </w:r>
            <w:r>
              <w:rPr>
                <w:rFonts w:eastAsiaTheme="minorEastAsia"/>
                <w:bCs/>
                <w:iCs/>
                <w:sz w:val="24"/>
                <w:szCs w:val="24"/>
              </w:rPr>
              <w:t>0</w:t>
            </w:r>
            <w:r>
              <w:rPr>
                <w:rFonts w:hint="eastAsia" w:eastAsiaTheme="minorEastAsia"/>
                <w:bCs/>
                <w:iCs/>
                <w:sz w:val="24"/>
                <w:szCs w:val="24"/>
              </w:rPr>
              <w:t>月2</w:t>
            </w:r>
            <w:r>
              <w:rPr>
                <w:rFonts w:eastAsiaTheme="minorEastAsia"/>
                <w:bCs/>
                <w:iCs/>
                <w:sz w:val="24"/>
                <w:szCs w:val="24"/>
              </w:rPr>
              <w:t>8</w:t>
            </w:r>
            <w:r>
              <w:rPr>
                <w:rFonts w:hint="eastAsia" w:eastAsiaTheme="minorEastAsia"/>
                <w:bCs/>
                <w:iCs/>
                <w:sz w:val="24"/>
                <w:szCs w:val="24"/>
              </w:rPr>
              <w:t>日</w:t>
            </w:r>
          </w:p>
        </w:tc>
      </w:tr>
    </w:tbl>
    <w:p w14:paraId="08255024">
      <w:pPr>
        <w:widowControl/>
        <w:jc w:val="left"/>
        <w:rPr>
          <w:b/>
          <w:sz w:val="24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80A7CD">
    <w:pPr>
      <w:pStyle w:val="14"/>
    </w:pPr>
  </w:p>
  <w:p w14:paraId="62B21A8B">
    <w:pPr>
      <w:pStyle w:val="1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4N2UwYmRiYjMzNGZhNWIxNTdlODQxZTRlNzBmN2YifQ=="/>
  </w:docVars>
  <w:rsids>
    <w:rsidRoot w:val="008D5491"/>
    <w:rsid w:val="000047B9"/>
    <w:rsid w:val="0000734D"/>
    <w:rsid w:val="00010D24"/>
    <w:rsid w:val="0001265F"/>
    <w:rsid w:val="000128D0"/>
    <w:rsid w:val="00013934"/>
    <w:rsid w:val="000151E0"/>
    <w:rsid w:val="00016A35"/>
    <w:rsid w:val="00017DAD"/>
    <w:rsid w:val="00020D06"/>
    <w:rsid w:val="00021EC6"/>
    <w:rsid w:val="000228C6"/>
    <w:rsid w:val="00022C29"/>
    <w:rsid w:val="00023EB9"/>
    <w:rsid w:val="0002765E"/>
    <w:rsid w:val="0003029C"/>
    <w:rsid w:val="00031606"/>
    <w:rsid w:val="00035660"/>
    <w:rsid w:val="00035965"/>
    <w:rsid w:val="0003672C"/>
    <w:rsid w:val="00037F57"/>
    <w:rsid w:val="000405A3"/>
    <w:rsid w:val="00040A0E"/>
    <w:rsid w:val="0004258A"/>
    <w:rsid w:val="00042EA6"/>
    <w:rsid w:val="0004430A"/>
    <w:rsid w:val="000458D6"/>
    <w:rsid w:val="00045CCC"/>
    <w:rsid w:val="00046644"/>
    <w:rsid w:val="000468A3"/>
    <w:rsid w:val="00046995"/>
    <w:rsid w:val="00046E7E"/>
    <w:rsid w:val="000476B7"/>
    <w:rsid w:val="000506BF"/>
    <w:rsid w:val="00052F09"/>
    <w:rsid w:val="000533ED"/>
    <w:rsid w:val="00053A8D"/>
    <w:rsid w:val="0005480F"/>
    <w:rsid w:val="00054DC2"/>
    <w:rsid w:val="00055D56"/>
    <w:rsid w:val="00056256"/>
    <w:rsid w:val="00056970"/>
    <w:rsid w:val="00056A4A"/>
    <w:rsid w:val="00057889"/>
    <w:rsid w:val="00060B13"/>
    <w:rsid w:val="000620C0"/>
    <w:rsid w:val="000620DB"/>
    <w:rsid w:val="00062316"/>
    <w:rsid w:val="00064E4D"/>
    <w:rsid w:val="000657BC"/>
    <w:rsid w:val="000657DC"/>
    <w:rsid w:val="0006583F"/>
    <w:rsid w:val="000662E3"/>
    <w:rsid w:val="00066B88"/>
    <w:rsid w:val="00067430"/>
    <w:rsid w:val="000702B9"/>
    <w:rsid w:val="000733AA"/>
    <w:rsid w:val="000734ED"/>
    <w:rsid w:val="00074AD6"/>
    <w:rsid w:val="00074EA6"/>
    <w:rsid w:val="00075E68"/>
    <w:rsid w:val="000760E6"/>
    <w:rsid w:val="000776D9"/>
    <w:rsid w:val="00077DE7"/>
    <w:rsid w:val="00083292"/>
    <w:rsid w:val="00083D4B"/>
    <w:rsid w:val="00083E63"/>
    <w:rsid w:val="0008592C"/>
    <w:rsid w:val="00085DA7"/>
    <w:rsid w:val="00085F84"/>
    <w:rsid w:val="00086215"/>
    <w:rsid w:val="000864FC"/>
    <w:rsid w:val="000866F4"/>
    <w:rsid w:val="00087D94"/>
    <w:rsid w:val="00090613"/>
    <w:rsid w:val="000964B8"/>
    <w:rsid w:val="000A1587"/>
    <w:rsid w:val="000A3B49"/>
    <w:rsid w:val="000A54C3"/>
    <w:rsid w:val="000A6C75"/>
    <w:rsid w:val="000A7120"/>
    <w:rsid w:val="000A7C7A"/>
    <w:rsid w:val="000B2930"/>
    <w:rsid w:val="000B3921"/>
    <w:rsid w:val="000B47EB"/>
    <w:rsid w:val="000B6D47"/>
    <w:rsid w:val="000C11B0"/>
    <w:rsid w:val="000C1371"/>
    <w:rsid w:val="000C26F4"/>
    <w:rsid w:val="000C38CA"/>
    <w:rsid w:val="000C392A"/>
    <w:rsid w:val="000C461E"/>
    <w:rsid w:val="000C5A9A"/>
    <w:rsid w:val="000D0621"/>
    <w:rsid w:val="000D1B77"/>
    <w:rsid w:val="000D2089"/>
    <w:rsid w:val="000D3408"/>
    <w:rsid w:val="000D4AEF"/>
    <w:rsid w:val="000D5657"/>
    <w:rsid w:val="000D5C05"/>
    <w:rsid w:val="000E05B3"/>
    <w:rsid w:val="000E0C1B"/>
    <w:rsid w:val="000E31F9"/>
    <w:rsid w:val="000E35AE"/>
    <w:rsid w:val="000E366F"/>
    <w:rsid w:val="000E3CD4"/>
    <w:rsid w:val="000E484D"/>
    <w:rsid w:val="000E641C"/>
    <w:rsid w:val="000E65F5"/>
    <w:rsid w:val="000E6817"/>
    <w:rsid w:val="000E75E7"/>
    <w:rsid w:val="000F0604"/>
    <w:rsid w:val="000F0DDE"/>
    <w:rsid w:val="000F1B3F"/>
    <w:rsid w:val="000F2651"/>
    <w:rsid w:val="000F278E"/>
    <w:rsid w:val="000F2D23"/>
    <w:rsid w:val="000F3C61"/>
    <w:rsid w:val="000F59DD"/>
    <w:rsid w:val="00100628"/>
    <w:rsid w:val="001013E2"/>
    <w:rsid w:val="00102CF7"/>
    <w:rsid w:val="00104419"/>
    <w:rsid w:val="0010460F"/>
    <w:rsid w:val="00105B65"/>
    <w:rsid w:val="0010705A"/>
    <w:rsid w:val="0010706B"/>
    <w:rsid w:val="00107139"/>
    <w:rsid w:val="00107701"/>
    <w:rsid w:val="0011134F"/>
    <w:rsid w:val="00113BEC"/>
    <w:rsid w:val="001140DF"/>
    <w:rsid w:val="0011540C"/>
    <w:rsid w:val="00117259"/>
    <w:rsid w:val="00117BE6"/>
    <w:rsid w:val="0012165B"/>
    <w:rsid w:val="0012392E"/>
    <w:rsid w:val="00123DFE"/>
    <w:rsid w:val="00125602"/>
    <w:rsid w:val="00130D9E"/>
    <w:rsid w:val="00134E3F"/>
    <w:rsid w:val="00136991"/>
    <w:rsid w:val="00141859"/>
    <w:rsid w:val="00142A00"/>
    <w:rsid w:val="001439DC"/>
    <w:rsid w:val="00144764"/>
    <w:rsid w:val="001465D5"/>
    <w:rsid w:val="0014675B"/>
    <w:rsid w:val="001469A8"/>
    <w:rsid w:val="001532DD"/>
    <w:rsid w:val="00155763"/>
    <w:rsid w:val="00155842"/>
    <w:rsid w:val="001561F4"/>
    <w:rsid w:val="00156888"/>
    <w:rsid w:val="00157FD8"/>
    <w:rsid w:val="0016122F"/>
    <w:rsid w:val="00161888"/>
    <w:rsid w:val="00161C13"/>
    <w:rsid w:val="00162302"/>
    <w:rsid w:val="00163868"/>
    <w:rsid w:val="001638B7"/>
    <w:rsid w:val="00164329"/>
    <w:rsid w:val="00164C31"/>
    <w:rsid w:val="00165484"/>
    <w:rsid w:val="00166A11"/>
    <w:rsid w:val="00170FB3"/>
    <w:rsid w:val="00171A62"/>
    <w:rsid w:val="00172EDB"/>
    <w:rsid w:val="001730AF"/>
    <w:rsid w:val="001749F0"/>
    <w:rsid w:val="00176F6D"/>
    <w:rsid w:val="001771B3"/>
    <w:rsid w:val="0018013C"/>
    <w:rsid w:val="00182462"/>
    <w:rsid w:val="00182F54"/>
    <w:rsid w:val="00183247"/>
    <w:rsid w:val="001834D5"/>
    <w:rsid w:val="00184751"/>
    <w:rsid w:val="00185E78"/>
    <w:rsid w:val="0018607F"/>
    <w:rsid w:val="00187127"/>
    <w:rsid w:val="001873B7"/>
    <w:rsid w:val="001900D5"/>
    <w:rsid w:val="0019029A"/>
    <w:rsid w:val="0019036B"/>
    <w:rsid w:val="001914C9"/>
    <w:rsid w:val="001916AD"/>
    <w:rsid w:val="0019194B"/>
    <w:rsid w:val="00193ABF"/>
    <w:rsid w:val="00195057"/>
    <w:rsid w:val="00195BBA"/>
    <w:rsid w:val="00197B14"/>
    <w:rsid w:val="001A0846"/>
    <w:rsid w:val="001A0878"/>
    <w:rsid w:val="001A1C4B"/>
    <w:rsid w:val="001A45AB"/>
    <w:rsid w:val="001A4E93"/>
    <w:rsid w:val="001A6170"/>
    <w:rsid w:val="001A6231"/>
    <w:rsid w:val="001A7FEB"/>
    <w:rsid w:val="001B0D52"/>
    <w:rsid w:val="001B4E4F"/>
    <w:rsid w:val="001B5402"/>
    <w:rsid w:val="001B66D4"/>
    <w:rsid w:val="001B6799"/>
    <w:rsid w:val="001B7855"/>
    <w:rsid w:val="001B7DE5"/>
    <w:rsid w:val="001C0692"/>
    <w:rsid w:val="001C0806"/>
    <w:rsid w:val="001C0D2B"/>
    <w:rsid w:val="001C1E8A"/>
    <w:rsid w:val="001C2308"/>
    <w:rsid w:val="001C2AF1"/>
    <w:rsid w:val="001C2CA9"/>
    <w:rsid w:val="001C414F"/>
    <w:rsid w:val="001C4A26"/>
    <w:rsid w:val="001C7A24"/>
    <w:rsid w:val="001D0E8A"/>
    <w:rsid w:val="001D2E07"/>
    <w:rsid w:val="001D5BDB"/>
    <w:rsid w:val="001D5EBC"/>
    <w:rsid w:val="001E028B"/>
    <w:rsid w:val="001E0E38"/>
    <w:rsid w:val="001E1371"/>
    <w:rsid w:val="001E14F5"/>
    <w:rsid w:val="001E3FB9"/>
    <w:rsid w:val="001E5E85"/>
    <w:rsid w:val="001F1306"/>
    <w:rsid w:val="001F2373"/>
    <w:rsid w:val="001F2E16"/>
    <w:rsid w:val="001F344A"/>
    <w:rsid w:val="001F6DE3"/>
    <w:rsid w:val="001F6E1A"/>
    <w:rsid w:val="0020132E"/>
    <w:rsid w:val="00201474"/>
    <w:rsid w:val="00202040"/>
    <w:rsid w:val="0020238B"/>
    <w:rsid w:val="002033C0"/>
    <w:rsid w:val="00206FB9"/>
    <w:rsid w:val="0020726B"/>
    <w:rsid w:val="00212B05"/>
    <w:rsid w:val="00214D8A"/>
    <w:rsid w:val="0021627C"/>
    <w:rsid w:val="002162C0"/>
    <w:rsid w:val="00222E65"/>
    <w:rsid w:val="002244DC"/>
    <w:rsid w:val="002246A9"/>
    <w:rsid w:val="00225C40"/>
    <w:rsid w:val="00226289"/>
    <w:rsid w:val="00226B38"/>
    <w:rsid w:val="0022729A"/>
    <w:rsid w:val="002302BA"/>
    <w:rsid w:val="00232004"/>
    <w:rsid w:val="002326C5"/>
    <w:rsid w:val="00233645"/>
    <w:rsid w:val="0023418B"/>
    <w:rsid w:val="002349C9"/>
    <w:rsid w:val="0023576D"/>
    <w:rsid w:val="00236262"/>
    <w:rsid w:val="00240FB5"/>
    <w:rsid w:val="002417FD"/>
    <w:rsid w:val="00242F78"/>
    <w:rsid w:val="002435A8"/>
    <w:rsid w:val="0024411A"/>
    <w:rsid w:val="00247084"/>
    <w:rsid w:val="00247908"/>
    <w:rsid w:val="0025122E"/>
    <w:rsid w:val="0025169E"/>
    <w:rsid w:val="002533AC"/>
    <w:rsid w:val="0025430D"/>
    <w:rsid w:val="0025632B"/>
    <w:rsid w:val="00257C17"/>
    <w:rsid w:val="00257E9C"/>
    <w:rsid w:val="00257ECB"/>
    <w:rsid w:val="00261103"/>
    <w:rsid w:val="002625BE"/>
    <w:rsid w:val="00263B17"/>
    <w:rsid w:val="002678A1"/>
    <w:rsid w:val="002703A0"/>
    <w:rsid w:val="00272291"/>
    <w:rsid w:val="0027326F"/>
    <w:rsid w:val="00274475"/>
    <w:rsid w:val="002768EC"/>
    <w:rsid w:val="00276ECC"/>
    <w:rsid w:val="002815BB"/>
    <w:rsid w:val="002822F3"/>
    <w:rsid w:val="002824B0"/>
    <w:rsid w:val="00283AF1"/>
    <w:rsid w:val="002904CF"/>
    <w:rsid w:val="00295A63"/>
    <w:rsid w:val="002974FD"/>
    <w:rsid w:val="002A015E"/>
    <w:rsid w:val="002A1F11"/>
    <w:rsid w:val="002A3E14"/>
    <w:rsid w:val="002A4737"/>
    <w:rsid w:val="002A487A"/>
    <w:rsid w:val="002A4E1D"/>
    <w:rsid w:val="002A6796"/>
    <w:rsid w:val="002A67B8"/>
    <w:rsid w:val="002A7157"/>
    <w:rsid w:val="002B02EE"/>
    <w:rsid w:val="002B08B4"/>
    <w:rsid w:val="002B1914"/>
    <w:rsid w:val="002B36EE"/>
    <w:rsid w:val="002B51AE"/>
    <w:rsid w:val="002B56AE"/>
    <w:rsid w:val="002B5C19"/>
    <w:rsid w:val="002B5D1A"/>
    <w:rsid w:val="002B63EC"/>
    <w:rsid w:val="002B6742"/>
    <w:rsid w:val="002B7D5F"/>
    <w:rsid w:val="002C22C7"/>
    <w:rsid w:val="002C35B9"/>
    <w:rsid w:val="002C4E60"/>
    <w:rsid w:val="002C5395"/>
    <w:rsid w:val="002C6218"/>
    <w:rsid w:val="002C65E3"/>
    <w:rsid w:val="002C71B3"/>
    <w:rsid w:val="002C7FE1"/>
    <w:rsid w:val="002D08F2"/>
    <w:rsid w:val="002D1DE5"/>
    <w:rsid w:val="002D3B91"/>
    <w:rsid w:val="002D425A"/>
    <w:rsid w:val="002D4761"/>
    <w:rsid w:val="002D5609"/>
    <w:rsid w:val="002D56D7"/>
    <w:rsid w:val="002D726D"/>
    <w:rsid w:val="002E1C53"/>
    <w:rsid w:val="002E2A6C"/>
    <w:rsid w:val="002E5245"/>
    <w:rsid w:val="002E5FEB"/>
    <w:rsid w:val="002E60A9"/>
    <w:rsid w:val="002E764E"/>
    <w:rsid w:val="002E7A68"/>
    <w:rsid w:val="002F1540"/>
    <w:rsid w:val="002F3625"/>
    <w:rsid w:val="002F417D"/>
    <w:rsid w:val="002F4223"/>
    <w:rsid w:val="002F7148"/>
    <w:rsid w:val="003011F5"/>
    <w:rsid w:val="00301212"/>
    <w:rsid w:val="00301884"/>
    <w:rsid w:val="00301B48"/>
    <w:rsid w:val="00301D88"/>
    <w:rsid w:val="00306057"/>
    <w:rsid w:val="003069A5"/>
    <w:rsid w:val="00306CC0"/>
    <w:rsid w:val="003102BA"/>
    <w:rsid w:val="00311A03"/>
    <w:rsid w:val="00313EAE"/>
    <w:rsid w:val="003163FB"/>
    <w:rsid w:val="00320AAE"/>
    <w:rsid w:val="0032134D"/>
    <w:rsid w:val="0032300B"/>
    <w:rsid w:val="003237A1"/>
    <w:rsid w:val="00326D52"/>
    <w:rsid w:val="003321E8"/>
    <w:rsid w:val="00332F4D"/>
    <w:rsid w:val="00333091"/>
    <w:rsid w:val="0033453D"/>
    <w:rsid w:val="00336C84"/>
    <w:rsid w:val="00337827"/>
    <w:rsid w:val="00337DC8"/>
    <w:rsid w:val="003400DB"/>
    <w:rsid w:val="003419E1"/>
    <w:rsid w:val="00342065"/>
    <w:rsid w:val="0034270A"/>
    <w:rsid w:val="003447E1"/>
    <w:rsid w:val="00344BD5"/>
    <w:rsid w:val="00345DEE"/>
    <w:rsid w:val="00346152"/>
    <w:rsid w:val="00346E94"/>
    <w:rsid w:val="0035150A"/>
    <w:rsid w:val="0035220C"/>
    <w:rsid w:val="003535B2"/>
    <w:rsid w:val="00355028"/>
    <w:rsid w:val="003564B4"/>
    <w:rsid w:val="003568DB"/>
    <w:rsid w:val="00360444"/>
    <w:rsid w:val="00360D20"/>
    <w:rsid w:val="00362C69"/>
    <w:rsid w:val="00364635"/>
    <w:rsid w:val="00365469"/>
    <w:rsid w:val="0037141E"/>
    <w:rsid w:val="00371B31"/>
    <w:rsid w:val="00373697"/>
    <w:rsid w:val="0037405B"/>
    <w:rsid w:val="00375BC7"/>
    <w:rsid w:val="00376D4E"/>
    <w:rsid w:val="003774D6"/>
    <w:rsid w:val="00380AAF"/>
    <w:rsid w:val="003815D8"/>
    <w:rsid w:val="003828DB"/>
    <w:rsid w:val="00386B1D"/>
    <w:rsid w:val="0038733C"/>
    <w:rsid w:val="00387AE5"/>
    <w:rsid w:val="00390753"/>
    <w:rsid w:val="003925A2"/>
    <w:rsid w:val="00394C8F"/>
    <w:rsid w:val="00397458"/>
    <w:rsid w:val="003A30E3"/>
    <w:rsid w:val="003A3F94"/>
    <w:rsid w:val="003A62F1"/>
    <w:rsid w:val="003A7A68"/>
    <w:rsid w:val="003A7D3D"/>
    <w:rsid w:val="003B2FA6"/>
    <w:rsid w:val="003B325C"/>
    <w:rsid w:val="003B3283"/>
    <w:rsid w:val="003B33A2"/>
    <w:rsid w:val="003B42D2"/>
    <w:rsid w:val="003B460C"/>
    <w:rsid w:val="003B5856"/>
    <w:rsid w:val="003B662B"/>
    <w:rsid w:val="003C2A9B"/>
    <w:rsid w:val="003C4608"/>
    <w:rsid w:val="003C6172"/>
    <w:rsid w:val="003C63DF"/>
    <w:rsid w:val="003C77FF"/>
    <w:rsid w:val="003D0D63"/>
    <w:rsid w:val="003D35D3"/>
    <w:rsid w:val="003D42C2"/>
    <w:rsid w:val="003D4FE7"/>
    <w:rsid w:val="003D57BB"/>
    <w:rsid w:val="003D7831"/>
    <w:rsid w:val="003E088D"/>
    <w:rsid w:val="003E174E"/>
    <w:rsid w:val="003E2289"/>
    <w:rsid w:val="003E277C"/>
    <w:rsid w:val="003E41AE"/>
    <w:rsid w:val="003E478D"/>
    <w:rsid w:val="003E5440"/>
    <w:rsid w:val="003E59E5"/>
    <w:rsid w:val="003E5A5B"/>
    <w:rsid w:val="003E6352"/>
    <w:rsid w:val="003E6A20"/>
    <w:rsid w:val="003E7D57"/>
    <w:rsid w:val="003F5D8D"/>
    <w:rsid w:val="003F6913"/>
    <w:rsid w:val="00400AEE"/>
    <w:rsid w:val="0040112B"/>
    <w:rsid w:val="00401C7A"/>
    <w:rsid w:val="0040209E"/>
    <w:rsid w:val="0040236B"/>
    <w:rsid w:val="00404285"/>
    <w:rsid w:val="004060A2"/>
    <w:rsid w:val="00406EA8"/>
    <w:rsid w:val="00410DBA"/>
    <w:rsid w:val="00410F08"/>
    <w:rsid w:val="00411877"/>
    <w:rsid w:val="004149CC"/>
    <w:rsid w:val="00414E25"/>
    <w:rsid w:val="00416344"/>
    <w:rsid w:val="004207D2"/>
    <w:rsid w:val="00421047"/>
    <w:rsid w:val="00423D68"/>
    <w:rsid w:val="00424487"/>
    <w:rsid w:val="004271EE"/>
    <w:rsid w:val="00427B67"/>
    <w:rsid w:val="00427D08"/>
    <w:rsid w:val="004313B6"/>
    <w:rsid w:val="0043185B"/>
    <w:rsid w:val="004333B1"/>
    <w:rsid w:val="00433742"/>
    <w:rsid w:val="004346F2"/>
    <w:rsid w:val="004353E7"/>
    <w:rsid w:val="00435DA3"/>
    <w:rsid w:val="00436A39"/>
    <w:rsid w:val="00436E02"/>
    <w:rsid w:val="004374D0"/>
    <w:rsid w:val="00437B3A"/>
    <w:rsid w:val="00440B6D"/>
    <w:rsid w:val="004414C1"/>
    <w:rsid w:val="00447339"/>
    <w:rsid w:val="00447A3B"/>
    <w:rsid w:val="00450E9C"/>
    <w:rsid w:val="00451125"/>
    <w:rsid w:val="0045174B"/>
    <w:rsid w:val="0045289D"/>
    <w:rsid w:val="00456D60"/>
    <w:rsid w:val="00457A5C"/>
    <w:rsid w:val="00461D77"/>
    <w:rsid w:val="00464896"/>
    <w:rsid w:val="00464C95"/>
    <w:rsid w:val="00465101"/>
    <w:rsid w:val="004654CA"/>
    <w:rsid w:val="00466F1B"/>
    <w:rsid w:val="004700EF"/>
    <w:rsid w:val="004706E1"/>
    <w:rsid w:val="00473CD7"/>
    <w:rsid w:val="0047488B"/>
    <w:rsid w:val="004757C9"/>
    <w:rsid w:val="004772C6"/>
    <w:rsid w:val="00477377"/>
    <w:rsid w:val="00480443"/>
    <w:rsid w:val="00480D98"/>
    <w:rsid w:val="00481646"/>
    <w:rsid w:val="00482231"/>
    <w:rsid w:val="0048346D"/>
    <w:rsid w:val="004848C1"/>
    <w:rsid w:val="00486B72"/>
    <w:rsid w:val="00490316"/>
    <w:rsid w:val="004904B8"/>
    <w:rsid w:val="00492518"/>
    <w:rsid w:val="0049390D"/>
    <w:rsid w:val="004A115D"/>
    <w:rsid w:val="004A3138"/>
    <w:rsid w:val="004A313F"/>
    <w:rsid w:val="004A524C"/>
    <w:rsid w:val="004A5530"/>
    <w:rsid w:val="004A5C75"/>
    <w:rsid w:val="004B020A"/>
    <w:rsid w:val="004B035B"/>
    <w:rsid w:val="004B048D"/>
    <w:rsid w:val="004B33ED"/>
    <w:rsid w:val="004B477F"/>
    <w:rsid w:val="004B5A0A"/>
    <w:rsid w:val="004B6A57"/>
    <w:rsid w:val="004B6B27"/>
    <w:rsid w:val="004B6DE4"/>
    <w:rsid w:val="004C188B"/>
    <w:rsid w:val="004C1CC2"/>
    <w:rsid w:val="004C29DC"/>
    <w:rsid w:val="004C2BC2"/>
    <w:rsid w:val="004C3904"/>
    <w:rsid w:val="004C3A7C"/>
    <w:rsid w:val="004C3E08"/>
    <w:rsid w:val="004C4D90"/>
    <w:rsid w:val="004C5945"/>
    <w:rsid w:val="004C6554"/>
    <w:rsid w:val="004D0A9B"/>
    <w:rsid w:val="004D14A7"/>
    <w:rsid w:val="004D16C7"/>
    <w:rsid w:val="004D293A"/>
    <w:rsid w:val="004D2C50"/>
    <w:rsid w:val="004D7031"/>
    <w:rsid w:val="004E043E"/>
    <w:rsid w:val="004E1BBC"/>
    <w:rsid w:val="004E1C1B"/>
    <w:rsid w:val="004E1D84"/>
    <w:rsid w:val="004E30E2"/>
    <w:rsid w:val="004E35C4"/>
    <w:rsid w:val="004E3925"/>
    <w:rsid w:val="004E652E"/>
    <w:rsid w:val="004E6DD1"/>
    <w:rsid w:val="004E7410"/>
    <w:rsid w:val="004E74BA"/>
    <w:rsid w:val="004E74C6"/>
    <w:rsid w:val="004F213A"/>
    <w:rsid w:val="004F4112"/>
    <w:rsid w:val="004F4B92"/>
    <w:rsid w:val="004F4C39"/>
    <w:rsid w:val="004F5004"/>
    <w:rsid w:val="004F5182"/>
    <w:rsid w:val="004F709D"/>
    <w:rsid w:val="004F7FAB"/>
    <w:rsid w:val="00501D36"/>
    <w:rsid w:val="0050337B"/>
    <w:rsid w:val="005039F6"/>
    <w:rsid w:val="00503F8D"/>
    <w:rsid w:val="00504328"/>
    <w:rsid w:val="00506116"/>
    <w:rsid w:val="005075C4"/>
    <w:rsid w:val="00510442"/>
    <w:rsid w:val="00510A62"/>
    <w:rsid w:val="00511FFB"/>
    <w:rsid w:val="005124D2"/>
    <w:rsid w:val="005127C4"/>
    <w:rsid w:val="00514BD9"/>
    <w:rsid w:val="00515C86"/>
    <w:rsid w:val="00516537"/>
    <w:rsid w:val="00517116"/>
    <w:rsid w:val="00517C2F"/>
    <w:rsid w:val="00517E16"/>
    <w:rsid w:val="00522890"/>
    <w:rsid w:val="00523775"/>
    <w:rsid w:val="0052396B"/>
    <w:rsid w:val="00524746"/>
    <w:rsid w:val="005250D9"/>
    <w:rsid w:val="005256B1"/>
    <w:rsid w:val="005257BB"/>
    <w:rsid w:val="005261A9"/>
    <w:rsid w:val="00527472"/>
    <w:rsid w:val="00527856"/>
    <w:rsid w:val="0053019E"/>
    <w:rsid w:val="00530D4C"/>
    <w:rsid w:val="005332F8"/>
    <w:rsid w:val="005350F8"/>
    <w:rsid w:val="0053628D"/>
    <w:rsid w:val="00537760"/>
    <w:rsid w:val="0054018C"/>
    <w:rsid w:val="005448CF"/>
    <w:rsid w:val="00545272"/>
    <w:rsid w:val="005461F2"/>
    <w:rsid w:val="00546BFA"/>
    <w:rsid w:val="00546F11"/>
    <w:rsid w:val="00547060"/>
    <w:rsid w:val="0054735B"/>
    <w:rsid w:val="00547E11"/>
    <w:rsid w:val="005510CF"/>
    <w:rsid w:val="0055165C"/>
    <w:rsid w:val="00552486"/>
    <w:rsid w:val="0055254B"/>
    <w:rsid w:val="005525A8"/>
    <w:rsid w:val="00555835"/>
    <w:rsid w:val="005566D4"/>
    <w:rsid w:val="0055740F"/>
    <w:rsid w:val="00557FC1"/>
    <w:rsid w:val="00560241"/>
    <w:rsid w:val="005610CD"/>
    <w:rsid w:val="00562B25"/>
    <w:rsid w:val="005644B9"/>
    <w:rsid w:val="00564F41"/>
    <w:rsid w:val="005650CB"/>
    <w:rsid w:val="00565E14"/>
    <w:rsid w:val="00566C44"/>
    <w:rsid w:val="00567D27"/>
    <w:rsid w:val="0057099B"/>
    <w:rsid w:val="0057272C"/>
    <w:rsid w:val="0057279D"/>
    <w:rsid w:val="0057286B"/>
    <w:rsid w:val="00572D52"/>
    <w:rsid w:val="0057419D"/>
    <w:rsid w:val="00576E57"/>
    <w:rsid w:val="00577E48"/>
    <w:rsid w:val="00580DD1"/>
    <w:rsid w:val="0058331D"/>
    <w:rsid w:val="0058551A"/>
    <w:rsid w:val="00586FEF"/>
    <w:rsid w:val="00592A8A"/>
    <w:rsid w:val="00597250"/>
    <w:rsid w:val="00597545"/>
    <w:rsid w:val="005A24BE"/>
    <w:rsid w:val="005A32ED"/>
    <w:rsid w:val="005A3EB3"/>
    <w:rsid w:val="005A436D"/>
    <w:rsid w:val="005A541C"/>
    <w:rsid w:val="005B048F"/>
    <w:rsid w:val="005B0B5E"/>
    <w:rsid w:val="005B3FBF"/>
    <w:rsid w:val="005B46A2"/>
    <w:rsid w:val="005B57D0"/>
    <w:rsid w:val="005B7778"/>
    <w:rsid w:val="005C10F1"/>
    <w:rsid w:val="005C3B69"/>
    <w:rsid w:val="005C4092"/>
    <w:rsid w:val="005C53C8"/>
    <w:rsid w:val="005C5594"/>
    <w:rsid w:val="005C62A0"/>
    <w:rsid w:val="005C6A06"/>
    <w:rsid w:val="005C702B"/>
    <w:rsid w:val="005C776F"/>
    <w:rsid w:val="005C7794"/>
    <w:rsid w:val="005D0592"/>
    <w:rsid w:val="005D1CF2"/>
    <w:rsid w:val="005D1E86"/>
    <w:rsid w:val="005D20D6"/>
    <w:rsid w:val="005D2114"/>
    <w:rsid w:val="005D51D5"/>
    <w:rsid w:val="005D5B5F"/>
    <w:rsid w:val="005D72FF"/>
    <w:rsid w:val="005E1403"/>
    <w:rsid w:val="005E51C0"/>
    <w:rsid w:val="005E6BD2"/>
    <w:rsid w:val="005F0A5E"/>
    <w:rsid w:val="005F281E"/>
    <w:rsid w:val="005F3802"/>
    <w:rsid w:val="005F458C"/>
    <w:rsid w:val="005F4749"/>
    <w:rsid w:val="005F4E2B"/>
    <w:rsid w:val="005F5003"/>
    <w:rsid w:val="005F6F10"/>
    <w:rsid w:val="005F7055"/>
    <w:rsid w:val="005F7137"/>
    <w:rsid w:val="00600632"/>
    <w:rsid w:val="0060118A"/>
    <w:rsid w:val="0060304A"/>
    <w:rsid w:val="00603A7B"/>
    <w:rsid w:val="00604FE5"/>
    <w:rsid w:val="0060735D"/>
    <w:rsid w:val="00607E81"/>
    <w:rsid w:val="0061390E"/>
    <w:rsid w:val="00614FDD"/>
    <w:rsid w:val="00616311"/>
    <w:rsid w:val="00617792"/>
    <w:rsid w:val="006179F7"/>
    <w:rsid w:val="00620086"/>
    <w:rsid w:val="006207FA"/>
    <w:rsid w:val="00622B7E"/>
    <w:rsid w:val="0062343F"/>
    <w:rsid w:val="0062477E"/>
    <w:rsid w:val="00624853"/>
    <w:rsid w:val="00624C3E"/>
    <w:rsid w:val="006253FD"/>
    <w:rsid w:val="00625C0C"/>
    <w:rsid w:val="0062669E"/>
    <w:rsid w:val="0063094B"/>
    <w:rsid w:val="006333A7"/>
    <w:rsid w:val="0063378B"/>
    <w:rsid w:val="00634610"/>
    <w:rsid w:val="00634972"/>
    <w:rsid w:val="006350AE"/>
    <w:rsid w:val="00635C2A"/>
    <w:rsid w:val="00636A81"/>
    <w:rsid w:val="0063751E"/>
    <w:rsid w:val="00637983"/>
    <w:rsid w:val="0064094E"/>
    <w:rsid w:val="0064128F"/>
    <w:rsid w:val="0064158E"/>
    <w:rsid w:val="006417AB"/>
    <w:rsid w:val="0064356A"/>
    <w:rsid w:val="00646A2B"/>
    <w:rsid w:val="00646D56"/>
    <w:rsid w:val="00647AD7"/>
    <w:rsid w:val="00652FC1"/>
    <w:rsid w:val="00653501"/>
    <w:rsid w:val="0065365F"/>
    <w:rsid w:val="006550CC"/>
    <w:rsid w:val="00656B76"/>
    <w:rsid w:val="00656E82"/>
    <w:rsid w:val="0066074B"/>
    <w:rsid w:val="00661FB7"/>
    <w:rsid w:val="0066294F"/>
    <w:rsid w:val="00664128"/>
    <w:rsid w:val="006649F6"/>
    <w:rsid w:val="00666EDE"/>
    <w:rsid w:val="00667311"/>
    <w:rsid w:val="00667641"/>
    <w:rsid w:val="006677B9"/>
    <w:rsid w:val="00670157"/>
    <w:rsid w:val="00672D9F"/>
    <w:rsid w:val="00673516"/>
    <w:rsid w:val="00676351"/>
    <w:rsid w:val="00680B4E"/>
    <w:rsid w:val="006823E4"/>
    <w:rsid w:val="00683A15"/>
    <w:rsid w:val="0068428A"/>
    <w:rsid w:val="00684F68"/>
    <w:rsid w:val="006856BD"/>
    <w:rsid w:val="00685D78"/>
    <w:rsid w:val="0068691E"/>
    <w:rsid w:val="00686B29"/>
    <w:rsid w:val="00687249"/>
    <w:rsid w:val="00687A1E"/>
    <w:rsid w:val="00690187"/>
    <w:rsid w:val="00690223"/>
    <w:rsid w:val="00690667"/>
    <w:rsid w:val="006919D6"/>
    <w:rsid w:val="0069513B"/>
    <w:rsid w:val="0069560B"/>
    <w:rsid w:val="006A051D"/>
    <w:rsid w:val="006A1025"/>
    <w:rsid w:val="006A127F"/>
    <w:rsid w:val="006A1983"/>
    <w:rsid w:val="006A2E46"/>
    <w:rsid w:val="006A4E5E"/>
    <w:rsid w:val="006A54BD"/>
    <w:rsid w:val="006A7C15"/>
    <w:rsid w:val="006B0D96"/>
    <w:rsid w:val="006B1F24"/>
    <w:rsid w:val="006B2A02"/>
    <w:rsid w:val="006B2FD5"/>
    <w:rsid w:val="006B4F2F"/>
    <w:rsid w:val="006B5D65"/>
    <w:rsid w:val="006B75E9"/>
    <w:rsid w:val="006C0A16"/>
    <w:rsid w:val="006C0AEB"/>
    <w:rsid w:val="006C1009"/>
    <w:rsid w:val="006C23E3"/>
    <w:rsid w:val="006C2BCF"/>
    <w:rsid w:val="006C6272"/>
    <w:rsid w:val="006C753E"/>
    <w:rsid w:val="006D03AF"/>
    <w:rsid w:val="006D0715"/>
    <w:rsid w:val="006D1526"/>
    <w:rsid w:val="006D1B3B"/>
    <w:rsid w:val="006D263D"/>
    <w:rsid w:val="006D457D"/>
    <w:rsid w:val="006D4AE6"/>
    <w:rsid w:val="006D4CA4"/>
    <w:rsid w:val="006D592A"/>
    <w:rsid w:val="006D61C8"/>
    <w:rsid w:val="006D75A4"/>
    <w:rsid w:val="006E0BD6"/>
    <w:rsid w:val="006E23CB"/>
    <w:rsid w:val="006E2CA3"/>
    <w:rsid w:val="006E725D"/>
    <w:rsid w:val="006E7977"/>
    <w:rsid w:val="006F0A7B"/>
    <w:rsid w:val="006F1FF4"/>
    <w:rsid w:val="006F2189"/>
    <w:rsid w:val="006F3521"/>
    <w:rsid w:val="006F3539"/>
    <w:rsid w:val="006F5AA8"/>
    <w:rsid w:val="006F714D"/>
    <w:rsid w:val="007000AB"/>
    <w:rsid w:val="00700536"/>
    <w:rsid w:val="00701700"/>
    <w:rsid w:val="00702929"/>
    <w:rsid w:val="00703036"/>
    <w:rsid w:val="007042BB"/>
    <w:rsid w:val="00704EA0"/>
    <w:rsid w:val="007050FE"/>
    <w:rsid w:val="00706EF1"/>
    <w:rsid w:val="00710877"/>
    <w:rsid w:val="0071101B"/>
    <w:rsid w:val="007126EF"/>
    <w:rsid w:val="00712B97"/>
    <w:rsid w:val="00715F6C"/>
    <w:rsid w:val="00715FB6"/>
    <w:rsid w:val="007207C7"/>
    <w:rsid w:val="00720AE1"/>
    <w:rsid w:val="00720C34"/>
    <w:rsid w:val="00720F6D"/>
    <w:rsid w:val="00722A9B"/>
    <w:rsid w:val="0072479B"/>
    <w:rsid w:val="00725657"/>
    <w:rsid w:val="007257EE"/>
    <w:rsid w:val="00725F94"/>
    <w:rsid w:val="00726E13"/>
    <w:rsid w:val="00727949"/>
    <w:rsid w:val="00732836"/>
    <w:rsid w:val="00735734"/>
    <w:rsid w:val="00736400"/>
    <w:rsid w:val="007367BC"/>
    <w:rsid w:val="0074079F"/>
    <w:rsid w:val="0074093D"/>
    <w:rsid w:val="00742D56"/>
    <w:rsid w:val="00743087"/>
    <w:rsid w:val="00743090"/>
    <w:rsid w:val="00743192"/>
    <w:rsid w:val="007459D6"/>
    <w:rsid w:val="00746EA9"/>
    <w:rsid w:val="007479A8"/>
    <w:rsid w:val="00750CD6"/>
    <w:rsid w:val="00750FFB"/>
    <w:rsid w:val="00751BE0"/>
    <w:rsid w:val="00752754"/>
    <w:rsid w:val="007536F2"/>
    <w:rsid w:val="00755935"/>
    <w:rsid w:val="00755D87"/>
    <w:rsid w:val="00756F30"/>
    <w:rsid w:val="007602E4"/>
    <w:rsid w:val="00760B23"/>
    <w:rsid w:val="0076384F"/>
    <w:rsid w:val="007662BA"/>
    <w:rsid w:val="00766CB5"/>
    <w:rsid w:val="00767703"/>
    <w:rsid w:val="00770FEC"/>
    <w:rsid w:val="00771349"/>
    <w:rsid w:val="00771688"/>
    <w:rsid w:val="00771722"/>
    <w:rsid w:val="00772033"/>
    <w:rsid w:val="007723A4"/>
    <w:rsid w:val="0077509A"/>
    <w:rsid w:val="007769DC"/>
    <w:rsid w:val="00780C09"/>
    <w:rsid w:val="00781BF1"/>
    <w:rsid w:val="00783A94"/>
    <w:rsid w:val="00785243"/>
    <w:rsid w:val="00785A8D"/>
    <w:rsid w:val="00786B7D"/>
    <w:rsid w:val="007912CB"/>
    <w:rsid w:val="007930FE"/>
    <w:rsid w:val="00794AAC"/>
    <w:rsid w:val="00796A2A"/>
    <w:rsid w:val="007A1CD1"/>
    <w:rsid w:val="007A2664"/>
    <w:rsid w:val="007A31E7"/>
    <w:rsid w:val="007A3721"/>
    <w:rsid w:val="007A4785"/>
    <w:rsid w:val="007A569A"/>
    <w:rsid w:val="007B098A"/>
    <w:rsid w:val="007B0E3C"/>
    <w:rsid w:val="007B2193"/>
    <w:rsid w:val="007B273B"/>
    <w:rsid w:val="007B3BB4"/>
    <w:rsid w:val="007B48C7"/>
    <w:rsid w:val="007B515F"/>
    <w:rsid w:val="007B5FBF"/>
    <w:rsid w:val="007B6F14"/>
    <w:rsid w:val="007C0233"/>
    <w:rsid w:val="007C0DE5"/>
    <w:rsid w:val="007C1BC8"/>
    <w:rsid w:val="007C2838"/>
    <w:rsid w:val="007C31D6"/>
    <w:rsid w:val="007C4307"/>
    <w:rsid w:val="007C59B7"/>
    <w:rsid w:val="007C7A2F"/>
    <w:rsid w:val="007D087B"/>
    <w:rsid w:val="007D0973"/>
    <w:rsid w:val="007D28AF"/>
    <w:rsid w:val="007D2A39"/>
    <w:rsid w:val="007D2A78"/>
    <w:rsid w:val="007D4432"/>
    <w:rsid w:val="007D5329"/>
    <w:rsid w:val="007D54C6"/>
    <w:rsid w:val="007D5EEB"/>
    <w:rsid w:val="007D6A57"/>
    <w:rsid w:val="007D6CD5"/>
    <w:rsid w:val="007D7418"/>
    <w:rsid w:val="007E04EA"/>
    <w:rsid w:val="007E0832"/>
    <w:rsid w:val="007E14F0"/>
    <w:rsid w:val="007E1566"/>
    <w:rsid w:val="007E1629"/>
    <w:rsid w:val="007E2A69"/>
    <w:rsid w:val="007E50E3"/>
    <w:rsid w:val="007E59C1"/>
    <w:rsid w:val="007E5A9D"/>
    <w:rsid w:val="007E71A1"/>
    <w:rsid w:val="007F07FE"/>
    <w:rsid w:val="007F277A"/>
    <w:rsid w:val="007F3BF1"/>
    <w:rsid w:val="007F6418"/>
    <w:rsid w:val="007F65E2"/>
    <w:rsid w:val="00800967"/>
    <w:rsid w:val="00801829"/>
    <w:rsid w:val="0080256B"/>
    <w:rsid w:val="0080347A"/>
    <w:rsid w:val="00803A3B"/>
    <w:rsid w:val="00805517"/>
    <w:rsid w:val="00806208"/>
    <w:rsid w:val="00807F8D"/>
    <w:rsid w:val="008129CC"/>
    <w:rsid w:val="00812A28"/>
    <w:rsid w:val="0081457D"/>
    <w:rsid w:val="00814C9B"/>
    <w:rsid w:val="00816A1C"/>
    <w:rsid w:val="00816A92"/>
    <w:rsid w:val="00816AA2"/>
    <w:rsid w:val="00816B48"/>
    <w:rsid w:val="00817A8D"/>
    <w:rsid w:val="0082048C"/>
    <w:rsid w:val="00822EAF"/>
    <w:rsid w:val="008235AC"/>
    <w:rsid w:val="008254DE"/>
    <w:rsid w:val="00827DFF"/>
    <w:rsid w:val="008309C1"/>
    <w:rsid w:val="00830BEA"/>
    <w:rsid w:val="00830C14"/>
    <w:rsid w:val="00831D4F"/>
    <w:rsid w:val="00833C4C"/>
    <w:rsid w:val="008346DD"/>
    <w:rsid w:val="00834A73"/>
    <w:rsid w:val="00834C8F"/>
    <w:rsid w:val="0083514F"/>
    <w:rsid w:val="00835E81"/>
    <w:rsid w:val="008376A2"/>
    <w:rsid w:val="00840944"/>
    <w:rsid w:val="0084192D"/>
    <w:rsid w:val="00841CE3"/>
    <w:rsid w:val="008433EF"/>
    <w:rsid w:val="00844BBE"/>
    <w:rsid w:val="00844E11"/>
    <w:rsid w:val="00845411"/>
    <w:rsid w:val="00847B4E"/>
    <w:rsid w:val="00851218"/>
    <w:rsid w:val="00853613"/>
    <w:rsid w:val="00853E00"/>
    <w:rsid w:val="008545DB"/>
    <w:rsid w:val="00854C9F"/>
    <w:rsid w:val="008570E3"/>
    <w:rsid w:val="0086047A"/>
    <w:rsid w:val="00861551"/>
    <w:rsid w:val="00861BAB"/>
    <w:rsid w:val="00861F1F"/>
    <w:rsid w:val="0086411A"/>
    <w:rsid w:val="00864E00"/>
    <w:rsid w:val="00865842"/>
    <w:rsid w:val="00865988"/>
    <w:rsid w:val="00866277"/>
    <w:rsid w:val="0086765D"/>
    <w:rsid w:val="00870440"/>
    <w:rsid w:val="008720DA"/>
    <w:rsid w:val="00872EE4"/>
    <w:rsid w:val="008749EE"/>
    <w:rsid w:val="00877FF1"/>
    <w:rsid w:val="0088123E"/>
    <w:rsid w:val="008839EC"/>
    <w:rsid w:val="00886970"/>
    <w:rsid w:val="0089001B"/>
    <w:rsid w:val="0089115F"/>
    <w:rsid w:val="00893579"/>
    <w:rsid w:val="00894A17"/>
    <w:rsid w:val="00894E8A"/>
    <w:rsid w:val="00895E16"/>
    <w:rsid w:val="00895E46"/>
    <w:rsid w:val="0089649F"/>
    <w:rsid w:val="00897091"/>
    <w:rsid w:val="00897C36"/>
    <w:rsid w:val="008A077C"/>
    <w:rsid w:val="008A0FEA"/>
    <w:rsid w:val="008A2807"/>
    <w:rsid w:val="008A3B48"/>
    <w:rsid w:val="008A49D7"/>
    <w:rsid w:val="008B1163"/>
    <w:rsid w:val="008B324B"/>
    <w:rsid w:val="008B3B43"/>
    <w:rsid w:val="008B59BE"/>
    <w:rsid w:val="008B6D3C"/>
    <w:rsid w:val="008C0395"/>
    <w:rsid w:val="008C0CB1"/>
    <w:rsid w:val="008C1537"/>
    <w:rsid w:val="008C406A"/>
    <w:rsid w:val="008C6141"/>
    <w:rsid w:val="008C67B9"/>
    <w:rsid w:val="008C6B35"/>
    <w:rsid w:val="008C6D86"/>
    <w:rsid w:val="008C77F3"/>
    <w:rsid w:val="008D0550"/>
    <w:rsid w:val="008D31BA"/>
    <w:rsid w:val="008D3FAF"/>
    <w:rsid w:val="008D4136"/>
    <w:rsid w:val="008D4ED1"/>
    <w:rsid w:val="008D5491"/>
    <w:rsid w:val="008D57C6"/>
    <w:rsid w:val="008E0DAB"/>
    <w:rsid w:val="008E5A54"/>
    <w:rsid w:val="008E60BB"/>
    <w:rsid w:val="008E681B"/>
    <w:rsid w:val="008F09F2"/>
    <w:rsid w:val="008F1113"/>
    <w:rsid w:val="008F2ED1"/>
    <w:rsid w:val="008F357B"/>
    <w:rsid w:val="008F35EE"/>
    <w:rsid w:val="008F380E"/>
    <w:rsid w:val="008F3839"/>
    <w:rsid w:val="008F3A42"/>
    <w:rsid w:val="008F3D2B"/>
    <w:rsid w:val="008F4552"/>
    <w:rsid w:val="008F60F0"/>
    <w:rsid w:val="008F7053"/>
    <w:rsid w:val="008F7DAF"/>
    <w:rsid w:val="00901659"/>
    <w:rsid w:val="0090181E"/>
    <w:rsid w:val="009027B9"/>
    <w:rsid w:val="00904145"/>
    <w:rsid w:val="00905C14"/>
    <w:rsid w:val="00906668"/>
    <w:rsid w:val="009068ED"/>
    <w:rsid w:val="0090697E"/>
    <w:rsid w:val="00906B26"/>
    <w:rsid w:val="00906F3D"/>
    <w:rsid w:val="009072DC"/>
    <w:rsid w:val="0090795C"/>
    <w:rsid w:val="009079E6"/>
    <w:rsid w:val="00907BA9"/>
    <w:rsid w:val="009103E0"/>
    <w:rsid w:val="009115CC"/>
    <w:rsid w:val="00911BB0"/>
    <w:rsid w:val="00911DD1"/>
    <w:rsid w:val="00914A0E"/>
    <w:rsid w:val="00914E0B"/>
    <w:rsid w:val="00915301"/>
    <w:rsid w:val="009159FD"/>
    <w:rsid w:val="00916353"/>
    <w:rsid w:val="0091741D"/>
    <w:rsid w:val="009205AB"/>
    <w:rsid w:val="00921464"/>
    <w:rsid w:val="00921C49"/>
    <w:rsid w:val="009226E4"/>
    <w:rsid w:val="00922A72"/>
    <w:rsid w:val="0092339E"/>
    <w:rsid w:val="00924837"/>
    <w:rsid w:val="00924F99"/>
    <w:rsid w:val="00930A07"/>
    <w:rsid w:val="00931ADE"/>
    <w:rsid w:val="00932ED7"/>
    <w:rsid w:val="0093359B"/>
    <w:rsid w:val="009336EE"/>
    <w:rsid w:val="00933789"/>
    <w:rsid w:val="009339B8"/>
    <w:rsid w:val="00936CE4"/>
    <w:rsid w:val="0093727F"/>
    <w:rsid w:val="00937872"/>
    <w:rsid w:val="00937FE9"/>
    <w:rsid w:val="00940045"/>
    <w:rsid w:val="00941386"/>
    <w:rsid w:val="00941778"/>
    <w:rsid w:val="00941A42"/>
    <w:rsid w:val="00942E1A"/>
    <w:rsid w:val="00943466"/>
    <w:rsid w:val="009456DE"/>
    <w:rsid w:val="00945721"/>
    <w:rsid w:val="009515A9"/>
    <w:rsid w:val="009521D6"/>
    <w:rsid w:val="009533B5"/>
    <w:rsid w:val="00954298"/>
    <w:rsid w:val="00955A73"/>
    <w:rsid w:val="00955BB2"/>
    <w:rsid w:val="0095618A"/>
    <w:rsid w:val="0096065C"/>
    <w:rsid w:val="009611C0"/>
    <w:rsid w:val="0096460F"/>
    <w:rsid w:val="009648CB"/>
    <w:rsid w:val="00964F8B"/>
    <w:rsid w:val="00965429"/>
    <w:rsid w:val="00965D7F"/>
    <w:rsid w:val="009663C4"/>
    <w:rsid w:val="009705ED"/>
    <w:rsid w:val="00970F4E"/>
    <w:rsid w:val="009730DB"/>
    <w:rsid w:val="00976243"/>
    <w:rsid w:val="00977841"/>
    <w:rsid w:val="00977F7A"/>
    <w:rsid w:val="009830E7"/>
    <w:rsid w:val="009841DF"/>
    <w:rsid w:val="00991DE3"/>
    <w:rsid w:val="0099331C"/>
    <w:rsid w:val="00995238"/>
    <w:rsid w:val="0099628B"/>
    <w:rsid w:val="009A1028"/>
    <w:rsid w:val="009A28D3"/>
    <w:rsid w:val="009A2915"/>
    <w:rsid w:val="009A325E"/>
    <w:rsid w:val="009A3454"/>
    <w:rsid w:val="009A400F"/>
    <w:rsid w:val="009A437E"/>
    <w:rsid w:val="009B022C"/>
    <w:rsid w:val="009B0ECC"/>
    <w:rsid w:val="009B15E5"/>
    <w:rsid w:val="009B1BAB"/>
    <w:rsid w:val="009B35FA"/>
    <w:rsid w:val="009B3A1C"/>
    <w:rsid w:val="009B63B4"/>
    <w:rsid w:val="009B7C4A"/>
    <w:rsid w:val="009C05A1"/>
    <w:rsid w:val="009C0FED"/>
    <w:rsid w:val="009C23E8"/>
    <w:rsid w:val="009C2A3D"/>
    <w:rsid w:val="009C32F6"/>
    <w:rsid w:val="009C33AC"/>
    <w:rsid w:val="009C35EA"/>
    <w:rsid w:val="009C4EFE"/>
    <w:rsid w:val="009C5303"/>
    <w:rsid w:val="009C72D7"/>
    <w:rsid w:val="009D004D"/>
    <w:rsid w:val="009D12FE"/>
    <w:rsid w:val="009D1EFC"/>
    <w:rsid w:val="009D37CA"/>
    <w:rsid w:val="009D3A3C"/>
    <w:rsid w:val="009D4468"/>
    <w:rsid w:val="009D5A66"/>
    <w:rsid w:val="009D783D"/>
    <w:rsid w:val="009E24A8"/>
    <w:rsid w:val="009E295C"/>
    <w:rsid w:val="009E5D63"/>
    <w:rsid w:val="009E6021"/>
    <w:rsid w:val="009E670E"/>
    <w:rsid w:val="009E6C98"/>
    <w:rsid w:val="009F037D"/>
    <w:rsid w:val="009F0FE2"/>
    <w:rsid w:val="009F111B"/>
    <w:rsid w:val="009F16DB"/>
    <w:rsid w:val="009F193C"/>
    <w:rsid w:val="009F2356"/>
    <w:rsid w:val="009F27AB"/>
    <w:rsid w:val="009F2C0C"/>
    <w:rsid w:val="009F541F"/>
    <w:rsid w:val="009F5D81"/>
    <w:rsid w:val="009F71D5"/>
    <w:rsid w:val="00A015F1"/>
    <w:rsid w:val="00A0257C"/>
    <w:rsid w:val="00A02A22"/>
    <w:rsid w:val="00A031E0"/>
    <w:rsid w:val="00A0350B"/>
    <w:rsid w:val="00A04CC7"/>
    <w:rsid w:val="00A06FEB"/>
    <w:rsid w:val="00A0710C"/>
    <w:rsid w:val="00A07499"/>
    <w:rsid w:val="00A101A9"/>
    <w:rsid w:val="00A1133D"/>
    <w:rsid w:val="00A12A7B"/>
    <w:rsid w:val="00A1368E"/>
    <w:rsid w:val="00A13A43"/>
    <w:rsid w:val="00A13A91"/>
    <w:rsid w:val="00A14653"/>
    <w:rsid w:val="00A15678"/>
    <w:rsid w:val="00A15B36"/>
    <w:rsid w:val="00A15C39"/>
    <w:rsid w:val="00A16FFC"/>
    <w:rsid w:val="00A21690"/>
    <w:rsid w:val="00A21DB4"/>
    <w:rsid w:val="00A231D3"/>
    <w:rsid w:val="00A23290"/>
    <w:rsid w:val="00A24612"/>
    <w:rsid w:val="00A2477A"/>
    <w:rsid w:val="00A2510B"/>
    <w:rsid w:val="00A30C3E"/>
    <w:rsid w:val="00A311B1"/>
    <w:rsid w:val="00A32567"/>
    <w:rsid w:val="00A32982"/>
    <w:rsid w:val="00A32A2B"/>
    <w:rsid w:val="00A32B47"/>
    <w:rsid w:val="00A36643"/>
    <w:rsid w:val="00A367F4"/>
    <w:rsid w:val="00A36FC3"/>
    <w:rsid w:val="00A3721C"/>
    <w:rsid w:val="00A37A81"/>
    <w:rsid w:val="00A40C3C"/>
    <w:rsid w:val="00A417A4"/>
    <w:rsid w:val="00A41E8C"/>
    <w:rsid w:val="00A43245"/>
    <w:rsid w:val="00A451F2"/>
    <w:rsid w:val="00A466E0"/>
    <w:rsid w:val="00A4699E"/>
    <w:rsid w:val="00A507E2"/>
    <w:rsid w:val="00A51276"/>
    <w:rsid w:val="00A534A9"/>
    <w:rsid w:val="00A536F9"/>
    <w:rsid w:val="00A541A9"/>
    <w:rsid w:val="00A5699E"/>
    <w:rsid w:val="00A56D4C"/>
    <w:rsid w:val="00A56E2C"/>
    <w:rsid w:val="00A57017"/>
    <w:rsid w:val="00A5779B"/>
    <w:rsid w:val="00A606F5"/>
    <w:rsid w:val="00A60E8E"/>
    <w:rsid w:val="00A61234"/>
    <w:rsid w:val="00A6142D"/>
    <w:rsid w:val="00A6331D"/>
    <w:rsid w:val="00A636B8"/>
    <w:rsid w:val="00A63BEC"/>
    <w:rsid w:val="00A64CCE"/>
    <w:rsid w:val="00A64D4F"/>
    <w:rsid w:val="00A650AF"/>
    <w:rsid w:val="00A6537D"/>
    <w:rsid w:val="00A661F8"/>
    <w:rsid w:val="00A66A0C"/>
    <w:rsid w:val="00A67A11"/>
    <w:rsid w:val="00A706F1"/>
    <w:rsid w:val="00A711B9"/>
    <w:rsid w:val="00A7151A"/>
    <w:rsid w:val="00A727D6"/>
    <w:rsid w:val="00A7381E"/>
    <w:rsid w:val="00A73AEA"/>
    <w:rsid w:val="00A74049"/>
    <w:rsid w:val="00A74ACA"/>
    <w:rsid w:val="00A76331"/>
    <w:rsid w:val="00A76453"/>
    <w:rsid w:val="00A80DD4"/>
    <w:rsid w:val="00A81F11"/>
    <w:rsid w:val="00A8444B"/>
    <w:rsid w:val="00A84B32"/>
    <w:rsid w:val="00A861E4"/>
    <w:rsid w:val="00A866B2"/>
    <w:rsid w:val="00A86F9F"/>
    <w:rsid w:val="00A93A25"/>
    <w:rsid w:val="00A94035"/>
    <w:rsid w:val="00A94152"/>
    <w:rsid w:val="00A96F59"/>
    <w:rsid w:val="00AA2E41"/>
    <w:rsid w:val="00AA2E87"/>
    <w:rsid w:val="00AA2F57"/>
    <w:rsid w:val="00AA361F"/>
    <w:rsid w:val="00AA4D2A"/>
    <w:rsid w:val="00AA6162"/>
    <w:rsid w:val="00AB06A6"/>
    <w:rsid w:val="00AB13AA"/>
    <w:rsid w:val="00AB1A65"/>
    <w:rsid w:val="00AB1BCA"/>
    <w:rsid w:val="00AB1EA8"/>
    <w:rsid w:val="00AB22B2"/>
    <w:rsid w:val="00AB415A"/>
    <w:rsid w:val="00AB451E"/>
    <w:rsid w:val="00AB46F0"/>
    <w:rsid w:val="00AB4A15"/>
    <w:rsid w:val="00AB51D7"/>
    <w:rsid w:val="00AB5725"/>
    <w:rsid w:val="00AB7E15"/>
    <w:rsid w:val="00AC039A"/>
    <w:rsid w:val="00AC0A00"/>
    <w:rsid w:val="00AC0E18"/>
    <w:rsid w:val="00AC4D44"/>
    <w:rsid w:val="00AC4E75"/>
    <w:rsid w:val="00AC5ABA"/>
    <w:rsid w:val="00AD26A2"/>
    <w:rsid w:val="00AD2E9A"/>
    <w:rsid w:val="00AD37D5"/>
    <w:rsid w:val="00AD3AE5"/>
    <w:rsid w:val="00AD5C98"/>
    <w:rsid w:val="00AD6195"/>
    <w:rsid w:val="00AE0440"/>
    <w:rsid w:val="00AE1B08"/>
    <w:rsid w:val="00AE213B"/>
    <w:rsid w:val="00AE3348"/>
    <w:rsid w:val="00AE4A0B"/>
    <w:rsid w:val="00AE52B4"/>
    <w:rsid w:val="00AE799F"/>
    <w:rsid w:val="00AF06F1"/>
    <w:rsid w:val="00AF28F9"/>
    <w:rsid w:val="00AF2D4A"/>
    <w:rsid w:val="00AF36D9"/>
    <w:rsid w:val="00AF71E7"/>
    <w:rsid w:val="00AF75C7"/>
    <w:rsid w:val="00AF7AC3"/>
    <w:rsid w:val="00AF7B97"/>
    <w:rsid w:val="00B02987"/>
    <w:rsid w:val="00B04882"/>
    <w:rsid w:val="00B06223"/>
    <w:rsid w:val="00B07E88"/>
    <w:rsid w:val="00B101CA"/>
    <w:rsid w:val="00B16128"/>
    <w:rsid w:val="00B1719E"/>
    <w:rsid w:val="00B17B3C"/>
    <w:rsid w:val="00B21F5A"/>
    <w:rsid w:val="00B24C16"/>
    <w:rsid w:val="00B25253"/>
    <w:rsid w:val="00B26688"/>
    <w:rsid w:val="00B27AED"/>
    <w:rsid w:val="00B27C8F"/>
    <w:rsid w:val="00B30B7C"/>
    <w:rsid w:val="00B30D6A"/>
    <w:rsid w:val="00B31F04"/>
    <w:rsid w:val="00B328A7"/>
    <w:rsid w:val="00B33E46"/>
    <w:rsid w:val="00B34D5A"/>
    <w:rsid w:val="00B352BB"/>
    <w:rsid w:val="00B378C8"/>
    <w:rsid w:val="00B37FA6"/>
    <w:rsid w:val="00B40439"/>
    <w:rsid w:val="00B42585"/>
    <w:rsid w:val="00B4331E"/>
    <w:rsid w:val="00B500CC"/>
    <w:rsid w:val="00B536FE"/>
    <w:rsid w:val="00B53C14"/>
    <w:rsid w:val="00B53E45"/>
    <w:rsid w:val="00B53FF7"/>
    <w:rsid w:val="00B54912"/>
    <w:rsid w:val="00B55B0D"/>
    <w:rsid w:val="00B55FB5"/>
    <w:rsid w:val="00B63CA3"/>
    <w:rsid w:val="00B65093"/>
    <w:rsid w:val="00B6668C"/>
    <w:rsid w:val="00B67DB6"/>
    <w:rsid w:val="00B70312"/>
    <w:rsid w:val="00B713EA"/>
    <w:rsid w:val="00B720DE"/>
    <w:rsid w:val="00B73216"/>
    <w:rsid w:val="00B768C8"/>
    <w:rsid w:val="00B7759D"/>
    <w:rsid w:val="00B82D08"/>
    <w:rsid w:val="00B847AE"/>
    <w:rsid w:val="00B850E6"/>
    <w:rsid w:val="00B856F9"/>
    <w:rsid w:val="00B85C9A"/>
    <w:rsid w:val="00B868D8"/>
    <w:rsid w:val="00B86944"/>
    <w:rsid w:val="00B86A12"/>
    <w:rsid w:val="00B910D2"/>
    <w:rsid w:val="00B92712"/>
    <w:rsid w:val="00B92A78"/>
    <w:rsid w:val="00B92F89"/>
    <w:rsid w:val="00B932EF"/>
    <w:rsid w:val="00B9371E"/>
    <w:rsid w:val="00B948BA"/>
    <w:rsid w:val="00B9557C"/>
    <w:rsid w:val="00B95D9A"/>
    <w:rsid w:val="00B977EB"/>
    <w:rsid w:val="00B97B1B"/>
    <w:rsid w:val="00BA0C0C"/>
    <w:rsid w:val="00BA0C47"/>
    <w:rsid w:val="00BA13C3"/>
    <w:rsid w:val="00BA1743"/>
    <w:rsid w:val="00BA2604"/>
    <w:rsid w:val="00BA2757"/>
    <w:rsid w:val="00BA311C"/>
    <w:rsid w:val="00BA3209"/>
    <w:rsid w:val="00BA398B"/>
    <w:rsid w:val="00BA3AA0"/>
    <w:rsid w:val="00BA4449"/>
    <w:rsid w:val="00BA7D3D"/>
    <w:rsid w:val="00BB0809"/>
    <w:rsid w:val="00BB2F88"/>
    <w:rsid w:val="00BB343F"/>
    <w:rsid w:val="00BB40A5"/>
    <w:rsid w:val="00BB43CC"/>
    <w:rsid w:val="00BB5FC8"/>
    <w:rsid w:val="00BC1EA7"/>
    <w:rsid w:val="00BC276D"/>
    <w:rsid w:val="00BC33C2"/>
    <w:rsid w:val="00BC4A5F"/>
    <w:rsid w:val="00BC50FC"/>
    <w:rsid w:val="00BC5DCD"/>
    <w:rsid w:val="00BC7FB1"/>
    <w:rsid w:val="00BD00F1"/>
    <w:rsid w:val="00BD0D6F"/>
    <w:rsid w:val="00BD2A05"/>
    <w:rsid w:val="00BD3F1E"/>
    <w:rsid w:val="00BD4D8A"/>
    <w:rsid w:val="00BD5DE1"/>
    <w:rsid w:val="00BD6828"/>
    <w:rsid w:val="00BE10EB"/>
    <w:rsid w:val="00BE2402"/>
    <w:rsid w:val="00BE2B49"/>
    <w:rsid w:val="00BE2EB8"/>
    <w:rsid w:val="00BE2F25"/>
    <w:rsid w:val="00BE391B"/>
    <w:rsid w:val="00BE464A"/>
    <w:rsid w:val="00BE4B9A"/>
    <w:rsid w:val="00BE519E"/>
    <w:rsid w:val="00BE52CE"/>
    <w:rsid w:val="00BE61AD"/>
    <w:rsid w:val="00BE71D1"/>
    <w:rsid w:val="00BE751F"/>
    <w:rsid w:val="00BF263E"/>
    <w:rsid w:val="00BF3604"/>
    <w:rsid w:val="00BF3A11"/>
    <w:rsid w:val="00BF3A84"/>
    <w:rsid w:val="00BF5D15"/>
    <w:rsid w:val="00BF6542"/>
    <w:rsid w:val="00C0183C"/>
    <w:rsid w:val="00C03F18"/>
    <w:rsid w:val="00C04842"/>
    <w:rsid w:val="00C04E22"/>
    <w:rsid w:val="00C06A7E"/>
    <w:rsid w:val="00C07462"/>
    <w:rsid w:val="00C11F64"/>
    <w:rsid w:val="00C12514"/>
    <w:rsid w:val="00C1295F"/>
    <w:rsid w:val="00C12C7B"/>
    <w:rsid w:val="00C135E4"/>
    <w:rsid w:val="00C13AC5"/>
    <w:rsid w:val="00C14027"/>
    <w:rsid w:val="00C1696C"/>
    <w:rsid w:val="00C172B3"/>
    <w:rsid w:val="00C213DF"/>
    <w:rsid w:val="00C231C6"/>
    <w:rsid w:val="00C2338E"/>
    <w:rsid w:val="00C236AC"/>
    <w:rsid w:val="00C2587B"/>
    <w:rsid w:val="00C259B7"/>
    <w:rsid w:val="00C25D90"/>
    <w:rsid w:val="00C26D08"/>
    <w:rsid w:val="00C26EBD"/>
    <w:rsid w:val="00C274D3"/>
    <w:rsid w:val="00C275E8"/>
    <w:rsid w:val="00C27B68"/>
    <w:rsid w:val="00C30070"/>
    <w:rsid w:val="00C308C1"/>
    <w:rsid w:val="00C31554"/>
    <w:rsid w:val="00C3168D"/>
    <w:rsid w:val="00C322F6"/>
    <w:rsid w:val="00C32865"/>
    <w:rsid w:val="00C32BC7"/>
    <w:rsid w:val="00C32F8C"/>
    <w:rsid w:val="00C33877"/>
    <w:rsid w:val="00C338B8"/>
    <w:rsid w:val="00C340AC"/>
    <w:rsid w:val="00C35DB9"/>
    <w:rsid w:val="00C43ED0"/>
    <w:rsid w:val="00C456B5"/>
    <w:rsid w:val="00C468B2"/>
    <w:rsid w:val="00C46DC0"/>
    <w:rsid w:val="00C50006"/>
    <w:rsid w:val="00C5090D"/>
    <w:rsid w:val="00C5119B"/>
    <w:rsid w:val="00C517EF"/>
    <w:rsid w:val="00C52A03"/>
    <w:rsid w:val="00C54AE8"/>
    <w:rsid w:val="00C56A24"/>
    <w:rsid w:val="00C56A42"/>
    <w:rsid w:val="00C5732C"/>
    <w:rsid w:val="00C57BCD"/>
    <w:rsid w:val="00C57D5B"/>
    <w:rsid w:val="00C57E03"/>
    <w:rsid w:val="00C60055"/>
    <w:rsid w:val="00C60B55"/>
    <w:rsid w:val="00C615EA"/>
    <w:rsid w:val="00C627D3"/>
    <w:rsid w:val="00C630BC"/>
    <w:rsid w:val="00C650E3"/>
    <w:rsid w:val="00C72F30"/>
    <w:rsid w:val="00C7535D"/>
    <w:rsid w:val="00C756B0"/>
    <w:rsid w:val="00C771B0"/>
    <w:rsid w:val="00C80395"/>
    <w:rsid w:val="00C81A14"/>
    <w:rsid w:val="00C847DB"/>
    <w:rsid w:val="00C86541"/>
    <w:rsid w:val="00C872A7"/>
    <w:rsid w:val="00C872FB"/>
    <w:rsid w:val="00C8757C"/>
    <w:rsid w:val="00C90705"/>
    <w:rsid w:val="00C91728"/>
    <w:rsid w:val="00C91DF6"/>
    <w:rsid w:val="00C93348"/>
    <w:rsid w:val="00C933AF"/>
    <w:rsid w:val="00C94080"/>
    <w:rsid w:val="00C9492E"/>
    <w:rsid w:val="00C94C7D"/>
    <w:rsid w:val="00C9674E"/>
    <w:rsid w:val="00CA1AA5"/>
    <w:rsid w:val="00CA1F0E"/>
    <w:rsid w:val="00CA1FEF"/>
    <w:rsid w:val="00CA2C7B"/>
    <w:rsid w:val="00CA2E60"/>
    <w:rsid w:val="00CA4696"/>
    <w:rsid w:val="00CA7459"/>
    <w:rsid w:val="00CB1BF5"/>
    <w:rsid w:val="00CB30C7"/>
    <w:rsid w:val="00CB3CD9"/>
    <w:rsid w:val="00CB429D"/>
    <w:rsid w:val="00CB5659"/>
    <w:rsid w:val="00CB60E1"/>
    <w:rsid w:val="00CB6521"/>
    <w:rsid w:val="00CB6CDB"/>
    <w:rsid w:val="00CC2DD5"/>
    <w:rsid w:val="00CC2F77"/>
    <w:rsid w:val="00CC5011"/>
    <w:rsid w:val="00CC6B16"/>
    <w:rsid w:val="00CC753C"/>
    <w:rsid w:val="00CD0573"/>
    <w:rsid w:val="00CD0E32"/>
    <w:rsid w:val="00CD14A4"/>
    <w:rsid w:val="00CD18ED"/>
    <w:rsid w:val="00CD19C2"/>
    <w:rsid w:val="00CD1F10"/>
    <w:rsid w:val="00CD256C"/>
    <w:rsid w:val="00CD343C"/>
    <w:rsid w:val="00CD580F"/>
    <w:rsid w:val="00CD704F"/>
    <w:rsid w:val="00CE0D0D"/>
    <w:rsid w:val="00CE10E9"/>
    <w:rsid w:val="00CE1D83"/>
    <w:rsid w:val="00CE1F99"/>
    <w:rsid w:val="00CE2288"/>
    <w:rsid w:val="00CE4F08"/>
    <w:rsid w:val="00CE564C"/>
    <w:rsid w:val="00CE5CDB"/>
    <w:rsid w:val="00CF1011"/>
    <w:rsid w:val="00CF48E2"/>
    <w:rsid w:val="00CF4B03"/>
    <w:rsid w:val="00CF53D7"/>
    <w:rsid w:val="00CF5D55"/>
    <w:rsid w:val="00D004BD"/>
    <w:rsid w:val="00D0106C"/>
    <w:rsid w:val="00D025C8"/>
    <w:rsid w:val="00D048D9"/>
    <w:rsid w:val="00D121ED"/>
    <w:rsid w:val="00D1304D"/>
    <w:rsid w:val="00D140E0"/>
    <w:rsid w:val="00D1421B"/>
    <w:rsid w:val="00D149BE"/>
    <w:rsid w:val="00D16F5E"/>
    <w:rsid w:val="00D21286"/>
    <w:rsid w:val="00D22136"/>
    <w:rsid w:val="00D2223A"/>
    <w:rsid w:val="00D24ED3"/>
    <w:rsid w:val="00D26FE8"/>
    <w:rsid w:val="00D2767F"/>
    <w:rsid w:val="00D27F07"/>
    <w:rsid w:val="00D300BF"/>
    <w:rsid w:val="00D313CB"/>
    <w:rsid w:val="00D31A37"/>
    <w:rsid w:val="00D325E9"/>
    <w:rsid w:val="00D32714"/>
    <w:rsid w:val="00D32D67"/>
    <w:rsid w:val="00D3303C"/>
    <w:rsid w:val="00D33ED8"/>
    <w:rsid w:val="00D3653A"/>
    <w:rsid w:val="00D36B7D"/>
    <w:rsid w:val="00D3783F"/>
    <w:rsid w:val="00D40128"/>
    <w:rsid w:val="00D40EEB"/>
    <w:rsid w:val="00D43355"/>
    <w:rsid w:val="00D44329"/>
    <w:rsid w:val="00D4705F"/>
    <w:rsid w:val="00D47EEF"/>
    <w:rsid w:val="00D5069D"/>
    <w:rsid w:val="00D5108C"/>
    <w:rsid w:val="00D52EB4"/>
    <w:rsid w:val="00D53AA1"/>
    <w:rsid w:val="00D54167"/>
    <w:rsid w:val="00D5448B"/>
    <w:rsid w:val="00D556D3"/>
    <w:rsid w:val="00D55A99"/>
    <w:rsid w:val="00D6043C"/>
    <w:rsid w:val="00D612ED"/>
    <w:rsid w:val="00D61FB2"/>
    <w:rsid w:val="00D62A5D"/>
    <w:rsid w:val="00D63239"/>
    <w:rsid w:val="00D63B77"/>
    <w:rsid w:val="00D63D1E"/>
    <w:rsid w:val="00D67734"/>
    <w:rsid w:val="00D705F3"/>
    <w:rsid w:val="00D728EB"/>
    <w:rsid w:val="00D75388"/>
    <w:rsid w:val="00D755EF"/>
    <w:rsid w:val="00D80F27"/>
    <w:rsid w:val="00D81156"/>
    <w:rsid w:val="00D82B66"/>
    <w:rsid w:val="00D83950"/>
    <w:rsid w:val="00D858AD"/>
    <w:rsid w:val="00D86E20"/>
    <w:rsid w:val="00D91582"/>
    <w:rsid w:val="00D93661"/>
    <w:rsid w:val="00D9443C"/>
    <w:rsid w:val="00D9460A"/>
    <w:rsid w:val="00D95727"/>
    <w:rsid w:val="00D961B2"/>
    <w:rsid w:val="00D963A8"/>
    <w:rsid w:val="00DA0B83"/>
    <w:rsid w:val="00DA414F"/>
    <w:rsid w:val="00DA56EA"/>
    <w:rsid w:val="00DA7285"/>
    <w:rsid w:val="00DB01EC"/>
    <w:rsid w:val="00DB0330"/>
    <w:rsid w:val="00DB03A6"/>
    <w:rsid w:val="00DB07CF"/>
    <w:rsid w:val="00DB1006"/>
    <w:rsid w:val="00DB1945"/>
    <w:rsid w:val="00DB1F30"/>
    <w:rsid w:val="00DB318F"/>
    <w:rsid w:val="00DB4B9A"/>
    <w:rsid w:val="00DB7221"/>
    <w:rsid w:val="00DB7BA6"/>
    <w:rsid w:val="00DC1732"/>
    <w:rsid w:val="00DC401B"/>
    <w:rsid w:val="00DC4654"/>
    <w:rsid w:val="00DC5476"/>
    <w:rsid w:val="00DD3BE4"/>
    <w:rsid w:val="00DD512F"/>
    <w:rsid w:val="00DD5BBE"/>
    <w:rsid w:val="00DD5C33"/>
    <w:rsid w:val="00DD6A06"/>
    <w:rsid w:val="00DE2113"/>
    <w:rsid w:val="00DE4224"/>
    <w:rsid w:val="00DE4934"/>
    <w:rsid w:val="00DF02B3"/>
    <w:rsid w:val="00DF0559"/>
    <w:rsid w:val="00DF0AE6"/>
    <w:rsid w:val="00DF2BAC"/>
    <w:rsid w:val="00DF36ED"/>
    <w:rsid w:val="00DF48B6"/>
    <w:rsid w:val="00DF598B"/>
    <w:rsid w:val="00DF5BF3"/>
    <w:rsid w:val="00DF7A91"/>
    <w:rsid w:val="00E00F09"/>
    <w:rsid w:val="00E0230B"/>
    <w:rsid w:val="00E023CF"/>
    <w:rsid w:val="00E02CA9"/>
    <w:rsid w:val="00E0556F"/>
    <w:rsid w:val="00E0704A"/>
    <w:rsid w:val="00E10159"/>
    <w:rsid w:val="00E11E92"/>
    <w:rsid w:val="00E12774"/>
    <w:rsid w:val="00E151BF"/>
    <w:rsid w:val="00E15CFC"/>
    <w:rsid w:val="00E160BB"/>
    <w:rsid w:val="00E203C5"/>
    <w:rsid w:val="00E20B6E"/>
    <w:rsid w:val="00E217AF"/>
    <w:rsid w:val="00E21E68"/>
    <w:rsid w:val="00E25D21"/>
    <w:rsid w:val="00E273F1"/>
    <w:rsid w:val="00E276C6"/>
    <w:rsid w:val="00E27C7D"/>
    <w:rsid w:val="00E337B0"/>
    <w:rsid w:val="00E33F3F"/>
    <w:rsid w:val="00E367D3"/>
    <w:rsid w:val="00E40166"/>
    <w:rsid w:val="00E427A6"/>
    <w:rsid w:val="00E445E4"/>
    <w:rsid w:val="00E459A9"/>
    <w:rsid w:val="00E45D24"/>
    <w:rsid w:val="00E467EE"/>
    <w:rsid w:val="00E4737E"/>
    <w:rsid w:val="00E47B62"/>
    <w:rsid w:val="00E504FB"/>
    <w:rsid w:val="00E52A43"/>
    <w:rsid w:val="00E55EF9"/>
    <w:rsid w:val="00E616F7"/>
    <w:rsid w:val="00E6250D"/>
    <w:rsid w:val="00E625FB"/>
    <w:rsid w:val="00E62954"/>
    <w:rsid w:val="00E62A7E"/>
    <w:rsid w:val="00E63393"/>
    <w:rsid w:val="00E63F6A"/>
    <w:rsid w:val="00E63FA2"/>
    <w:rsid w:val="00E6498E"/>
    <w:rsid w:val="00E65AA9"/>
    <w:rsid w:val="00E6769C"/>
    <w:rsid w:val="00E70090"/>
    <w:rsid w:val="00E70691"/>
    <w:rsid w:val="00E71C9B"/>
    <w:rsid w:val="00E74226"/>
    <w:rsid w:val="00E75115"/>
    <w:rsid w:val="00E75149"/>
    <w:rsid w:val="00E75230"/>
    <w:rsid w:val="00E753BE"/>
    <w:rsid w:val="00E76C1E"/>
    <w:rsid w:val="00E770F4"/>
    <w:rsid w:val="00E775AB"/>
    <w:rsid w:val="00E77934"/>
    <w:rsid w:val="00E77C68"/>
    <w:rsid w:val="00E80FC3"/>
    <w:rsid w:val="00E812C5"/>
    <w:rsid w:val="00E8189C"/>
    <w:rsid w:val="00E83DBE"/>
    <w:rsid w:val="00E841F6"/>
    <w:rsid w:val="00E85310"/>
    <w:rsid w:val="00E86862"/>
    <w:rsid w:val="00E86B4D"/>
    <w:rsid w:val="00E94343"/>
    <w:rsid w:val="00E954F2"/>
    <w:rsid w:val="00E978D1"/>
    <w:rsid w:val="00EA15CD"/>
    <w:rsid w:val="00EA34D6"/>
    <w:rsid w:val="00EA3636"/>
    <w:rsid w:val="00EA38D8"/>
    <w:rsid w:val="00EA5A2E"/>
    <w:rsid w:val="00EA74C1"/>
    <w:rsid w:val="00EA7DD6"/>
    <w:rsid w:val="00EB0AA2"/>
    <w:rsid w:val="00EB1A18"/>
    <w:rsid w:val="00EB1B29"/>
    <w:rsid w:val="00EB1C64"/>
    <w:rsid w:val="00EB30B2"/>
    <w:rsid w:val="00EB3CC8"/>
    <w:rsid w:val="00EB5839"/>
    <w:rsid w:val="00EB61D9"/>
    <w:rsid w:val="00EB6874"/>
    <w:rsid w:val="00EB7ACD"/>
    <w:rsid w:val="00EC04CF"/>
    <w:rsid w:val="00EC07BF"/>
    <w:rsid w:val="00EC2173"/>
    <w:rsid w:val="00EC23CC"/>
    <w:rsid w:val="00EC40BB"/>
    <w:rsid w:val="00EC4732"/>
    <w:rsid w:val="00EC5699"/>
    <w:rsid w:val="00EC6E58"/>
    <w:rsid w:val="00ED12CF"/>
    <w:rsid w:val="00ED1346"/>
    <w:rsid w:val="00ED3CEA"/>
    <w:rsid w:val="00ED4562"/>
    <w:rsid w:val="00EE119C"/>
    <w:rsid w:val="00EE20A2"/>
    <w:rsid w:val="00EE2196"/>
    <w:rsid w:val="00EE22F1"/>
    <w:rsid w:val="00EE3827"/>
    <w:rsid w:val="00EE4632"/>
    <w:rsid w:val="00EE4AB8"/>
    <w:rsid w:val="00EF02DC"/>
    <w:rsid w:val="00EF1C79"/>
    <w:rsid w:val="00EF1E33"/>
    <w:rsid w:val="00EF250B"/>
    <w:rsid w:val="00EF286B"/>
    <w:rsid w:val="00EF41D5"/>
    <w:rsid w:val="00EF70F6"/>
    <w:rsid w:val="00F005CC"/>
    <w:rsid w:val="00F00BFD"/>
    <w:rsid w:val="00F0116B"/>
    <w:rsid w:val="00F01BA7"/>
    <w:rsid w:val="00F01CB5"/>
    <w:rsid w:val="00F025B3"/>
    <w:rsid w:val="00F0458F"/>
    <w:rsid w:val="00F0585A"/>
    <w:rsid w:val="00F07720"/>
    <w:rsid w:val="00F07DFD"/>
    <w:rsid w:val="00F11817"/>
    <w:rsid w:val="00F12016"/>
    <w:rsid w:val="00F13051"/>
    <w:rsid w:val="00F13556"/>
    <w:rsid w:val="00F14842"/>
    <w:rsid w:val="00F14893"/>
    <w:rsid w:val="00F14A49"/>
    <w:rsid w:val="00F14AA5"/>
    <w:rsid w:val="00F150FF"/>
    <w:rsid w:val="00F15748"/>
    <w:rsid w:val="00F1798B"/>
    <w:rsid w:val="00F20358"/>
    <w:rsid w:val="00F20594"/>
    <w:rsid w:val="00F20B84"/>
    <w:rsid w:val="00F243A3"/>
    <w:rsid w:val="00F24DB6"/>
    <w:rsid w:val="00F25DE8"/>
    <w:rsid w:val="00F262FE"/>
    <w:rsid w:val="00F267DC"/>
    <w:rsid w:val="00F27853"/>
    <w:rsid w:val="00F27B76"/>
    <w:rsid w:val="00F32DCD"/>
    <w:rsid w:val="00F34438"/>
    <w:rsid w:val="00F34612"/>
    <w:rsid w:val="00F36E09"/>
    <w:rsid w:val="00F37391"/>
    <w:rsid w:val="00F4145C"/>
    <w:rsid w:val="00F43062"/>
    <w:rsid w:val="00F430A8"/>
    <w:rsid w:val="00F441DD"/>
    <w:rsid w:val="00F45FF5"/>
    <w:rsid w:val="00F47828"/>
    <w:rsid w:val="00F52A8D"/>
    <w:rsid w:val="00F538C6"/>
    <w:rsid w:val="00F54885"/>
    <w:rsid w:val="00F559D2"/>
    <w:rsid w:val="00F56CB1"/>
    <w:rsid w:val="00F56CE1"/>
    <w:rsid w:val="00F61206"/>
    <w:rsid w:val="00F613DC"/>
    <w:rsid w:val="00F6214A"/>
    <w:rsid w:val="00F63897"/>
    <w:rsid w:val="00F6411C"/>
    <w:rsid w:val="00F657A2"/>
    <w:rsid w:val="00F66B70"/>
    <w:rsid w:val="00F71032"/>
    <w:rsid w:val="00F71290"/>
    <w:rsid w:val="00F729C1"/>
    <w:rsid w:val="00F7374A"/>
    <w:rsid w:val="00F73AF8"/>
    <w:rsid w:val="00F812C2"/>
    <w:rsid w:val="00F81B46"/>
    <w:rsid w:val="00F8300A"/>
    <w:rsid w:val="00F83A76"/>
    <w:rsid w:val="00F83E98"/>
    <w:rsid w:val="00F84690"/>
    <w:rsid w:val="00F86813"/>
    <w:rsid w:val="00F86B31"/>
    <w:rsid w:val="00F86C6F"/>
    <w:rsid w:val="00F86E0B"/>
    <w:rsid w:val="00F90124"/>
    <w:rsid w:val="00F90ABE"/>
    <w:rsid w:val="00F90EC6"/>
    <w:rsid w:val="00F91B7C"/>
    <w:rsid w:val="00F94316"/>
    <w:rsid w:val="00F944A6"/>
    <w:rsid w:val="00F9578E"/>
    <w:rsid w:val="00F966FC"/>
    <w:rsid w:val="00F977E3"/>
    <w:rsid w:val="00FA0CC7"/>
    <w:rsid w:val="00FA1BC0"/>
    <w:rsid w:val="00FA1E01"/>
    <w:rsid w:val="00FA2C02"/>
    <w:rsid w:val="00FA3783"/>
    <w:rsid w:val="00FA3BBB"/>
    <w:rsid w:val="00FA5D49"/>
    <w:rsid w:val="00FA77E6"/>
    <w:rsid w:val="00FB13FE"/>
    <w:rsid w:val="00FB70ED"/>
    <w:rsid w:val="00FB769F"/>
    <w:rsid w:val="00FB7A31"/>
    <w:rsid w:val="00FC07A7"/>
    <w:rsid w:val="00FC2FD9"/>
    <w:rsid w:val="00FC349E"/>
    <w:rsid w:val="00FC4580"/>
    <w:rsid w:val="00FC4685"/>
    <w:rsid w:val="00FC4769"/>
    <w:rsid w:val="00FC528C"/>
    <w:rsid w:val="00FC59A3"/>
    <w:rsid w:val="00FC5C4C"/>
    <w:rsid w:val="00FD168B"/>
    <w:rsid w:val="00FD2104"/>
    <w:rsid w:val="00FD2A51"/>
    <w:rsid w:val="00FD2C21"/>
    <w:rsid w:val="00FD3191"/>
    <w:rsid w:val="00FD4151"/>
    <w:rsid w:val="00FD48C0"/>
    <w:rsid w:val="00FD5EA6"/>
    <w:rsid w:val="00FD6410"/>
    <w:rsid w:val="00FD7D02"/>
    <w:rsid w:val="00FE0A1C"/>
    <w:rsid w:val="00FE1742"/>
    <w:rsid w:val="00FE4C7E"/>
    <w:rsid w:val="00FE5B21"/>
    <w:rsid w:val="00FE669C"/>
    <w:rsid w:val="00FE7465"/>
    <w:rsid w:val="00FF0954"/>
    <w:rsid w:val="00FF16C8"/>
    <w:rsid w:val="00FF2AD9"/>
    <w:rsid w:val="00FF536A"/>
    <w:rsid w:val="01DB7ECE"/>
    <w:rsid w:val="01E925F2"/>
    <w:rsid w:val="055B7735"/>
    <w:rsid w:val="09CA4C53"/>
    <w:rsid w:val="0A424FBD"/>
    <w:rsid w:val="0A695261"/>
    <w:rsid w:val="0AB92B7F"/>
    <w:rsid w:val="0D8321F2"/>
    <w:rsid w:val="0DDC422A"/>
    <w:rsid w:val="0E8B67DF"/>
    <w:rsid w:val="0F022F45"/>
    <w:rsid w:val="10A255AA"/>
    <w:rsid w:val="10FC376C"/>
    <w:rsid w:val="130F7D8D"/>
    <w:rsid w:val="13C07863"/>
    <w:rsid w:val="13F13588"/>
    <w:rsid w:val="15EE60AA"/>
    <w:rsid w:val="15F30B75"/>
    <w:rsid w:val="1A174205"/>
    <w:rsid w:val="1C421CEE"/>
    <w:rsid w:val="1E7354F5"/>
    <w:rsid w:val="20CA2053"/>
    <w:rsid w:val="215678E9"/>
    <w:rsid w:val="21E169EA"/>
    <w:rsid w:val="23635580"/>
    <w:rsid w:val="23705540"/>
    <w:rsid w:val="23871575"/>
    <w:rsid w:val="238D3B77"/>
    <w:rsid w:val="23A06FD9"/>
    <w:rsid w:val="256C6F12"/>
    <w:rsid w:val="26090F1F"/>
    <w:rsid w:val="2663236B"/>
    <w:rsid w:val="26C17FC9"/>
    <w:rsid w:val="292C2C40"/>
    <w:rsid w:val="29374301"/>
    <w:rsid w:val="2A0E523D"/>
    <w:rsid w:val="2AF80C78"/>
    <w:rsid w:val="2B7E518F"/>
    <w:rsid w:val="2C916D79"/>
    <w:rsid w:val="317C2B11"/>
    <w:rsid w:val="321E3FFA"/>
    <w:rsid w:val="324F5B44"/>
    <w:rsid w:val="327F1980"/>
    <w:rsid w:val="32F12432"/>
    <w:rsid w:val="332C31B3"/>
    <w:rsid w:val="346E09F2"/>
    <w:rsid w:val="349B09AA"/>
    <w:rsid w:val="35D044B2"/>
    <w:rsid w:val="36375735"/>
    <w:rsid w:val="377246E4"/>
    <w:rsid w:val="378A4584"/>
    <w:rsid w:val="378C6D4A"/>
    <w:rsid w:val="390C7D35"/>
    <w:rsid w:val="39290B7B"/>
    <w:rsid w:val="39745F39"/>
    <w:rsid w:val="3D2A44D0"/>
    <w:rsid w:val="3D3C085F"/>
    <w:rsid w:val="3DF43CB0"/>
    <w:rsid w:val="3E8A5678"/>
    <w:rsid w:val="3F654A5D"/>
    <w:rsid w:val="426C4F0E"/>
    <w:rsid w:val="431C567C"/>
    <w:rsid w:val="434F3A8E"/>
    <w:rsid w:val="44B63F1A"/>
    <w:rsid w:val="451654F4"/>
    <w:rsid w:val="48810F87"/>
    <w:rsid w:val="4A5B3B64"/>
    <w:rsid w:val="4AC01A61"/>
    <w:rsid w:val="4B42452F"/>
    <w:rsid w:val="4B820183"/>
    <w:rsid w:val="4B88547A"/>
    <w:rsid w:val="4BC01C90"/>
    <w:rsid w:val="4E1A1FF3"/>
    <w:rsid w:val="4F576EB4"/>
    <w:rsid w:val="50CF1F2E"/>
    <w:rsid w:val="51E031B4"/>
    <w:rsid w:val="531A4FAA"/>
    <w:rsid w:val="535C05BC"/>
    <w:rsid w:val="541B05CB"/>
    <w:rsid w:val="54A46742"/>
    <w:rsid w:val="56BD1493"/>
    <w:rsid w:val="5AE76118"/>
    <w:rsid w:val="5B197DCD"/>
    <w:rsid w:val="5BCE7D78"/>
    <w:rsid w:val="5C3A5466"/>
    <w:rsid w:val="5C5342B3"/>
    <w:rsid w:val="5CE14FED"/>
    <w:rsid w:val="5DC51364"/>
    <w:rsid w:val="6014409A"/>
    <w:rsid w:val="6164764E"/>
    <w:rsid w:val="621A06A3"/>
    <w:rsid w:val="63F2753B"/>
    <w:rsid w:val="649C1615"/>
    <w:rsid w:val="64B32B11"/>
    <w:rsid w:val="65962F5E"/>
    <w:rsid w:val="65A70431"/>
    <w:rsid w:val="65D84CB5"/>
    <w:rsid w:val="6605115C"/>
    <w:rsid w:val="6646797E"/>
    <w:rsid w:val="665520F7"/>
    <w:rsid w:val="679805F2"/>
    <w:rsid w:val="682B70D6"/>
    <w:rsid w:val="68375C81"/>
    <w:rsid w:val="68DA1C74"/>
    <w:rsid w:val="6A435B2F"/>
    <w:rsid w:val="6B7D0C79"/>
    <w:rsid w:val="6BF44DA3"/>
    <w:rsid w:val="6C4E4249"/>
    <w:rsid w:val="6F8827C0"/>
    <w:rsid w:val="71347956"/>
    <w:rsid w:val="71993DE6"/>
    <w:rsid w:val="73CF0012"/>
    <w:rsid w:val="74A832A3"/>
    <w:rsid w:val="77B9721C"/>
    <w:rsid w:val="79002BED"/>
    <w:rsid w:val="7981580B"/>
    <w:rsid w:val="79F6726D"/>
    <w:rsid w:val="7A927884"/>
    <w:rsid w:val="7C77614F"/>
    <w:rsid w:val="7D551A87"/>
    <w:rsid w:val="7E29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widowControl/>
      <w:spacing w:before="480" w:line="276" w:lineRule="auto"/>
      <w:jc w:val="left"/>
      <w:outlineLvl w:val="0"/>
    </w:pPr>
    <w:rPr>
      <w:rFonts w:ascii="Cambria" w:hAnsi="Cambria"/>
      <w:b/>
      <w:bCs/>
      <w:color w:val="21798E"/>
      <w:kern w:val="0"/>
      <w:sz w:val="28"/>
      <w:szCs w:val="28"/>
    </w:rPr>
  </w:style>
  <w:style w:type="paragraph" w:styleId="3">
    <w:name w:val="heading 2"/>
    <w:basedOn w:val="1"/>
    <w:next w:val="1"/>
    <w:link w:val="27"/>
    <w:semiHidden/>
    <w:unhideWhenUsed/>
    <w:qFormat/>
    <w:uiPriority w:val="9"/>
    <w:pPr>
      <w:keepNext/>
      <w:keepLines/>
      <w:widowControl/>
      <w:spacing w:before="200" w:line="276" w:lineRule="auto"/>
      <w:jc w:val="left"/>
      <w:outlineLvl w:val="1"/>
    </w:pPr>
    <w:rPr>
      <w:rFonts w:ascii="Cambria" w:hAnsi="Cambria"/>
      <w:b/>
      <w:bCs/>
      <w:color w:val="2DA2BF"/>
      <w:kern w:val="0"/>
      <w:sz w:val="26"/>
      <w:szCs w:val="26"/>
    </w:rPr>
  </w:style>
  <w:style w:type="paragraph" w:styleId="4">
    <w:name w:val="heading 3"/>
    <w:basedOn w:val="1"/>
    <w:next w:val="1"/>
    <w:link w:val="28"/>
    <w:semiHidden/>
    <w:unhideWhenUsed/>
    <w:qFormat/>
    <w:uiPriority w:val="9"/>
    <w:pPr>
      <w:keepNext/>
      <w:keepLines/>
      <w:widowControl/>
      <w:spacing w:before="200" w:line="276" w:lineRule="auto"/>
      <w:jc w:val="left"/>
      <w:outlineLvl w:val="2"/>
    </w:pPr>
    <w:rPr>
      <w:rFonts w:ascii="Cambria" w:hAnsi="Cambria"/>
      <w:b/>
      <w:bCs/>
      <w:color w:val="2DA2BF"/>
      <w:kern w:val="0"/>
      <w:sz w:val="22"/>
      <w:szCs w:val="22"/>
    </w:rPr>
  </w:style>
  <w:style w:type="paragraph" w:styleId="5">
    <w:name w:val="heading 4"/>
    <w:basedOn w:val="1"/>
    <w:next w:val="1"/>
    <w:link w:val="29"/>
    <w:semiHidden/>
    <w:unhideWhenUsed/>
    <w:qFormat/>
    <w:uiPriority w:val="9"/>
    <w:pPr>
      <w:keepNext/>
      <w:keepLines/>
      <w:widowControl/>
      <w:spacing w:before="200" w:line="276" w:lineRule="auto"/>
      <w:jc w:val="left"/>
      <w:outlineLvl w:val="3"/>
    </w:pPr>
    <w:rPr>
      <w:rFonts w:ascii="Cambria" w:hAnsi="Cambria"/>
      <w:b/>
      <w:bCs/>
      <w:i/>
      <w:iCs/>
      <w:color w:val="2DA2BF"/>
      <w:kern w:val="0"/>
      <w:sz w:val="22"/>
      <w:szCs w:val="22"/>
    </w:rPr>
  </w:style>
  <w:style w:type="paragraph" w:styleId="6">
    <w:name w:val="heading 5"/>
    <w:basedOn w:val="1"/>
    <w:next w:val="1"/>
    <w:link w:val="30"/>
    <w:semiHidden/>
    <w:unhideWhenUsed/>
    <w:qFormat/>
    <w:uiPriority w:val="9"/>
    <w:pPr>
      <w:keepNext/>
      <w:keepLines/>
      <w:widowControl/>
      <w:spacing w:before="200" w:line="276" w:lineRule="auto"/>
      <w:jc w:val="left"/>
      <w:outlineLvl w:val="4"/>
    </w:pPr>
    <w:rPr>
      <w:rFonts w:ascii="Cambria" w:hAnsi="Cambria"/>
      <w:color w:val="16505E"/>
      <w:kern w:val="0"/>
      <w:sz w:val="22"/>
      <w:szCs w:val="22"/>
    </w:rPr>
  </w:style>
  <w:style w:type="paragraph" w:styleId="7">
    <w:name w:val="heading 6"/>
    <w:basedOn w:val="1"/>
    <w:next w:val="1"/>
    <w:link w:val="31"/>
    <w:semiHidden/>
    <w:unhideWhenUsed/>
    <w:qFormat/>
    <w:uiPriority w:val="9"/>
    <w:pPr>
      <w:keepNext/>
      <w:keepLines/>
      <w:widowControl/>
      <w:spacing w:before="200" w:line="276" w:lineRule="auto"/>
      <w:jc w:val="left"/>
      <w:outlineLvl w:val="5"/>
    </w:pPr>
    <w:rPr>
      <w:rFonts w:ascii="Cambria" w:hAnsi="Cambria"/>
      <w:i/>
      <w:iCs/>
      <w:color w:val="16505E"/>
      <w:kern w:val="0"/>
      <w:sz w:val="22"/>
      <w:szCs w:val="22"/>
    </w:rPr>
  </w:style>
  <w:style w:type="paragraph" w:styleId="8">
    <w:name w:val="heading 7"/>
    <w:basedOn w:val="1"/>
    <w:next w:val="1"/>
    <w:link w:val="32"/>
    <w:semiHidden/>
    <w:unhideWhenUsed/>
    <w:qFormat/>
    <w:uiPriority w:val="9"/>
    <w:pPr>
      <w:keepNext/>
      <w:keepLines/>
      <w:widowControl/>
      <w:spacing w:before="200" w:line="276" w:lineRule="auto"/>
      <w:jc w:val="left"/>
      <w:outlineLvl w:val="6"/>
    </w:pPr>
    <w:rPr>
      <w:rFonts w:ascii="Cambria" w:hAnsi="Cambria"/>
      <w:i/>
      <w:iCs/>
      <w:color w:val="404040"/>
      <w:kern w:val="0"/>
      <w:sz w:val="22"/>
      <w:szCs w:val="22"/>
    </w:rPr>
  </w:style>
  <w:style w:type="paragraph" w:styleId="9">
    <w:name w:val="heading 8"/>
    <w:basedOn w:val="1"/>
    <w:next w:val="1"/>
    <w:link w:val="33"/>
    <w:semiHidden/>
    <w:unhideWhenUsed/>
    <w:qFormat/>
    <w:uiPriority w:val="9"/>
    <w:pPr>
      <w:keepNext/>
      <w:keepLines/>
      <w:widowControl/>
      <w:spacing w:before="200" w:line="276" w:lineRule="auto"/>
      <w:jc w:val="left"/>
      <w:outlineLvl w:val="7"/>
    </w:pPr>
    <w:rPr>
      <w:rFonts w:ascii="Cambria" w:hAnsi="Cambria"/>
      <w:color w:val="2DA2BF"/>
      <w:kern w:val="0"/>
      <w:sz w:val="20"/>
    </w:rPr>
  </w:style>
  <w:style w:type="paragraph" w:styleId="10">
    <w:name w:val="heading 9"/>
    <w:basedOn w:val="1"/>
    <w:next w:val="1"/>
    <w:link w:val="34"/>
    <w:semiHidden/>
    <w:unhideWhenUsed/>
    <w:qFormat/>
    <w:uiPriority w:val="9"/>
    <w:pPr>
      <w:keepNext/>
      <w:keepLines/>
      <w:widowControl/>
      <w:spacing w:before="200" w:line="276" w:lineRule="auto"/>
      <w:jc w:val="left"/>
      <w:outlineLvl w:val="8"/>
    </w:pPr>
    <w:rPr>
      <w:rFonts w:ascii="Cambria" w:hAnsi="Cambria"/>
      <w:i/>
      <w:iCs/>
      <w:color w:val="404040"/>
      <w:kern w:val="0"/>
      <w:sz w:val="20"/>
    </w:rPr>
  </w:style>
  <w:style w:type="character" w:default="1" w:styleId="21">
    <w:name w:val="Default Paragraph Font"/>
    <w:semiHidden/>
    <w:unhideWhenUsed/>
    <w:uiPriority w:val="1"/>
  </w:style>
  <w:style w:type="table" w:default="1" w:styleId="2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35"/>
    <w:pPr>
      <w:widowControl/>
      <w:spacing w:after="200"/>
      <w:jc w:val="left"/>
    </w:pPr>
    <w:rPr>
      <w:rFonts w:asciiTheme="minorHAnsi" w:hAnsiTheme="minorHAnsi" w:eastAsiaTheme="minorEastAsia" w:cstheme="minorBidi"/>
      <w:b/>
      <w:bCs/>
      <w:color w:val="2DA2BF"/>
      <w:kern w:val="0"/>
      <w:sz w:val="18"/>
      <w:szCs w:val="18"/>
    </w:rPr>
  </w:style>
  <w:style w:type="paragraph" w:styleId="12">
    <w:name w:val="annotation text"/>
    <w:basedOn w:val="1"/>
    <w:link w:val="51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53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5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6"/>
    <w:qFormat/>
    <w:uiPriority w:val="11"/>
    <w:pPr>
      <w:widowControl/>
      <w:spacing w:after="200" w:line="276" w:lineRule="auto"/>
      <w:jc w:val="left"/>
    </w:pPr>
    <w:rPr>
      <w:rFonts w:ascii="Cambria" w:hAnsi="Cambria"/>
      <w:i/>
      <w:iCs/>
      <w:color w:val="2DA2BF"/>
      <w:spacing w:val="15"/>
      <w:kern w:val="0"/>
      <w:sz w:val="24"/>
      <w:szCs w:val="24"/>
    </w:rPr>
  </w:style>
  <w:style w:type="paragraph" w:styleId="1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8">
    <w:name w:val="Title"/>
    <w:basedOn w:val="1"/>
    <w:next w:val="1"/>
    <w:link w:val="35"/>
    <w:qFormat/>
    <w:uiPriority w:val="10"/>
    <w:pPr>
      <w:widowControl/>
      <w:pBdr>
        <w:bottom w:val="single" w:color="2DA2BF" w:sz="8" w:space="4"/>
      </w:pBdr>
      <w:spacing w:after="300"/>
      <w:contextualSpacing/>
      <w:jc w:val="left"/>
    </w:pPr>
    <w:rPr>
      <w:rFonts w:ascii="Cambria" w:hAnsi="Cambria"/>
      <w:color w:val="343434"/>
      <w:spacing w:val="5"/>
      <w:kern w:val="28"/>
      <w:sz w:val="52"/>
      <w:szCs w:val="52"/>
    </w:rPr>
  </w:style>
  <w:style w:type="paragraph" w:styleId="19">
    <w:name w:val="annotation subject"/>
    <w:basedOn w:val="12"/>
    <w:next w:val="12"/>
    <w:link w:val="52"/>
    <w:semiHidden/>
    <w:unhideWhenUsed/>
    <w:qFormat/>
    <w:uiPriority w:val="99"/>
    <w:rPr>
      <w:b/>
      <w:bCs/>
    </w:rPr>
  </w:style>
  <w:style w:type="character" w:styleId="22">
    <w:name w:val="Strong"/>
    <w:qFormat/>
    <w:uiPriority w:val="22"/>
    <w:rPr>
      <w:b/>
      <w:bCs/>
    </w:rPr>
  </w:style>
  <w:style w:type="character" w:styleId="23">
    <w:name w:val="Emphasis"/>
    <w:qFormat/>
    <w:uiPriority w:val="20"/>
    <w:rPr>
      <w:i/>
      <w:iCs/>
    </w:rPr>
  </w:style>
  <w:style w:type="character" w:styleId="24">
    <w:name w:val="Hyperlink"/>
    <w:basedOn w:val="21"/>
    <w:semiHidden/>
    <w:unhideWhenUsed/>
    <w:qFormat/>
    <w:uiPriority w:val="99"/>
    <w:rPr>
      <w:color w:val="0000FF"/>
      <w:u w:val="single"/>
    </w:rPr>
  </w:style>
  <w:style w:type="character" w:styleId="25">
    <w:name w:val="annotation reference"/>
    <w:basedOn w:val="21"/>
    <w:semiHidden/>
    <w:unhideWhenUsed/>
    <w:qFormat/>
    <w:uiPriority w:val="99"/>
    <w:rPr>
      <w:sz w:val="21"/>
      <w:szCs w:val="21"/>
    </w:rPr>
  </w:style>
  <w:style w:type="character" w:customStyle="1" w:styleId="26">
    <w:name w:val="标题 1 字符"/>
    <w:link w:val="2"/>
    <w:qFormat/>
    <w:uiPriority w:val="9"/>
    <w:rPr>
      <w:rFonts w:ascii="Cambria" w:hAnsi="Cambria" w:eastAsia="宋体" w:cs="Times New Roman"/>
      <w:b/>
      <w:bCs/>
      <w:color w:val="21798E"/>
      <w:sz w:val="28"/>
      <w:szCs w:val="28"/>
    </w:rPr>
  </w:style>
  <w:style w:type="character" w:customStyle="1" w:styleId="27">
    <w:name w:val="标题 2 字符"/>
    <w:link w:val="3"/>
    <w:semiHidden/>
    <w:qFormat/>
    <w:uiPriority w:val="9"/>
    <w:rPr>
      <w:rFonts w:ascii="Cambria" w:hAnsi="Cambria" w:eastAsia="宋体" w:cs="Times New Roman"/>
      <w:b/>
      <w:bCs/>
      <w:color w:val="2DA2BF"/>
      <w:sz w:val="26"/>
      <w:szCs w:val="26"/>
    </w:rPr>
  </w:style>
  <w:style w:type="character" w:customStyle="1" w:styleId="28">
    <w:name w:val="标题 3 字符"/>
    <w:link w:val="4"/>
    <w:semiHidden/>
    <w:qFormat/>
    <w:uiPriority w:val="9"/>
    <w:rPr>
      <w:rFonts w:ascii="Cambria" w:hAnsi="Cambria" w:eastAsia="宋体" w:cs="Times New Roman"/>
      <w:b/>
      <w:bCs/>
      <w:color w:val="2DA2BF"/>
    </w:rPr>
  </w:style>
  <w:style w:type="character" w:customStyle="1" w:styleId="29">
    <w:name w:val="标题 4 字符"/>
    <w:link w:val="5"/>
    <w:semiHidden/>
    <w:qFormat/>
    <w:uiPriority w:val="9"/>
    <w:rPr>
      <w:rFonts w:ascii="Cambria" w:hAnsi="Cambria" w:eastAsia="宋体" w:cs="Times New Roman"/>
      <w:b/>
      <w:bCs/>
      <w:i/>
      <w:iCs/>
      <w:color w:val="2DA2BF"/>
    </w:rPr>
  </w:style>
  <w:style w:type="character" w:customStyle="1" w:styleId="30">
    <w:name w:val="标题 5 字符"/>
    <w:link w:val="6"/>
    <w:semiHidden/>
    <w:qFormat/>
    <w:uiPriority w:val="9"/>
    <w:rPr>
      <w:rFonts w:ascii="Cambria" w:hAnsi="Cambria" w:eastAsia="宋体" w:cs="Times New Roman"/>
      <w:color w:val="16505E"/>
    </w:rPr>
  </w:style>
  <w:style w:type="character" w:customStyle="1" w:styleId="31">
    <w:name w:val="标题 6 字符"/>
    <w:link w:val="7"/>
    <w:semiHidden/>
    <w:qFormat/>
    <w:uiPriority w:val="9"/>
    <w:rPr>
      <w:rFonts w:ascii="Cambria" w:hAnsi="Cambria" w:eastAsia="宋体" w:cs="Times New Roman"/>
      <w:i/>
      <w:iCs/>
      <w:color w:val="16505E"/>
    </w:rPr>
  </w:style>
  <w:style w:type="character" w:customStyle="1" w:styleId="32">
    <w:name w:val="标题 7 字符"/>
    <w:link w:val="8"/>
    <w:semiHidden/>
    <w:qFormat/>
    <w:uiPriority w:val="9"/>
    <w:rPr>
      <w:rFonts w:ascii="Cambria" w:hAnsi="Cambria" w:eastAsia="宋体" w:cs="Times New Roman"/>
      <w:i/>
      <w:iCs/>
      <w:color w:val="404040"/>
    </w:rPr>
  </w:style>
  <w:style w:type="character" w:customStyle="1" w:styleId="33">
    <w:name w:val="标题 8 字符"/>
    <w:link w:val="9"/>
    <w:semiHidden/>
    <w:qFormat/>
    <w:uiPriority w:val="9"/>
    <w:rPr>
      <w:rFonts w:ascii="Cambria" w:hAnsi="Cambria" w:eastAsia="宋体" w:cs="Times New Roman"/>
      <w:color w:val="2DA2BF"/>
      <w:sz w:val="20"/>
      <w:szCs w:val="20"/>
    </w:rPr>
  </w:style>
  <w:style w:type="character" w:customStyle="1" w:styleId="34">
    <w:name w:val="标题 9 字符"/>
    <w:link w:val="10"/>
    <w:semiHidden/>
    <w:qFormat/>
    <w:uiPriority w:val="9"/>
    <w:rPr>
      <w:rFonts w:ascii="Cambria" w:hAnsi="Cambria" w:eastAsia="宋体" w:cs="Times New Roman"/>
      <w:i/>
      <w:iCs/>
      <w:color w:val="404040"/>
      <w:sz w:val="20"/>
      <w:szCs w:val="20"/>
    </w:rPr>
  </w:style>
  <w:style w:type="character" w:customStyle="1" w:styleId="35">
    <w:name w:val="标题 字符"/>
    <w:link w:val="18"/>
    <w:qFormat/>
    <w:uiPriority w:val="10"/>
    <w:rPr>
      <w:rFonts w:ascii="Cambria" w:hAnsi="Cambria" w:eastAsia="宋体" w:cs="Times New Roman"/>
      <w:color w:val="343434"/>
      <w:spacing w:val="5"/>
      <w:kern w:val="28"/>
      <w:sz w:val="52"/>
      <w:szCs w:val="52"/>
    </w:rPr>
  </w:style>
  <w:style w:type="character" w:customStyle="1" w:styleId="36">
    <w:name w:val="副标题 字符"/>
    <w:link w:val="16"/>
    <w:qFormat/>
    <w:uiPriority w:val="11"/>
    <w:rPr>
      <w:rFonts w:ascii="Cambria" w:hAnsi="Cambria" w:eastAsia="宋体" w:cs="Times New Roman"/>
      <w:i/>
      <w:iCs/>
      <w:color w:val="2DA2BF"/>
      <w:spacing w:val="15"/>
      <w:sz w:val="24"/>
      <w:szCs w:val="24"/>
    </w:rPr>
  </w:style>
  <w:style w:type="paragraph" w:styleId="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38">
    <w:name w:val="List Paragraph"/>
    <w:basedOn w:val="1"/>
    <w:qFormat/>
    <w:uiPriority w:val="34"/>
    <w:pPr>
      <w:widowControl/>
      <w:spacing w:after="200" w:line="276" w:lineRule="auto"/>
      <w:ind w:left="720"/>
      <w:contextualSpacing/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39">
    <w:name w:val="Quote"/>
    <w:basedOn w:val="1"/>
    <w:next w:val="1"/>
    <w:link w:val="40"/>
    <w:qFormat/>
    <w:uiPriority w:val="29"/>
    <w:pPr>
      <w:widowControl/>
      <w:spacing w:after="200" w:line="276" w:lineRule="auto"/>
      <w:jc w:val="left"/>
    </w:pPr>
    <w:rPr>
      <w:rFonts w:asciiTheme="minorHAnsi" w:hAnsiTheme="minorHAnsi" w:eastAsiaTheme="minorEastAsia" w:cstheme="minorBidi"/>
      <w:i/>
      <w:iCs/>
      <w:color w:val="000000"/>
      <w:kern w:val="0"/>
      <w:sz w:val="22"/>
      <w:szCs w:val="22"/>
    </w:rPr>
  </w:style>
  <w:style w:type="character" w:customStyle="1" w:styleId="40">
    <w:name w:val="引用 字符"/>
    <w:link w:val="39"/>
    <w:qFormat/>
    <w:uiPriority w:val="29"/>
    <w:rPr>
      <w:i/>
      <w:iCs/>
      <w:color w:val="000000"/>
    </w:rPr>
  </w:style>
  <w:style w:type="paragraph" w:styleId="41">
    <w:name w:val="Intense Quote"/>
    <w:basedOn w:val="1"/>
    <w:next w:val="1"/>
    <w:link w:val="42"/>
    <w:qFormat/>
    <w:uiPriority w:val="30"/>
    <w:pPr>
      <w:widowControl/>
      <w:pBdr>
        <w:bottom w:val="single" w:color="2DA2BF" w:sz="4" w:space="4"/>
      </w:pBdr>
      <w:spacing w:before="200" w:after="280" w:line="276" w:lineRule="auto"/>
      <w:ind w:left="936" w:right="936"/>
      <w:jc w:val="left"/>
    </w:pPr>
    <w:rPr>
      <w:rFonts w:asciiTheme="minorHAnsi" w:hAnsiTheme="minorHAnsi" w:eastAsiaTheme="minorEastAsia" w:cstheme="minorBidi"/>
      <w:b/>
      <w:bCs/>
      <w:i/>
      <w:iCs/>
      <w:color w:val="2DA2BF"/>
      <w:kern w:val="0"/>
      <w:sz w:val="22"/>
      <w:szCs w:val="22"/>
    </w:rPr>
  </w:style>
  <w:style w:type="character" w:customStyle="1" w:styleId="42">
    <w:name w:val="明显引用 字符"/>
    <w:link w:val="41"/>
    <w:qFormat/>
    <w:uiPriority w:val="30"/>
    <w:rPr>
      <w:b/>
      <w:bCs/>
      <w:i/>
      <w:iCs/>
      <w:color w:val="2DA2BF"/>
    </w:rPr>
  </w:style>
  <w:style w:type="character" w:customStyle="1" w:styleId="43">
    <w:name w:val="不明显强调1"/>
    <w:qFormat/>
    <w:uiPriority w:val="19"/>
    <w:rPr>
      <w:i/>
      <w:iCs/>
      <w:color w:val="808080"/>
    </w:rPr>
  </w:style>
  <w:style w:type="character" w:customStyle="1" w:styleId="44">
    <w:name w:val="明显强调1"/>
    <w:qFormat/>
    <w:uiPriority w:val="21"/>
    <w:rPr>
      <w:b/>
      <w:bCs/>
      <w:i/>
      <w:iCs/>
      <w:color w:val="2DA2BF"/>
    </w:rPr>
  </w:style>
  <w:style w:type="character" w:customStyle="1" w:styleId="45">
    <w:name w:val="不明显参考1"/>
    <w:qFormat/>
    <w:uiPriority w:val="31"/>
    <w:rPr>
      <w:smallCaps/>
      <w:color w:val="DA1F28"/>
      <w:u w:val="single"/>
    </w:rPr>
  </w:style>
  <w:style w:type="character" w:customStyle="1" w:styleId="46">
    <w:name w:val="明显参考1"/>
    <w:qFormat/>
    <w:uiPriority w:val="32"/>
    <w:rPr>
      <w:b/>
      <w:bCs/>
      <w:smallCaps/>
      <w:color w:val="DA1F28"/>
      <w:spacing w:val="5"/>
      <w:u w:val="single"/>
    </w:rPr>
  </w:style>
  <w:style w:type="character" w:customStyle="1" w:styleId="47">
    <w:name w:val="书籍标题1"/>
    <w:qFormat/>
    <w:uiPriority w:val="33"/>
    <w:rPr>
      <w:b/>
      <w:bCs/>
      <w:smallCaps/>
      <w:spacing w:val="5"/>
    </w:rPr>
  </w:style>
  <w:style w:type="paragraph" w:customStyle="1" w:styleId="48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49">
    <w:name w:val="页眉 字符"/>
    <w:basedOn w:val="21"/>
    <w:link w:val="15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50">
    <w:name w:val="页脚 字符"/>
    <w:basedOn w:val="21"/>
    <w:link w:val="14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51">
    <w:name w:val="批注文字 字符"/>
    <w:basedOn w:val="21"/>
    <w:link w:val="12"/>
    <w:semiHidden/>
    <w:qFormat/>
    <w:uiPriority w:val="99"/>
    <w:rPr>
      <w:rFonts w:ascii="Times New Roman" w:hAnsi="Times New Roman" w:eastAsia="宋体" w:cs="Times New Roman"/>
      <w:kern w:val="2"/>
      <w:sz w:val="21"/>
      <w:szCs w:val="20"/>
    </w:rPr>
  </w:style>
  <w:style w:type="character" w:customStyle="1" w:styleId="52">
    <w:name w:val="批注主题 字符"/>
    <w:basedOn w:val="51"/>
    <w:link w:val="19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0"/>
    </w:rPr>
  </w:style>
  <w:style w:type="character" w:customStyle="1" w:styleId="53">
    <w:name w:val="批注框文本 字符"/>
    <w:basedOn w:val="21"/>
    <w:link w:val="1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54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5">
    <w:name w:val="fontstyle01"/>
    <w:basedOn w:val="21"/>
    <w:qFormat/>
    <w:uiPriority w:val="0"/>
    <w:rPr>
      <w:rFonts w:hint="eastAsia" w:ascii="宋体" w:hAnsi="宋体" w:eastAsia="宋体"/>
      <w:color w:val="000000"/>
      <w:sz w:val="24"/>
      <w:szCs w:val="24"/>
    </w:rPr>
  </w:style>
  <w:style w:type="character" w:customStyle="1" w:styleId="56">
    <w:name w:val="keyword"/>
    <w:basedOn w:val="21"/>
    <w:qFormat/>
    <w:uiPriority w:val="0"/>
  </w:style>
  <w:style w:type="character" w:customStyle="1" w:styleId="57">
    <w:name w:val="activekeyword"/>
    <w:basedOn w:val="21"/>
    <w:qFormat/>
    <w:uiPriority w:val="0"/>
  </w:style>
  <w:style w:type="character" w:customStyle="1" w:styleId="58">
    <w:name w:val="highlight"/>
    <w:basedOn w:val="21"/>
    <w:qFormat/>
    <w:uiPriority w:val="0"/>
  </w:style>
  <w:style w:type="character" w:customStyle="1" w:styleId="59">
    <w:name w:val="text-only"/>
    <w:basedOn w:val="21"/>
    <w:qFormat/>
    <w:uiPriority w:val="0"/>
  </w:style>
  <w:style w:type="paragraph" w:customStyle="1" w:styleId="60">
    <w:name w:val="3090"/>
    <w:basedOn w:val="1"/>
    <w:qFormat/>
    <w:uiPriority w:val="0"/>
    <w:pPr>
      <w:spacing w:line="360" w:lineRule="auto"/>
      <w:ind w:firstLine="200" w:firstLineChars="200"/>
    </w:pPr>
    <w:rPr>
      <w:sz w:val="24"/>
      <w:szCs w:val="24"/>
    </w:rPr>
  </w:style>
  <w:style w:type="character" w:customStyle="1" w:styleId="61">
    <w:name w:val="font21"/>
    <w:basedOn w:val="21"/>
    <w:qFormat/>
    <w:uiPriority w:val="0"/>
    <w:rPr>
      <w:rFonts w:hint="eastAsia" w:ascii="宋体" w:hAnsi="宋体" w:eastAsia="宋体"/>
      <w:b/>
      <w:bCs/>
      <w:color w:val="000000"/>
      <w:sz w:val="21"/>
      <w:szCs w:val="21"/>
      <w:u w:val="none"/>
    </w:rPr>
  </w:style>
  <w:style w:type="character" w:customStyle="1" w:styleId="62">
    <w:name w:val="font41"/>
    <w:basedOn w:val="21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63">
    <w:name w:val="font11"/>
    <w:basedOn w:val="21"/>
    <w:qFormat/>
    <w:uiPriority w:val="0"/>
    <w:rPr>
      <w:rFonts w:hint="eastAsia" w:ascii="宋体" w:hAnsi="宋体" w:eastAsia="宋体"/>
      <w:color w:val="000000"/>
      <w:sz w:val="21"/>
      <w:szCs w:val="21"/>
      <w:u w:val="none"/>
    </w:rPr>
  </w:style>
  <w:style w:type="character" w:customStyle="1" w:styleId="64">
    <w:name w:val="biaodian"/>
    <w:basedOn w:val="2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F1191-D2AE-4B2D-A192-BA65C07335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2694</Words>
  <Characters>2867</Characters>
  <Lines>21</Lines>
  <Paragraphs>6</Paragraphs>
  <TotalTime>210</TotalTime>
  <ScaleCrop>false</ScaleCrop>
  <LinksUpToDate>false</LinksUpToDate>
  <CharactersWithSpaces>3015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2023-06-02T09:16:00Z</dcterms:created>
  <dc:creator>Windows 用户</dc:creator>
  <cp:lastModifiedBy>pikaqiu0077</cp:lastModifiedBy>
  <cp:lastPrinted>2024-05-14T09:00:00Z</cp:lastPrinted>
  <dcterms:modified xsi:type="dcterms:W3CDTF">2026-10-28T06:52:35Z</dcterms:modified>
  <cp:revision>708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3tu2K6fN/+n4podpnjB0hmFweLzHQUaU/+kpJ0yvBAuhMGOLv1tLL07x9rq1xYwKdLJ4LkGBd4CSGwDfinzv2oYM1FZ+3Cb1B+02qm0B1lvyAiWRZgNpE5QaQNbqMfXYalznmO1sFQQeKz6ru6JBbPSYGJ0hA3Noc4NvdMzP0cwRXKaucjlU1BrVEviYJ7BpWnIPXTfXmvJgffBBIR5uwJgwwE9/eB3HY8vsntd6NYKFsg/KDtxXGoOgQvM+Dh6y4fxIp2Rqnh3tKNVhmWauO6HEtwZbYmSlfOu9L5J3mF1G+PEPlW1HNGjG5b8vLsIK5JovYsbfE8cUhA2GBLsdeHu7DCjzz+HKeHGfw55vYIulGLT1ucTmfEUcFq9uzcLa18R3060B+tdkK6DDOZqlCgXCshstiu3j+0wdJKshve5PBLlTOOoTMxyhTNjkC9iNLmEs8r9lK+/7ttvBbuJiw4xagxP/aTp7/Exej9c3pPD516OvDJo60bq3KmmaXNdnymOVK+E4vjKDnZ6gC13tR1dCbuuSadfIHXgd1exwe4tTrKE6rKUnmnspywNhWnsG6Z4qEtIKD+CrDk3pCMjADgPsNBZkGBahXFICWOhxsnPvXMkYbCv7WbWnuOC5Lmx8l5rhpPFZKOhC1MWMZ+STuMXRbpcKEudj0JkRHROcXzmjzi5eClCgw0/aVz0YzTVB6AbI1aQS8hMGDTg42GN2ewJWvWApw2wkehdg5gb9eHH2XTc9OrqZYecdecopvs26eBClbOVIJ5kIJtuwdGLbrcbrteVnPyC3cHWg8Q4PwsVzBvDhGFzzyb5zxyqbhPJxte4yj+GL40TWSzEsd1ib/bUvnjk7+OogXvPGoLO7fM6he6X7cyWywcrM+JVPb4Aft1uzX3ZLBr8oK46La1Piowr7nMSWxb/jTYTOxpta5tkEslg1ShpCykSb1912oSGFmS6N5BaO2Bk2ouHN0J9/MDTBMS6LV8m1GfxQX3BzFcDuQoElOqVRgea3uI5g45De01+ykBFZVQgF0iBv2esd5momi3chtw83UBope4HgZrUs04dM9NVMnQrwe47lJAUBZq9Kv4gEeasMvcS2cbYi214MYcQ6UVHDW+w3Vc0OABtEMUkTkb/fneqL3gyMUjYiaMaW5j5eoSBsAdkNvlivMcdkeJm/OS0/pFxmpbNPgcLCM68GRuDkpniWNb7doKO4rAHugzBtXIxxJekgMsxf/3YkfyNXXhPukKfU7bcWM45lWNhJQ7caLs7n55Y9kYY+dXMHmw65Mg8+PxwJRgDwgCungAWT/W79AZKtbJ0CmX75kN/lb/agqFmw791EJT49mCmQOEfncOgZodNcvTOJlpv+96EWoMRLwrWC4APj9uhci4KE7VsiksqfJhD205XDyOF25r1gvUztkdYqg+CncSRuKdDdiU8vCE6Mx5A5f3UHNdKEuFiz7q7siLuAC3AJ+xDD3XVYOG78QgJqNPhPMDUTqtFo/+jyuZQzA4e708QPPTATJLZ3vTtKRLGFvoP1VK3AuHzER+5qQlG1ZVmWHg==</vt:lpwstr>
  </property>
  <property fmtid="{D5CDD505-2E9C-101B-9397-08002B2CF9AE}" pid="3" name="KSOProductBuildVer">
    <vt:lpwstr>2052-12.1.0.24034</vt:lpwstr>
  </property>
  <property fmtid="{D5CDD505-2E9C-101B-9397-08002B2CF9AE}" pid="4" name="ICV">
    <vt:lpwstr>4008ABD01AF747508157E4D0231EB8D4_13</vt:lpwstr>
  </property>
  <property fmtid="{D5CDD505-2E9C-101B-9397-08002B2CF9AE}" pid="5" name="KSOTemplateDocerSaveRecord">
    <vt:lpwstr>eyJoZGlkIjoiMWI2NjQxNWM0NGMxNTljNDhlZDNkN2YzMDE2MGVmZjciLCJ1c2VySWQiOiI1ODUzMDk2MjkifQ==</vt:lpwstr>
  </property>
</Properties>
</file>