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2E120">
      <w:pPr>
        <w:snapToGrid w:val="0"/>
        <w:spacing w:line="360" w:lineRule="auto"/>
        <w:rPr>
          <w:rFonts w:hint="eastAsia" w:ascii="宋体" w:hAnsi="宋体" w:eastAsia="宋体"/>
          <w:bCs/>
          <w:iCs/>
          <w:color w:val="000000"/>
          <w:sz w:val="24"/>
          <w:szCs w:val="24"/>
          <w:lang w:eastAsia="zh-CN"/>
        </w:rPr>
      </w:pPr>
      <w:r>
        <w:rPr>
          <w:rFonts w:hint="eastAsia" w:ascii="宋体" w:hAnsi="宋体"/>
          <w:bCs/>
          <w:iCs/>
          <w:color w:val="000000"/>
          <w:sz w:val="24"/>
          <w:szCs w:val="24"/>
        </w:rPr>
        <w:t>证券代码：6</w:t>
      </w:r>
      <w:r>
        <w:rPr>
          <w:rFonts w:ascii="宋体" w:hAnsi="宋体"/>
          <w:bCs/>
          <w:iCs/>
          <w:color w:val="000000"/>
          <w:sz w:val="24"/>
          <w:szCs w:val="24"/>
        </w:rPr>
        <w:t>00</w:t>
      </w:r>
      <w:r>
        <w:rPr>
          <w:rFonts w:hint="eastAsia" w:ascii="宋体" w:hAnsi="宋体"/>
          <w:bCs/>
          <w:iCs/>
          <w:color w:val="000000"/>
          <w:sz w:val="24"/>
          <w:szCs w:val="24"/>
          <w:lang w:val="en-US" w:eastAsia="zh-CN"/>
        </w:rPr>
        <w:t>826</w:t>
      </w:r>
      <w:r>
        <w:rPr>
          <w:rFonts w:hint="eastAsia" w:ascii="宋体" w:hAnsi="宋体"/>
          <w:bCs/>
          <w:iCs/>
          <w:color w:val="000000"/>
          <w:sz w:val="24"/>
          <w:szCs w:val="24"/>
        </w:rPr>
        <w:t xml:space="preserve">                         </w:t>
      </w:r>
      <w:r>
        <w:rPr>
          <w:rFonts w:ascii="宋体" w:hAnsi="宋体"/>
          <w:bCs/>
          <w:iCs/>
          <w:color w:val="000000"/>
          <w:sz w:val="24"/>
          <w:szCs w:val="24"/>
        </w:rPr>
        <w:t xml:space="preserve">          </w:t>
      </w:r>
      <w:r>
        <w:rPr>
          <w:rFonts w:hint="eastAsia" w:ascii="宋体" w:hAnsi="宋体"/>
          <w:bCs/>
          <w:iCs/>
          <w:color w:val="000000"/>
          <w:sz w:val="24"/>
          <w:szCs w:val="24"/>
        </w:rPr>
        <w:t>证券简称：</w:t>
      </w:r>
      <w:r>
        <w:rPr>
          <w:rFonts w:hint="eastAsia" w:ascii="宋体" w:hAnsi="宋体"/>
          <w:bCs/>
          <w:iCs/>
          <w:color w:val="000000"/>
          <w:sz w:val="24"/>
          <w:szCs w:val="24"/>
          <w:lang w:eastAsia="zh-CN"/>
        </w:rPr>
        <w:t>兰生股份</w:t>
      </w:r>
    </w:p>
    <w:p w14:paraId="48C6C2AF">
      <w:pPr>
        <w:snapToGrid w:val="0"/>
        <w:spacing w:line="360" w:lineRule="auto"/>
        <w:rPr>
          <w:rFonts w:ascii="仿宋" w:hAnsi="仿宋" w:eastAsia="仿宋"/>
          <w:bCs/>
          <w:iCs/>
          <w:color w:val="000000"/>
          <w:sz w:val="28"/>
          <w:szCs w:val="28"/>
        </w:rPr>
      </w:pPr>
    </w:p>
    <w:p w14:paraId="656222B9">
      <w:pPr>
        <w:adjustRightInd w:val="0"/>
        <w:snapToGrid w:val="0"/>
        <w:spacing w:line="360" w:lineRule="auto"/>
        <w:jc w:val="center"/>
        <w:rPr>
          <w:rFonts w:ascii="华文中宋" w:hAnsi="华文中宋" w:eastAsia="华文中宋"/>
          <w:b/>
          <w:bCs/>
          <w:iCs/>
          <w:color w:val="000000"/>
          <w:sz w:val="32"/>
          <w:szCs w:val="32"/>
        </w:rPr>
      </w:pPr>
      <w:r>
        <w:rPr>
          <w:rFonts w:hint="eastAsia" w:ascii="华文中宋" w:hAnsi="华文中宋" w:eastAsia="华文中宋"/>
          <w:b/>
          <w:bCs/>
          <w:iCs/>
          <w:color w:val="000000"/>
          <w:sz w:val="32"/>
          <w:szCs w:val="32"/>
        </w:rPr>
        <w:t>东浩兰生会展集团股份有限公司</w:t>
      </w:r>
    </w:p>
    <w:p w14:paraId="268351C2">
      <w:pPr>
        <w:adjustRightInd w:val="0"/>
        <w:snapToGrid w:val="0"/>
        <w:spacing w:line="360" w:lineRule="auto"/>
        <w:jc w:val="center"/>
        <w:rPr>
          <w:rFonts w:ascii="华文中宋" w:hAnsi="华文中宋" w:eastAsia="华文中宋"/>
          <w:b/>
          <w:bCs/>
          <w:iCs/>
          <w:color w:val="000000"/>
          <w:sz w:val="32"/>
          <w:szCs w:val="32"/>
        </w:rPr>
      </w:pPr>
      <w:r>
        <w:rPr>
          <w:rFonts w:hint="eastAsia" w:ascii="华文中宋" w:hAnsi="华文中宋" w:eastAsia="华文中宋"/>
          <w:b/>
          <w:bCs/>
          <w:iCs/>
          <w:color w:val="000000"/>
          <w:sz w:val="32"/>
          <w:szCs w:val="32"/>
        </w:rPr>
        <w:t>投资者关系活动记录表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6458"/>
      </w:tblGrid>
      <w:tr w14:paraId="55A4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6066788">
            <w:pPr>
              <w:adjustRightInd w:val="0"/>
              <w:snapToGrid w:val="0"/>
              <w:spacing w:line="360" w:lineRule="auto"/>
              <w:rPr>
                <w:rFonts w:hint="eastAsia" w:asciiTheme="minorEastAsia" w:hAnsiTheme="minorEastAsia" w:eastAsiaTheme="minorEastAsia"/>
                <w:bCs/>
                <w:iCs/>
                <w:color w:val="000000"/>
                <w:sz w:val="28"/>
                <w:szCs w:val="28"/>
              </w:rPr>
            </w:pPr>
            <w:r>
              <w:rPr>
                <w:rFonts w:hint="eastAsia" w:asciiTheme="minorEastAsia" w:hAnsiTheme="minorEastAsia" w:eastAsiaTheme="minorEastAsia"/>
                <w:bCs/>
                <w:iCs/>
                <w:color w:val="000000"/>
                <w:sz w:val="28"/>
                <w:szCs w:val="28"/>
              </w:rPr>
              <w:t xml:space="preserve">                                                     </w:t>
            </w:r>
          </w:p>
          <w:p w14:paraId="4D2179B0">
            <w:pPr>
              <w:keepNext w:val="0"/>
              <w:keepLines w:val="0"/>
              <w:pageBreakBefore w:val="0"/>
              <w:widowControl w:val="0"/>
              <w:kinsoku/>
              <w:wordWrap/>
              <w:overflowPunct/>
              <w:topLinePunct w:val="0"/>
              <w:autoSpaceDE/>
              <w:autoSpaceDN/>
              <w:bidi w:val="0"/>
              <w:adjustRightInd w:val="0"/>
              <w:snapToGrid w:val="0"/>
              <w:spacing w:before="313" w:beforeLines="100" w:line="360" w:lineRule="auto"/>
              <w:textAlignment w:val="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投资者关系活动类别</w:t>
            </w:r>
          </w:p>
          <w:p w14:paraId="184642B6">
            <w:pPr>
              <w:adjustRightInd w:val="0"/>
              <w:snapToGrid w:val="0"/>
              <w:spacing w:line="360" w:lineRule="auto"/>
              <w:rPr>
                <w:rFonts w:asciiTheme="minorEastAsia" w:hAnsiTheme="minorEastAsia" w:eastAsiaTheme="minorEastAsia"/>
                <w:bCs/>
                <w:iCs/>
                <w:color w:val="000000"/>
                <w:sz w:val="24"/>
                <w:szCs w:val="24"/>
              </w:rPr>
            </w:pP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5A79F790">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color w:val="000000"/>
                <w:sz w:val="24"/>
                <w:szCs w:val="24"/>
              </w:rPr>
              <w:t xml:space="preserve">特定对象调研        </w:t>
            </w: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color w:val="000000"/>
                <w:sz w:val="24"/>
                <w:szCs w:val="24"/>
              </w:rPr>
              <w:t>分析师会议</w:t>
            </w:r>
          </w:p>
          <w:p w14:paraId="141B390A">
            <w:pPr>
              <w:adjustRightInd w:val="0"/>
              <w:snapToGrid w:val="0"/>
              <w:spacing w:line="360" w:lineRule="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w:t>
            </w:r>
            <w:r>
              <w:rPr>
                <w:rFonts w:hint="eastAsia" w:asciiTheme="minorEastAsia" w:hAnsiTheme="minorEastAsia" w:eastAsiaTheme="minorEastAsia"/>
                <w:color w:val="000000"/>
                <w:sz w:val="24"/>
                <w:szCs w:val="24"/>
              </w:rPr>
              <w:t xml:space="preserve">媒体采访            </w:t>
            </w: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color w:val="000000"/>
                <w:sz w:val="24"/>
                <w:szCs w:val="24"/>
              </w:rPr>
              <w:t>业绩说明会</w:t>
            </w:r>
          </w:p>
          <w:p w14:paraId="7367F36B">
            <w:pPr>
              <w:adjustRightInd w:val="0"/>
              <w:snapToGrid w:val="0"/>
              <w:spacing w:line="360" w:lineRule="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w:t>
            </w:r>
            <w:r>
              <w:rPr>
                <w:rFonts w:hint="eastAsia" w:asciiTheme="minorEastAsia" w:hAnsiTheme="minorEastAsia" w:eastAsiaTheme="minorEastAsia"/>
                <w:color w:val="000000"/>
                <w:sz w:val="24"/>
                <w:szCs w:val="24"/>
              </w:rPr>
              <w:t xml:space="preserve">新闻发布会          </w:t>
            </w: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color w:val="000000"/>
                <w:sz w:val="24"/>
                <w:szCs w:val="24"/>
              </w:rPr>
              <w:t>路演活动</w:t>
            </w:r>
          </w:p>
          <w:p w14:paraId="75F25850">
            <w:pPr>
              <w:tabs>
                <w:tab w:val="left" w:pos="3045"/>
                <w:tab w:val="center" w:pos="3199"/>
              </w:tabs>
              <w:adjustRightInd w:val="0"/>
              <w:snapToGrid w:val="0"/>
              <w:spacing w:line="360" w:lineRule="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color w:val="000000"/>
                <w:sz w:val="24"/>
                <w:szCs w:val="24"/>
              </w:rPr>
              <w:t>现场参观</w:t>
            </w:r>
            <w:r>
              <w:rPr>
                <w:rFonts w:hint="eastAsia" w:asciiTheme="minorEastAsia" w:hAnsiTheme="minorEastAsia" w:eastAsiaTheme="minorEastAsia"/>
                <w:bCs/>
                <w:iCs/>
                <w:color w:val="000000"/>
                <w:sz w:val="24"/>
                <w:szCs w:val="24"/>
              </w:rPr>
              <w:tab/>
            </w:r>
          </w:p>
          <w:p w14:paraId="6D32EC6C">
            <w:pPr>
              <w:tabs>
                <w:tab w:val="center" w:pos="3199"/>
              </w:tabs>
              <w:adjustRightInd w:val="0"/>
              <w:snapToGrid w:val="0"/>
              <w:spacing w:line="360" w:lineRule="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w:t>
            </w:r>
            <w:r>
              <w:rPr>
                <w:rFonts w:hint="eastAsia" w:asciiTheme="minorEastAsia" w:hAnsiTheme="minorEastAsia" w:eastAsiaTheme="minorEastAsia"/>
                <w:color w:val="000000"/>
                <w:sz w:val="24"/>
                <w:szCs w:val="24"/>
              </w:rPr>
              <w:t>其他 （</w:t>
            </w:r>
            <w:r>
              <w:rPr>
                <w:rFonts w:hint="eastAsia" w:asciiTheme="minorEastAsia" w:hAnsiTheme="minorEastAsia" w:eastAsiaTheme="minorEastAsia"/>
                <w:color w:val="000000"/>
                <w:sz w:val="24"/>
                <w:szCs w:val="24"/>
                <w:u w:val="single"/>
              </w:rPr>
              <w:t>请文字说明其他活动内容）</w:t>
            </w:r>
          </w:p>
        </w:tc>
      </w:tr>
      <w:tr w14:paraId="558C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F34641D">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highlight w:val="none"/>
              </w:rPr>
            </w:pPr>
            <w:r>
              <w:rPr>
                <w:rFonts w:hint="eastAsia" w:asciiTheme="minorEastAsia" w:hAnsiTheme="minorEastAsia" w:eastAsiaTheme="minorEastAsia"/>
                <w:bCs/>
                <w:iCs/>
                <w:sz w:val="24"/>
                <w:szCs w:val="24"/>
                <w:highlight w:val="none"/>
              </w:rPr>
              <w:t>参与人员</w:t>
            </w: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07F177C4">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highlight w:val="none"/>
              </w:rPr>
            </w:pPr>
            <w:r>
              <w:rPr>
                <w:rFonts w:hint="eastAsia" w:ascii="宋体" w:hAnsi="宋体" w:eastAsia="宋体" w:cs="宋体"/>
                <w:bCs/>
                <w:iCs/>
                <w:color w:val="000000"/>
                <w:sz w:val="24"/>
                <w:szCs w:val="24"/>
                <w:highlight w:val="none"/>
                <w:lang w:val="en-US" w:eastAsia="zh-CN"/>
              </w:rPr>
              <w:t>参与2026年第三季度业绩说明会的投资者</w:t>
            </w:r>
          </w:p>
        </w:tc>
      </w:tr>
      <w:tr w14:paraId="390F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04A94593">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会议时间</w:t>
            </w: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6CDEC3EF">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asciiTheme="minorEastAsia" w:hAnsiTheme="minorEastAsia" w:eastAsiaTheme="minorEastAsia"/>
                <w:bCs/>
                <w:iCs/>
                <w:color w:val="000000"/>
                <w:sz w:val="24"/>
                <w:szCs w:val="24"/>
                <w:highlight w:val="yellow"/>
                <w:lang w:val="en-US" w:eastAsia="zh-CN"/>
              </w:rPr>
            </w:pPr>
            <w:r>
              <w:rPr>
                <w:rFonts w:hint="eastAsia" w:ascii="宋体" w:hAnsi="宋体" w:eastAsia="宋体" w:cs="宋体"/>
                <w:bCs/>
                <w:iCs/>
                <w:color w:val="000000"/>
                <w:sz w:val="24"/>
              </w:rPr>
              <w:t>202</w:t>
            </w:r>
            <w:r>
              <w:rPr>
                <w:rFonts w:hint="eastAsia" w:ascii="宋体" w:hAnsi="宋体" w:eastAsia="宋体" w:cs="宋体"/>
                <w:bCs/>
                <w:iCs/>
                <w:color w:val="000000"/>
                <w:sz w:val="24"/>
                <w:lang w:val="en-US" w:eastAsia="zh-CN"/>
              </w:rPr>
              <w:t>6</w:t>
            </w:r>
            <w:r>
              <w:rPr>
                <w:rFonts w:hint="eastAsia" w:ascii="宋体" w:hAnsi="宋体" w:eastAsia="宋体" w:cs="宋体"/>
                <w:bCs/>
                <w:iCs/>
                <w:color w:val="000000"/>
                <w:sz w:val="24"/>
              </w:rPr>
              <w:t>年</w:t>
            </w:r>
            <w:r>
              <w:rPr>
                <w:rFonts w:hint="eastAsia" w:ascii="宋体" w:hAnsi="宋体" w:cs="宋体"/>
                <w:bCs/>
                <w:iCs/>
                <w:color w:val="000000"/>
                <w:sz w:val="24"/>
                <w:lang w:val="en-US" w:eastAsia="zh-CN"/>
              </w:rPr>
              <w:t>10</w:t>
            </w:r>
            <w:r>
              <w:rPr>
                <w:rFonts w:hint="eastAsia" w:ascii="宋体" w:hAnsi="宋体" w:eastAsia="宋体" w:cs="宋体"/>
                <w:bCs/>
                <w:iCs/>
                <w:color w:val="000000"/>
                <w:sz w:val="24"/>
              </w:rPr>
              <w:t>月</w:t>
            </w:r>
            <w:r>
              <w:rPr>
                <w:rFonts w:hint="eastAsia" w:ascii="宋体" w:hAnsi="宋体" w:cs="宋体"/>
                <w:bCs/>
                <w:iCs/>
                <w:color w:val="000000"/>
                <w:sz w:val="24"/>
                <w:lang w:val="en-US" w:eastAsia="zh-CN"/>
              </w:rPr>
              <w:t>29</w:t>
            </w:r>
            <w:r>
              <w:rPr>
                <w:rFonts w:hint="eastAsia" w:ascii="宋体" w:hAnsi="宋体" w:eastAsia="宋体" w:cs="宋体"/>
                <w:bCs/>
                <w:iCs/>
                <w:color w:val="000000"/>
                <w:sz w:val="24"/>
              </w:rPr>
              <w:t xml:space="preserve">日 </w:t>
            </w:r>
            <w:r>
              <w:rPr>
                <w:rFonts w:hint="eastAsia" w:ascii="宋体" w:hAnsi="宋体" w:cs="宋体"/>
                <w:bCs/>
                <w:iCs/>
                <w:color w:val="000000"/>
                <w:sz w:val="24"/>
                <w:lang w:eastAsia="zh-CN"/>
              </w:rPr>
              <w:t>（</w:t>
            </w:r>
            <w:r>
              <w:rPr>
                <w:rFonts w:hint="eastAsia" w:ascii="宋体" w:hAnsi="宋体" w:eastAsia="宋体" w:cs="宋体"/>
                <w:bCs/>
                <w:iCs/>
                <w:color w:val="000000"/>
                <w:sz w:val="24"/>
              </w:rPr>
              <w:t>周</w:t>
            </w:r>
            <w:r>
              <w:rPr>
                <w:rFonts w:hint="eastAsia" w:ascii="宋体" w:hAnsi="宋体" w:cs="宋体"/>
                <w:bCs/>
                <w:iCs/>
                <w:color w:val="000000"/>
                <w:sz w:val="24"/>
                <w:lang w:val="en-US" w:eastAsia="zh-CN"/>
              </w:rPr>
              <w:t>四）</w:t>
            </w:r>
            <w:r>
              <w:rPr>
                <w:rFonts w:hint="eastAsia" w:ascii="宋体" w:hAnsi="宋体" w:eastAsia="宋体" w:cs="宋体"/>
                <w:bCs/>
                <w:iCs/>
                <w:color w:val="000000"/>
                <w:sz w:val="24"/>
              </w:rPr>
              <w:t xml:space="preserve"> </w:t>
            </w:r>
            <w:r>
              <w:rPr>
                <w:rFonts w:hint="eastAsia" w:ascii="宋体" w:hAnsi="宋体" w:eastAsia="宋体" w:cs="宋体"/>
                <w:bCs/>
                <w:iCs/>
                <w:color w:val="000000"/>
                <w:sz w:val="24"/>
                <w:szCs w:val="24"/>
                <w:highlight w:val="none"/>
                <w:lang w:val="en-US" w:eastAsia="zh-CN"/>
              </w:rPr>
              <w:t>11:00~12:00</w:t>
            </w:r>
          </w:p>
        </w:tc>
      </w:tr>
      <w:tr w14:paraId="6C47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5FEE520">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会议地点</w:t>
            </w: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67DFE6AC">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rFonts w:hint="default" w:ascii="宋体" w:hAnsi="宋体"/>
                <w:color w:val="000000"/>
                <w:sz w:val="24"/>
                <w:szCs w:val="24"/>
                <w:lang w:val="en-US" w:eastAsia="zh-CN"/>
              </w:rPr>
            </w:pPr>
            <w:r>
              <w:rPr>
                <w:rFonts w:hint="default" w:ascii="宋体" w:hAnsi="宋体"/>
                <w:color w:val="000000"/>
                <w:sz w:val="24"/>
                <w:szCs w:val="24"/>
                <w:lang w:val="en-US" w:eastAsia="zh-CN"/>
              </w:rPr>
              <w:t>上海证券交易所上证路演中心</w:t>
            </w:r>
          </w:p>
          <w:p w14:paraId="24BC184A">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rFonts w:hint="default" w:ascii="宋体" w:hAnsi="宋体"/>
                <w:color w:val="000000"/>
                <w:sz w:val="24"/>
                <w:szCs w:val="24"/>
                <w:lang w:val="en-US" w:eastAsia="zh-CN"/>
              </w:rPr>
            </w:pPr>
            <w:r>
              <w:rPr>
                <w:rFonts w:hint="default" w:ascii="宋体" w:hAnsi="宋体"/>
                <w:color w:val="000000"/>
                <w:sz w:val="24"/>
                <w:szCs w:val="24"/>
                <w:lang w:val="en-US" w:eastAsia="zh-CN"/>
              </w:rPr>
              <w:t>（网址：http://roadshow.sseinfo.com）</w:t>
            </w:r>
          </w:p>
        </w:tc>
      </w:tr>
      <w:tr w14:paraId="6BCAD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9E62029">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会议形式</w:t>
            </w: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7C6C8F85">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eastAsia="宋体" w:asciiTheme="minorEastAsia" w:hAnsiTheme="minorEastAsia"/>
                <w:bCs/>
                <w:iCs/>
                <w:color w:val="000000"/>
                <w:sz w:val="24"/>
                <w:szCs w:val="24"/>
                <w:lang w:val="en-US" w:eastAsia="zh-CN"/>
              </w:rPr>
            </w:pPr>
            <w:r>
              <w:rPr>
                <w:rFonts w:hint="eastAsia" w:ascii="宋体" w:hAnsi="宋体"/>
                <w:color w:val="000000"/>
                <w:sz w:val="24"/>
                <w:szCs w:val="24"/>
                <w:lang w:val="en-US" w:eastAsia="zh-CN"/>
              </w:rPr>
              <w:t>线上会议</w:t>
            </w:r>
          </w:p>
        </w:tc>
      </w:tr>
      <w:tr w14:paraId="6E23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7EEE3C38">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公司接待人员姓名</w:t>
            </w: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148930D9">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asciiTheme="minorEastAsia" w:hAnsiTheme="minorEastAsia" w:eastAsiaTheme="minorEastAsia"/>
                <w:bCs/>
                <w:iCs/>
                <w:color w:val="000000"/>
                <w:sz w:val="24"/>
                <w:szCs w:val="24"/>
                <w:lang w:val="en-US" w:eastAsia="zh-CN"/>
              </w:rPr>
            </w:pPr>
            <w:r>
              <w:rPr>
                <w:rFonts w:hint="eastAsia" w:asciiTheme="minorEastAsia" w:hAnsiTheme="minorEastAsia" w:eastAsiaTheme="minorEastAsia"/>
                <w:bCs/>
                <w:iCs/>
                <w:color w:val="000000"/>
                <w:sz w:val="24"/>
                <w:szCs w:val="24"/>
              </w:rPr>
              <w:t>董事长：陈小宏</w:t>
            </w: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bCs/>
                <w:iCs/>
                <w:color w:val="000000"/>
                <w:sz w:val="24"/>
                <w:szCs w:val="24"/>
              </w:rPr>
              <w:t>董事、总裁：毕培文</w:t>
            </w: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bCs/>
                <w:iCs/>
                <w:color w:val="000000"/>
                <w:sz w:val="24"/>
                <w:szCs w:val="24"/>
              </w:rPr>
              <w:t>独立董事：</w:t>
            </w:r>
            <w:r>
              <w:rPr>
                <w:rFonts w:hint="eastAsia" w:asciiTheme="minorEastAsia" w:hAnsiTheme="minorEastAsia" w:eastAsiaTheme="minorEastAsia"/>
                <w:bCs/>
                <w:iCs/>
                <w:color w:val="000000"/>
                <w:sz w:val="24"/>
                <w:szCs w:val="24"/>
                <w:lang w:val="en-US" w:eastAsia="zh-CN"/>
              </w:rPr>
              <w:t>吕勇</w:t>
            </w: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bCs/>
                <w:iCs/>
                <w:color w:val="000000"/>
                <w:sz w:val="24"/>
                <w:szCs w:val="24"/>
              </w:rPr>
              <w:t>职工董事、副总裁、董事会秘书：张荣健</w:t>
            </w:r>
            <w:r>
              <w:rPr>
                <w:rFonts w:hint="eastAsia" w:asciiTheme="minorEastAsia" w:hAnsiTheme="minorEastAsia" w:eastAsiaTheme="minorEastAsia"/>
                <w:bCs/>
                <w:iCs/>
                <w:color w:val="000000"/>
                <w:sz w:val="24"/>
                <w:szCs w:val="24"/>
                <w:lang w:eastAsia="zh-CN"/>
              </w:rPr>
              <w:t>；</w:t>
            </w:r>
            <w:r>
              <w:rPr>
                <w:rFonts w:hint="eastAsia" w:asciiTheme="minorEastAsia" w:hAnsiTheme="minorEastAsia" w:eastAsiaTheme="minorEastAsia"/>
                <w:bCs/>
                <w:iCs/>
                <w:color w:val="000000"/>
                <w:sz w:val="24"/>
                <w:szCs w:val="24"/>
                <w:lang w:val="en-US" w:eastAsia="zh-CN"/>
              </w:rPr>
              <w:t>财务总监：楼铭铭；</w:t>
            </w:r>
            <w:r>
              <w:rPr>
                <w:rFonts w:hint="eastAsia" w:asciiTheme="minorEastAsia" w:hAnsiTheme="minorEastAsia" w:eastAsiaTheme="minorEastAsia"/>
                <w:bCs/>
                <w:iCs/>
                <w:color w:val="000000"/>
                <w:sz w:val="24"/>
                <w:szCs w:val="24"/>
                <w:lang w:eastAsia="zh-CN"/>
              </w:rPr>
              <w:t>证券事务代表：俞璟贇</w:t>
            </w:r>
            <w:r>
              <w:rPr>
                <w:rFonts w:hint="eastAsia" w:asciiTheme="minorEastAsia" w:hAnsiTheme="minorEastAsia" w:eastAsiaTheme="minorEastAsia"/>
                <w:bCs/>
                <w:iCs/>
                <w:color w:val="000000"/>
                <w:sz w:val="24"/>
                <w:szCs w:val="24"/>
                <w:lang w:val="en-US" w:eastAsia="zh-CN"/>
              </w:rPr>
              <w:t>等</w:t>
            </w:r>
          </w:p>
        </w:tc>
      </w:tr>
      <w:tr w14:paraId="41EED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6BF38E3A">
            <w:pPr>
              <w:adjustRightInd w:val="0"/>
              <w:snapToGrid w:val="0"/>
              <w:spacing w:line="360" w:lineRule="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投资者关系活动主要内容介绍</w:t>
            </w:r>
          </w:p>
          <w:p w14:paraId="79A4392F">
            <w:pPr>
              <w:adjustRightInd w:val="0"/>
              <w:snapToGrid w:val="0"/>
              <w:spacing w:line="360" w:lineRule="auto"/>
              <w:rPr>
                <w:rFonts w:asciiTheme="minorEastAsia" w:hAnsiTheme="minorEastAsia" w:eastAsiaTheme="minorEastAsia"/>
                <w:bCs/>
                <w:iCs/>
                <w:color w:val="000000"/>
                <w:sz w:val="24"/>
                <w:szCs w:val="24"/>
              </w:rPr>
            </w:pP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10FB269A">
            <w:pPr>
              <w:pStyle w:val="19"/>
              <w:keepNext w:val="0"/>
              <w:keepLines w:val="0"/>
              <w:pageBreakBefore w:val="0"/>
              <w:widowControl w:val="0"/>
              <w:numPr>
                <w:ilvl w:val="0"/>
                <w:numId w:val="0"/>
              </w:numPr>
              <w:kinsoku/>
              <w:wordWrap/>
              <w:overflowPunct w:val="0"/>
              <w:topLinePunct w:val="0"/>
              <w:autoSpaceDE w:val="0"/>
              <w:autoSpaceDN w:val="0"/>
              <w:bidi w:val="0"/>
              <w:adjustRightInd w:val="0"/>
              <w:snapToGrid w:val="0"/>
              <w:spacing w:before="157" w:beforeLines="50" w:line="360" w:lineRule="auto"/>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sz w:val="24"/>
                <w:szCs w:val="24"/>
                <w:highlight w:val="none"/>
                <w:lang w:val="en-US" w:eastAsia="zh-CN"/>
              </w:rPr>
              <w:t>一、公司前三季度经营情况</w:t>
            </w:r>
          </w:p>
          <w:p w14:paraId="61A5C0E5">
            <w:pPr>
              <w:pStyle w:val="19"/>
              <w:keepNext w:val="0"/>
              <w:keepLines w:val="0"/>
              <w:pageBreakBefore w:val="0"/>
              <w:widowControl w:val="0"/>
              <w:numPr>
                <w:ilvl w:val="0"/>
                <w:numId w:val="0"/>
              </w:numPr>
              <w:kinsoku/>
              <w:wordWrap/>
              <w:overflowPunct w:val="0"/>
              <w:topLinePunct w:val="0"/>
              <w:autoSpaceDE w:val="0"/>
              <w:autoSpaceDN w:val="0"/>
              <w:bidi w:val="0"/>
              <w:adjustRightInd w:val="0"/>
              <w:snapToGrid w:val="0"/>
              <w:spacing w:before="157" w:beforeLines="50"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公司2026年前三季度实现营业收入11.73亿元，归属于上市公司股东的净利润1.58亿元，归属于上市公司股东的扣除非经常性损益的净利润1.15亿元。报告期末公司总资产66.68亿元，归属于上市公司股东的净资产43.50亿元。实现基本每股收益0.22元，加权平均净资产收益率为3.59%。</w:t>
            </w:r>
          </w:p>
          <w:p w14:paraId="7A173C17">
            <w:pPr>
              <w:pStyle w:val="19"/>
              <w:keepNext w:val="0"/>
              <w:keepLines w:val="0"/>
              <w:pageBreakBefore w:val="0"/>
              <w:widowControl w:val="0"/>
              <w:numPr>
                <w:ilvl w:val="0"/>
                <w:numId w:val="0"/>
              </w:numPr>
              <w:kinsoku/>
              <w:wordWrap/>
              <w:overflowPunct w:val="0"/>
              <w:topLinePunct w:val="0"/>
              <w:autoSpaceDE w:val="0"/>
              <w:autoSpaceDN w:val="0"/>
              <w:bidi w:val="0"/>
              <w:adjustRightInd w:val="0"/>
              <w:snapToGrid w:val="0"/>
              <w:spacing w:before="157" w:beforeLines="50"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2026年，公司聚焦展览组织、体育赛事、展馆运营和会展服务等主营业务，推进品牌项目提质升级和区域化、国际化布局，发挥“展、会、赛、馆”全产业链资源优势。前三季度，公司会展业务主、承办项目19场，总规模超98.50万平方米；举办体育赛事8场，总参与人数超3.8万人次。公司运营的上海世博展览馆共举办57场展会、活动，总租馆面积超581万平方米。</w:t>
            </w:r>
          </w:p>
          <w:p w14:paraId="29CC25D7">
            <w:pPr>
              <w:pStyle w:val="19"/>
              <w:keepNext w:val="0"/>
              <w:keepLines w:val="0"/>
              <w:pageBreakBefore w:val="0"/>
              <w:widowControl w:val="0"/>
              <w:numPr>
                <w:ilvl w:val="0"/>
                <w:numId w:val="0"/>
              </w:numPr>
              <w:kinsoku/>
              <w:wordWrap/>
              <w:overflowPunct w:val="0"/>
              <w:topLinePunct w:val="0"/>
              <w:autoSpaceDE w:val="0"/>
              <w:autoSpaceDN w:val="0"/>
              <w:bidi w:val="0"/>
              <w:adjustRightInd w:val="0"/>
              <w:snapToGrid w:val="0"/>
              <w:spacing w:before="157" w:beforeLines="50" w:line="36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二、问答纪要</w:t>
            </w:r>
          </w:p>
          <w:p w14:paraId="3DB86659">
            <w:pPr>
              <w:keepNext w:val="0"/>
              <w:keepLines w:val="0"/>
              <w:pageBreakBefore w:val="0"/>
              <w:widowControl w:val="0"/>
              <w:kinsoku/>
              <w:wordWrap/>
              <w:topLinePunct w:val="0"/>
              <w:bidi w:val="0"/>
              <w:adjustRightInd w:val="0"/>
              <w:snapToGrid w:val="0"/>
              <w:spacing w:before="157" w:beforeLines="50" w:line="360" w:lineRule="auto"/>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问：</w:t>
            </w:r>
            <w:r>
              <w:rPr>
                <w:rFonts w:hint="eastAsia" w:ascii="宋体" w:hAnsi="宋体" w:eastAsia="宋体" w:cs="宋体"/>
                <w:b/>
                <w:bCs/>
                <w:sz w:val="24"/>
                <w:szCs w:val="24"/>
                <w:highlight w:val="none"/>
                <w:lang w:val="en-US" w:eastAsia="zh-CN"/>
              </w:rPr>
              <w:t>公司“十五五”规划明确提出通过外延并购获取成熟展会IP及境外优质资产。请问目前在专业垂直展会、成熟会展IP及海外展会运营企业方面，是否已有新增股权投资或控股并购的实际需求？</w:t>
            </w:r>
          </w:p>
          <w:p w14:paraId="3F488EE6">
            <w:pPr>
              <w:keepNext w:val="0"/>
              <w:keepLines w:val="0"/>
              <w:pageBreakBefore w:val="0"/>
              <w:widowControl w:val="0"/>
              <w:kinsoku/>
              <w:wordWrap/>
              <w:topLinePunct w:val="0"/>
              <w:bidi w:val="0"/>
              <w:adjustRightInd w:val="0"/>
              <w:snapToGrid w:val="0"/>
              <w:spacing w:before="157" w:beforeLines="50" w:line="360" w:lineRule="auto"/>
              <w:ind w:firstLine="0" w:firstLineChars="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rPr>
              <w:t>尊敬的投资者您好，感谢您的关注！十五五期间，公司将围绕“2+3+1”发展战略，开展业务布局，重点围绕AI科技和体育赛事两大核心赛道。</w:t>
            </w:r>
          </w:p>
          <w:p w14:paraId="0974C807">
            <w:pPr>
              <w:keepNext w:val="0"/>
              <w:keepLines w:val="0"/>
              <w:pageBreakBefore w:val="0"/>
              <w:widowControl w:val="0"/>
              <w:numPr>
                <w:ilvl w:val="0"/>
                <w:numId w:val="1"/>
              </w:numPr>
              <w:kinsoku/>
              <w:wordWrap/>
              <w:topLinePunct w:val="0"/>
              <w:bidi w:val="0"/>
              <w:adjustRightInd w:val="0"/>
              <w:snapToGrid w:val="0"/>
              <w:spacing w:before="157" w:beforeLines="50" w:line="360" w:lineRule="auto"/>
              <w:ind w:firstLine="0" w:firstLine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问：公司明确提出了聚焦AI科技和体育赛事两大核心赛道的‘2+3+1’战略。三季报显示，虽然前三季度营收实现了14.49%的增长，但归母净利润仍同比下滑了12.94%。请问在AI科技（如世界人工智能大会）和体育赛事（如上海马拉松、汇跑体育并购）这两大核心赛道上，目前的业务规模、毛利率水平以及对整体利润的实际贡献度如何？新赛道的盈利兑现何时能实质性地扭转整体利润下滑的局面？</w:t>
            </w:r>
          </w:p>
          <w:p w14:paraId="389E47C9">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答：</w:t>
            </w:r>
            <w:r>
              <w:rPr>
                <w:rFonts w:hint="eastAsia" w:ascii="宋体" w:hAnsi="宋体" w:eastAsia="宋体" w:cs="宋体"/>
                <w:b w:val="0"/>
                <w:bCs w:val="0"/>
                <w:sz w:val="24"/>
                <w:szCs w:val="24"/>
                <w:highlight w:val="none"/>
                <w:lang w:val="en-US" w:eastAsia="zh-CN"/>
              </w:rPr>
              <w:t>尊敬的投资者您好，感谢您的关注！公司三季度的业务增量主要来源于世界人工智能大会与世界技能大赛等项目，两大核心赛道未来都是营收和利润的重要支撑。</w:t>
            </w:r>
          </w:p>
          <w:p w14:paraId="50EF19C7">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问：公司今年已在泰国曼谷成功落地东南亚智能制造展，迈出了自主展会IP出海的重要一步。在当前复杂的国际经贸环境下，公司未来在东南亚、中亚等区域的展会IP输出有何进一步的战略规划？出海业务在带来营收增量的同时，如何有效管控地缘政治与跨国运营风险？</w:t>
            </w:r>
          </w:p>
          <w:p w14:paraId="7313AA9A">
            <w:pPr>
              <w:keepNext w:val="0"/>
              <w:keepLines w:val="0"/>
              <w:pageBreakBefore w:val="0"/>
              <w:widowControl w:val="0"/>
              <w:numPr>
                <w:ilvl w:val="0"/>
                <w:numId w:val="0"/>
              </w:numPr>
              <w:kinsoku/>
              <w:wordWrap/>
              <w:topLinePunct w:val="0"/>
              <w:bidi w:val="0"/>
              <w:adjustRightInd w:val="0"/>
              <w:snapToGrid w:val="0"/>
              <w:spacing w:before="157" w:beforeLines="50" w:line="360" w:lineRule="auto"/>
              <w:ind w:leftChars="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答：</w:t>
            </w:r>
            <w:r>
              <w:rPr>
                <w:rFonts w:hint="eastAsia" w:ascii="宋体" w:hAnsi="宋体" w:eastAsia="宋体" w:cs="宋体"/>
                <w:b w:val="0"/>
                <w:bCs w:val="0"/>
                <w:sz w:val="24"/>
                <w:szCs w:val="24"/>
                <w:highlight w:val="none"/>
                <w:lang w:val="en-US" w:eastAsia="zh-CN"/>
              </w:rPr>
              <w:t>尊敬的投资者您好，感谢您的关注！“十五五”期间，公司将充分利用香港公司平台，持续在出海项目中进行投入，同时把控好跨境业务的风险。</w:t>
            </w:r>
          </w:p>
          <w:p w14:paraId="20193D7E">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问：三季报单季度数据显示，公司Q3营收同比大增35.14%，毛利率也修复至27.50%（同比上升1个百分点）。这主要得益于世界技能大会、工博会等大型展会的集中落地。请问这种旺季带来的高毛利和利润修复（Q3扣非净利大增55.59%）是否具备可持续性？在传统主承办展会（如广印展）规模缩减的背景下，公司如何平衡传统业务与新兴大型展会的资源投入？</w:t>
            </w:r>
          </w:p>
          <w:p w14:paraId="5F06288B">
            <w:pPr>
              <w:keepNext w:val="0"/>
              <w:keepLines w:val="0"/>
              <w:pageBreakBefore w:val="0"/>
              <w:widowControl w:val="0"/>
              <w:numPr>
                <w:ilvl w:val="0"/>
                <w:numId w:val="0"/>
              </w:numPr>
              <w:kinsoku/>
              <w:wordWrap/>
              <w:topLinePunct w:val="0"/>
              <w:bidi w:val="0"/>
              <w:adjustRightInd w:val="0"/>
              <w:snapToGrid w:val="0"/>
              <w:spacing w:before="157" w:beforeLines="50" w:line="360" w:lineRule="auto"/>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答：</w:t>
            </w:r>
            <w:r>
              <w:rPr>
                <w:rFonts w:hint="eastAsia" w:ascii="宋体" w:hAnsi="宋体" w:eastAsia="宋体" w:cs="宋体"/>
                <w:b w:val="0"/>
                <w:bCs w:val="0"/>
                <w:sz w:val="24"/>
                <w:szCs w:val="24"/>
                <w:highlight w:val="none"/>
                <w:lang w:val="en-US" w:eastAsia="zh-CN"/>
              </w:rPr>
              <w:t>尊敬的投资者您好，感谢您的关注！公司谋求可持续高质量发展，挖掘存量项目的潜力、拓展新兴项目，作为业务增长点。</w:t>
            </w:r>
          </w:p>
          <w:p w14:paraId="30ECA48A">
            <w:pPr>
              <w:keepNext w:val="0"/>
              <w:keepLines w:val="0"/>
              <w:pageBreakBefore w:val="0"/>
              <w:widowControl w:val="0"/>
              <w:numPr>
                <w:ilvl w:val="0"/>
                <w:numId w:val="1"/>
              </w:numPr>
              <w:kinsoku/>
              <w:wordWrap/>
              <w:topLinePunct w:val="0"/>
              <w:bidi w:val="0"/>
              <w:adjustRightInd w:val="0"/>
              <w:snapToGrid w:val="0"/>
              <w:spacing w:before="157" w:beforeLines="50" w:line="360" w:lineRule="auto"/>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问：公司近期完成了对无锡汇跑体育26%股权的收购，进一步深化了体育产业全国布局。请问汇跑体育并表后，对公司赛事板块的营收和利润拉动效果如何？未来在‘三上’赛事（上马、上艇、上帆）之外，公司还有哪些外延式并购或自主IP孵化的计划，以打造更完整的体育产业生态链？</w:t>
            </w:r>
          </w:p>
          <w:p w14:paraId="0A883EC1">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rPr>
              <w:t>现阶段，公司对汇跑体育的收购仅为参股，以权益法核算，不纳入公司合并报表范围。公司“十五五”发展规划将体育赛事作为核心发展赛道之一，未来公司将进一步积极提升体育板块规模，围绕“三上”赛事，拓展体育场馆运营、体育展会、数字体育、体育旅游等业务。</w:t>
            </w:r>
          </w:p>
          <w:p w14:paraId="6E14E1E9">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问：</w:t>
            </w:r>
            <w:r>
              <w:rPr>
                <w:rFonts w:hint="eastAsia" w:ascii="宋体" w:hAnsi="宋体" w:eastAsia="宋体" w:cs="宋体"/>
                <w:b/>
                <w:bCs/>
                <w:sz w:val="24"/>
                <w:szCs w:val="24"/>
                <w:highlight w:val="none"/>
              </w:rPr>
              <w:t>张总您好，公司2026年中期分红率高达83.36%，充分体现了对股东的回报。在当前利润承压、二级市场股价波动的背景下，除了维持高分红，公司管理层或大股东是否有增持、回购等市值管理举措以提振市场信心？公司制定的2025-2027三年股东回报规划中‘每年现金分红不低于可分配利润50%’的承诺，在净利润下滑的年份是否依然能够坚决执行？</w:t>
            </w:r>
          </w:p>
          <w:p w14:paraId="4073E0B3">
            <w:pPr>
              <w:keepNext w:val="0"/>
              <w:keepLines w:val="0"/>
              <w:pageBreakBefore w:val="0"/>
              <w:widowControl w:val="0"/>
              <w:numPr>
                <w:ilvl w:val="0"/>
                <w:numId w:val="0"/>
              </w:numPr>
              <w:kinsoku/>
              <w:wordWrap/>
              <w:topLinePunct w:val="0"/>
              <w:bidi w:val="0"/>
              <w:adjustRightInd w:val="0"/>
              <w:snapToGrid w:val="0"/>
              <w:spacing w:before="157" w:beforeLines="50" w:line="360" w:lineRule="auto"/>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答：</w:t>
            </w:r>
            <w:r>
              <w:rPr>
                <w:rFonts w:hint="eastAsia" w:ascii="宋体" w:hAnsi="宋体" w:eastAsia="宋体" w:cs="宋体"/>
                <w:b w:val="0"/>
                <w:bCs w:val="0"/>
                <w:sz w:val="24"/>
                <w:szCs w:val="24"/>
                <w:highlight w:val="none"/>
                <w:lang w:val="en-US" w:eastAsia="zh-CN"/>
              </w:rPr>
              <w:t>尊敬的投资者，您好！公司高度重视市值管理与股东回报，重组以来连续五年分红率超50%，公司现金流状况良好，展会与赛事项目均为优质现金流入来源、应收账款较少，加上持有大量金融资产与现金储备，每年盈利足以覆盖分红支出，具备长期高比例现金分红的可持续性。</w:t>
            </w:r>
          </w:p>
          <w:p w14:paraId="1A4B0F06">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问：公司前三季度归母净利润下滑，部分原因是公允价值变动收益同比减少了约4000万元。请问目前公司持有的金融资产敞口规模有多大？在当前资本市场波动的环境下，公司是否有对冲或止损安排来锁定利润，减少非经常性损益对主业经营业绩的扰动？</w:t>
            </w:r>
          </w:p>
          <w:p w14:paraId="531C4FFC">
            <w:pPr>
              <w:keepNext w:val="0"/>
              <w:keepLines w:val="0"/>
              <w:pageBreakBefore w:val="0"/>
              <w:widowControl w:val="0"/>
              <w:numPr>
                <w:ilvl w:val="0"/>
                <w:numId w:val="0"/>
              </w:numPr>
              <w:kinsoku/>
              <w:wordWrap/>
              <w:topLinePunct w:val="0"/>
              <w:bidi w:val="0"/>
              <w:adjustRightInd w:val="0"/>
              <w:snapToGrid w:val="0"/>
              <w:spacing w:before="157" w:beforeLines="50" w:line="360" w:lineRule="auto"/>
              <w:ind w:leftChars="0"/>
              <w:jc w:val="both"/>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rPr>
              <w:t>尊敬的投资者您好，感谢您的关注！公司将持续关注二级市场情况，谨慎调整金融资产结构。</w:t>
            </w:r>
          </w:p>
          <w:p w14:paraId="7BFD9300">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问：作为小股东，我们非常关心上海马拉松（上马）等核心IP的商业化进程。请问上马在争取加入世界马拉松大满贯（WMM）方面是否有最新进展？在Title冠名赞助商（如国际品牌）的洽谈上是否有实质性突破？未来公司是否会考虑通过自愿性披露，向市场更透明地传递体育赛事订单落地及衍生收益增长的积极信号？</w:t>
            </w:r>
          </w:p>
          <w:p w14:paraId="3393CC99">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lang w:val="en-US" w:eastAsia="zh-CN"/>
              </w:rPr>
              <w:t>尊敬的投资者，您好！</w:t>
            </w:r>
            <w:r>
              <w:rPr>
                <w:rFonts w:hint="eastAsia" w:ascii="宋体" w:hAnsi="宋体" w:eastAsia="宋体" w:cs="宋体"/>
                <w:b w:val="0"/>
                <w:bCs w:val="0"/>
                <w:sz w:val="24"/>
                <w:szCs w:val="24"/>
                <w:highlight w:val="none"/>
              </w:rPr>
              <w:t>公司已成功通过上马大满贯第一阶段评估，根据评审流程，下一次关键评估将于2026年12月6日上海马拉松比赛期间进行。若届时再次达标，上马将满足“连续两次通过评估”的必要条件，从而在2027年正式成为世界马拉松大满贯系列赛成员，将对赞助商的合作发挥积极作用。公司将在遵循信息披露合规性原则的前提下，综合考虑事项的重要性、对投资者决策的影响程度以及商业保密需要，在达到披露标准时，适时向市场传递进展。</w:t>
            </w:r>
          </w:p>
          <w:p w14:paraId="26B7E726">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问：财报显示公司前三季度经营活动产生的现金流量净额为1.50亿元，同比大幅下降52.86%，公告解释主要系支付的税费增加及提供劳务产生的现金净额减少。请问四季度公司有哪些具体的催收和回款计划以改善现金流？目前公司的应收账款账龄结构是否健康，是否存在较大的坏账计提压力？</w:t>
            </w:r>
          </w:p>
          <w:p w14:paraId="12E63DE8">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rPr>
              <w:t>尊敬的投资者您好，感谢您的关注！公司目前的应收账款结构以及收款账期均属正常，符合公司项目的结算周期，不存在坏账计提压力。</w:t>
            </w:r>
          </w:p>
          <w:p w14:paraId="45F19CE8">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吕董您好，公司今年通过协议受让及定向增资的方式收购了无锡汇跑体育的股权。作为独立董事，您和审计委员会在审查此类对外投资时，采取了哪些具体措施来评估标的公司的估值合理性和业绩承诺的可实现性？在投后整合方面，如何确保标的公司与公司现有赛事资源产生协同效应，切实保护中小股东的利益？</w:t>
            </w:r>
          </w:p>
          <w:p w14:paraId="4B02AED4">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lang w:val="en-US" w:eastAsia="zh-CN"/>
              </w:rPr>
              <w:t>尊敬的投资者，您好！</w:t>
            </w:r>
            <w:r>
              <w:rPr>
                <w:rFonts w:hint="eastAsia" w:ascii="宋体" w:hAnsi="宋体" w:eastAsia="宋体" w:cs="宋体"/>
                <w:b w:val="0"/>
                <w:bCs w:val="0"/>
                <w:sz w:val="24"/>
                <w:szCs w:val="24"/>
                <w:highlight w:val="none"/>
              </w:rPr>
              <w:t>我们在审查本次对无锡汇跑体育有限公司的股权投资时，基于独立董事职责，重点关注了交易定价的公允性、决策程序的合规性以及中小股东利益的保护。无锡汇跑是国内领先的路跑赛事运营公司，长期专注于马拉松及越野跑等体育赛事的策划、运营和管理，拥有无锡马拉松、南京马拉松等世界田联金标赛事及TNF100越野跑赛事的运营经验，具有较强的行业影响力和品牌价值。公司下属体育公司通过本次交易取得无锡汇跑体育26.00%的股权，有利于公司拓展体育赛事运营业务领域，深化体育产业全国布局，提升公司在体育赛事板块的综合竞争力和市场影响力，符合公司战略发展方向和全体股东的利益。公司在投后管理中已经建立了针对标的公司的定期财务与经营信息报送机制，我们会持续监督其实际经营表现。</w:t>
            </w:r>
          </w:p>
          <w:p w14:paraId="160CD32A">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问：在推进‘AI科技’战略的过程中，公司必然需要增加相关的数字化和研发投入。作为独立董事，您如何评价公司目前的资金使用效率？在打造智慧展馆、AI产业生态等前沿领域的投入，距离形成规模化、高毛利的利润贡献还有多远？如何确保这些支出真正转化为公司的核心竞争力，而不是短期的费用负担？</w:t>
            </w:r>
          </w:p>
          <w:p w14:paraId="02A8131E">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rPr>
              <w:t>尊敬的投资者您好，感谢您的关注！公司重视数字化投入和研发，预计今年投入超千万，主要投入在公司数字中台以及APP建设，未来将提升公司核心竞争力及效率。</w:t>
            </w:r>
          </w:p>
          <w:p w14:paraId="66840F66">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问：关注到公司2026年6月30日第十一届董事会第二十一次会议审议通过《关于授权处置存量金融资产的议案》，授权经理层在12个月内、总额不超过8亿元（含）的额度内处置存量金融资产。结合定期报告，有两点恳请说明：1、关于处置进度：截至2026年9月30日，该授权项下累计已处置的金融资产金额、剩余可动用额度各为多少？能否区分披露股票类（其他权益工具投资，处置损益计入留存收益）与基金、理财产品类（交易性金融资产，处置损益计入当期损益）的处置情况？公司是否按品种和市场行情设定了分批处置的节奏，预计何时完成本次授权额度内的处置？2、关于资金用途：本次处置预计回笼约8亿元现金流。请问公司对该笔资金的规划方向如何——是维持流动性并做低风险理财、补充经营资金，还是投向主业（会展、体育赛事运营等）的并购与产能投入，或用于现金分红、偿还借款？目前是否已有明确的资金使用计划，是否需另行履行董事会/ 股东会审议程序？谢谢。</w:t>
            </w:r>
          </w:p>
          <w:p w14:paraId="5B808B96">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rPr>
              <w:t>尊敬的投资者，您好！公司于2026年6月召开董事会，授权公司处置不超过 8 个亿的存量金融资产，授权额度是本着积极稳妥调整存量金融资产结构的原则，有利于公司优化资产结构，增加资金流动性，不会对公司及子公司的正常生产经营带来影响。本次董事会授权处置存量金融资产系公司年度常规性授权动作，旨在赋予经理层在额度内</w:t>
            </w:r>
            <w:bookmarkStart w:id="0" w:name="_GoBack"/>
            <w:bookmarkEnd w:id="0"/>
            <w:r>
              <w:rPr>
                <w:rFonts w:hint="eastAsia" w:ascii="宋体" w:hAnsi="宋体" w:eastAsia="宋体" w:cs="宋体"/>
                <w:b w:val="0"/>
                <w:bCs w:val="0"/>
                <w:sz w:val="24"/>
                <w:szCs w:val="24"/>
                <w:highlight w:val="none"/>
              </w:rPr>
              <w:t>根据二级市场情况灵活调整资产结构的权限。8亿元仅为授权上限额度，不构成必须减持完成的承诺或计划。截至目前，公司尚未进行本轮金融资产授权额度内的处置操作。</w:t>
            </w:r>
          </w:p>
          <w:p w14:paraId="30D06FF8">
            <w:pPr>
              <w:keepNext w:val="0"/>
              <w:keepLines w:val="0"/>
              <w:pageBreakBefore w:val="0"/>
              <w:widowControl w:val="0"/>
              <w:numPr>
                <w:ilvl w:val="0"/>
                <w:numId w:val="1"/>
              </w:numPr>
              <w:kinsoku/>
              <w:wordWrap/>
              <w:topLinePunct w:val="0"/>
              <w:bidi w:val="0"/>
              <w:adjustRightInd w:val="0"/>
              <w:snapToGrid w:val="0"/>
              <w:spacing w:before="157" w:beforeLines="50" w:line="360" w:lineRule="auto"/>
              <w:ind w:left="0" w:leftChars="0" w:firstLine="0" w:firstLineChars="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问：公司自有品牌展会和代理展会的收入占比是怎样的？在赛事、IP 运营这些新方向上，今年的进展如何，未来会怎么培育？</w:t>
            </w:r>
          </w:p>
          <w:p w14:paraId="64D04D5A">
            <w:pPr>
              <w:keepNext w:val="0"/>
              <w:keepLines w:val="0"/>
              <w:pageBreakBefore w:val="0"/>
              <w:widowControl w:val="0"/>
              <w:numPr>
                <w:ilvl w:val="0"/>
                <w:numId w:val="0"/>
              </w:numPr>
              <w:kinsoku/>
              <w:wordWrap/>
              <w:topLinePunct w:val="0"/>
              <w:bidi w:val="0"/>
              <w:adjustRightInd w:val="0"/>
              <w:snapToGrid w:val="0"/>
              <w:spacing w:before="157" w:beforeLines="5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rPr>
              <w:t>答：</w:t>
            </w:r>
            <w:r>
              <w:rPr>
                <w:rFonts w:hint="eastAsia" w:ascii="宋体" w:hAnsi="宋体" w:eastAsia="宋体" w:cs="宋体"/>
                <w:b w:val="0"/>
                <w:bCs w:val="0"/>
                <w:sz w:val="24"/>
                <w:szCs w:val="24"/>
                <w:highlight w:val="none"/>
              </w:rPr>
              <w:t>尊敬的投资者您好，感谢您的关注！公司自有品牌展会和代理展会的收入占比保持稳定，重点关注且持续投入赛事和IP运营，围绕上海马拉松等“三上”赛事，拓展更多体育产业生态业务，促进公司“文商旅体展”业务融合发展。</w:t>
            </w:r>
          </w:p>
        </w:tc>
      </w:tr>
      <w:tr w14:paraId="462B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0360A5AB">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asciiTheme="minorEastAsia" w:hAnsiTheme="minorEastAsia" w:eastAsiaTheme="minorEastAsia"/>
                <w:bCs/>
                <w:iCs/>
                <w:color w:val="000000"/>
                <w:sz w:val="24"/>
                <w:szCs w:val="24"/>
              </w:rPr>
            </w:pPr>
            <w:r>
              <w:rPr>
                <w:rFonts w:hint="eastAsia" w:asciiTheme="minorEastAsia" w:hAnsiTheme="minorEastAsia" w:eastAsiaTheme="minorEastAsia"/>
                <w:bCs/>
                <w:iCs/>
                <w:color w:val="000000"/>
                <w:sz w:val="24"/>
                <w:szCs w:val="24"/>
              </w:rPr>
              <w:t>关于本次活动是否涉及应披露重大信息的说明</w:t>
            </w:r>
          </w:p>
        </w:tc>
        <w:tc>
          <w:tcPr>
            <w:tcW w:w="6458" w:type="dxa"/>
            <w:tcBorders>
              <w:top w:val="single" w:color="auto" w:sz="4" w:space="0"/>
              <w:left w:val="single" w:color="auto" w:sz="4" w:space="0"/>
              <w:bottom w:val="single" w:color="auto" w:sz="4" w:space="0"/>
              <w:right w:val="single" w:color="auto" w:sz="4" w:space="0"/>
            </w:tcBorders>
            <w:shd w:val="clear" w:color="auto" w:fill="auto"/>
            <w:vAlign w:val="center"/>
          </w:tcPr>
          <w:p w14:paraId="2DC05289">
            <w:pPr>
              <w:adjustRightInd w:val="0"/>
              <w:snapToGrid w:val="0"/>
              <w:spacing w:line="360" w:lineRule="auto"/>
              <w:rPr>
                <w:rFonts w:asciiTheme="minorEastAsia" w:hAnsiTheme="minorEastAsia" w:eastAsiaTheme="minorEastAsia"/>
                <w:bCs/>
                <w:iCs/>
                <w:color w:val="000000"/>
                <w:sz w:val="24"/>
                <w:szCs w:val="24"/>
              </w:rPr>
            </w:pPr>
            <w:r>
              <w:rPr>
                <w:rFonts w:hint="eastAsia" w:asciiTheme="minorEastAsia" w:hAnsiTheme="minorEastAsia" w:eastAsiaTheme="minorEastAsia"/>
                <w:sz w:val="24"/>
                <w:szCs w:val="24"/>
                <w:lang w:eastAsia="zh-CN"/>
              </w:rPr>
              <w:t>交流</w:t>
            </w:r>
            <w:r>
              <w:rPr>
                <w:rFonts w:hint="eastAsia" w:asciiTheme="minorEastAsia" w:hAnsiTheme="minorEastAsia" w:eastAsiaTheme="minorEastAsia"/>
                <w:sz w:val="24"/>
                <w:szCs w:val="24"/>
              </w:rPr>
              <w:t>过程中，公司严格按照有关制度要求，没有出现未公开重大信息泄露等情况。</w:t>
            </w:r>
          </w:p>
        </w:tc>
      </w:tr>
    </w:tbl>
    <w:p w14:paraId="7E0C2EFC">
      <w:pPr>
        <w:spacing w:line="560" w:lineRule="exact"/>
        <w:rPr>
          <w:rFonts w:ascii="仿宋" w:hAnsi="仿宋" w:eastAsia="仿宋"/>
          <w:color w:val="000000"/>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Helvetica">
    <w:panose1 w:val="020B0504020202030204"/>
    <w:charset w:val="00"/>
    <w:family w:val="swiss"/>
    <w:pitch w:val="default"/>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8FDB0">
    <w:pPr>
      <w:pStyle w:val="4"/>
      <w:jc w:val="center"/>
    </w:pPr>
  </w:p>
  <w:p w14:paraId="18B93EBA">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45433B"/>
    <w:multiLevelType w:val="singleLevel"/>
    <w:tmpl w:val="5045433B"/>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I5YTIzYjRiNzQyOGIwZjgyOTNlOGVkMzYxMDJlOGUifQ=="/>
  </w:docVars>
  <w:rsids>
    <w:rsidRoot w:val="00534EC7"/>
    <w:rsid w:val="00000760"/>
    <w:rsid w:val="00017330"/>
    <w:rsid w:val="00020FEE"/>
    <w:rsid w:val="00021249"/>
    <w:rsid w:val="000217CC"/>
    <w:rsid w:val="00036C31"/>
    <w:rsid w:val="00040B0B"/>
    <w:rsid w:val="00047460"/>
    <w:rsid w:val="000534FF"/>
    <w:rsid w:val="0005646B"/>
    <w:rsid w:val="000570DC"/>
    <w:rsid w:val="00061133"/>
    <w:rsid w:val="00071393"/>
    <w:rsid w:val="000850E0"/>
    <w:rsid w:val="00090D31"/>
    <w:rsid w:val="0009135D"/>
    <w:rsid w:val="00096403"/>
    <w:rsid w:val="000B616A"/>
    <w:rsid w:val="000B6D71"/>
    <w:rsid w:val="000C0420"/>
    <w:rsid w:val="000C19BA"/>
    <w:rsid w:val="000C4C0C"/>
    <w:rsid w:val="000C52C5"/>
    <w:rsid w:val="000D6EEC"/>
    <w:rsid w:val="000E016E"/>
    <w:rsid w:val="000E03EE"/>
    <w:rsid w:val="000E41FD"/>
    <w:rsid w:val="000E46D1"/>
    <w:rsid w:val="000F3C01"/>
    <w:rsid w:val="00101B6B"/>
    <w:rsid w:val="00101E58"/>
    <w:rsid w:val="001038FD"/>
    <w:rsid w:val="001049D8"/>
    <w:rsid w:val="001224BC"/>
    <w:rsid w:val="00130FB3"/>
    <w:rsid w:val="00133DB5"/>
    <w:rsid w:val="00151D20"/>
    <w:rsid w:val="00155339"/>
    <w:rsid w:val="00157EA2"/>
    <w:rsid w:val="0016222E"/>
    <w:rsid w:val="001641E0"/>
    <w:rsid w:val="00172591"/>
    <w:rsid w:val="00177A98"/>
    <w:rsid w:val="001877B1"/>
    <w:rsid w:val="001D0D0B"/>
    <w:rsid w:val="001E4AF9"/>
    <w:rsid w:val="001F4C14"/>
    <w:rsid w:val="0020392E"/>
    <w:rsid w:val="002339BD"/>
    <w:rsid w:val="002350AC"/>
    <w:rsid w:val="00253294"/>
    <w:rsid w:val="00264E51"/>
    <w:rsid w:val="0029551D"/>
    <w:rsid w:val="00296064"/>
    <w:rsid w:val="00297CCB"/>
    <w:rsid w:val="002C1BE8"/>
    <w:rsid w:val="002C296A"/>
    <w:rsid w:val="002C5F88"/>
    <w:rsid w:val="002D0E08"/>
    <w:rsid w:val="002F2C8D"/>
    <w:rsid w:val="002F2D8C"/>
    <w:rsid w:val="002F4F0B"/>
    <w:rsid w:val="0030167B"/>
    <w:rsid w:val="00310141"/>
    <w:rsid w:val="00320369"/>
    <w:rsid w:val="00322DBA"/>
    <w:rsid w:val="00340453"/>
    <w:rsid w:val="003464F5"/>
    <w:rsid w:val="00347C77"/>
    <w:rsid w:val="00352BCB"/>
    <w:rsid w:val="00376505"/>
    <w:rsid w:val="00376B2F"/>
    <w:rsid w:val="00381E11"/>
    <w:rsid w:val="00385F13"/>
    <w:rsid w:val="00392FE0"/>
    <w:rsid w:val="003A53BB"/>
    <w:rsid w:val="003B0604"/>
    <w:rsid w:val="003B11B2"/>
    <w:rsid w:val="003B11C4"/>
    <w:rsid w:val="003B6D9E"/>
    <w:rsid w:val="003C5681"/>
    <w:rsid w:val="003D0493"/>
    <w:rsid w:val="003D3AF0"/>
    <w:rsid w:val="003D6140"/>
    <w:rsid w:val="003D715F"/>
    <w:rsid w:val="003F0D3D"/>
    <w:rsid w:val="003F1393"/>
    <w:rsid w:val="003F7368"/>
    <w:rsid w:val="003F7511"/>
    <w:rsid w:val="0040048E"/>
    <w:rsid w:val="004026EF"/>
    <w:rsid w:val="00404B8E"/>
    <w:rsid w:val="00404D87"/>
    <w:rsid w:val="00406DCD"/>
    <w:rsid w:val="004146FA"/>
    <w:rsid w:val="0042526C"/>
    <w:rsid w:val="0043137E"/>
    <w:rsid w:val="00436D53"/>
    <w:rsid w:val="00450949"/>
    <w:rsid w:val="00454C50"/>
    <w:rsid w:val="004641D2"/>
    <w:rsid w:val="00465195"/>
    <w:rsid w:val="0046708E"/>
    <w:rsid w:val="00474BFE"/>
    <w:rsid w:val="004758C4"/>
    <w:rsid w:val="004820FB"/>
    <w:rsid w:val="004845FF"/>
    <w:rsid w:val="004951B3"/>
    <w:rsid w:val="004952AC"/>
    <w:rsid w:val="004A2F83"/>
    <w:rsid w:val="004B1627"/>
    <w:rsid w:val="004B1C85"/>
    <w:rsid w:val="004B3739"/>
    <w:rsid w:val="004C12E4"/>
    <w:rsid w:val="004D5D8B"/>
    <w:rsid w:val="004F7080"/>
    <w:rsid w:val="005006EF"/>
    <w:rsid w:val="0050072E"/>
    <w:rsid w:val="0050536A"/>
    <w:rsid w:val="005107BE"/>
    <w:rsid w:val="00511D07"/>
    <w:rsid w:val="005307C1"/>
    <w:rsid w:val="00534EC7"/>
    <w:rsid w:val="00585797"/>
    <w:rsid w:val="00590E90"/>
    <w:rsid w:val="00591585"/>
    <w:rsid w:val="00593BFF"/>
    <w:rsid w:val="00594F2B"/>
    <w:rsid w:val="00595098"/>
    <w:rsid w:val="005B60A9"/>
    <w:rsid w:val="005B71F1"/>
    <w:rsid w:val="005C3518"/>
    <w:rsid w:val="005D5F2D"/>
    <w:rsid w:val="005E236E"/>
    <w:rsid w:val="005E4E09"/>
    <w:rsid w:val="005F15A9"/>
    <w:rsid w:val="005F229B"/>
    <w:rsid w:val="0060389B"/>
    <w:rsid w:val="00612FEE"/>
    <w:rsid w:val="00614381"/>
    <w:rsid w:val="006317A3"/>
    <w:rsid w:val="00643070"/>
    <w:rsid w:val="0064406A"/>
    <w:rsid w:val="006444E7"/>
    <w:rsid w:val="00651303"/>
    <w:rsid w:val="006529B5"/>
    <w:rsid w:val="00653185"/>
    <w:rsid w:val="00655CFE"/>
    <w:rsid w:val="00664B9B"/>
    <w:rsid w:val="00672FE9"/>
    <w:rsid w:val="00681B40"/>
    <w:rsid w:val="00696AAE"/>
    <w:rsid w:val="00697323"/>
    <w:rsid w:val="0069776F"/>
    <w:rsid w:val="006B3ABB"/>
    <w:rsid w:val="006B4337"/>
    <w:rsid w:val="006B78C9"/>
    <w:rsid w:val="006C2A3C"/>
    <w:rsid w:val="006C7957"/>
    <w:rsid w:val="006C7D25"/>
    <w:rsid w:val="006D3B78"/>
    <w:rsid w:val="006D5C12"/>
    <w:rsid w:val="006E359C"/>
    <w:rsid w:val="006F6D59"/>
    <w:rsid w:val="006F7454"/>
    <w:rsid w:val="00700F95"/>
    <w:rsid w:val="00701E0D"/>
    <w:rsid w:val="00714657"/>
    <w:rsid w:val="00717CD8"/>
    <w:rsid w:val="007229E7"/>
    <w:rsid w:val="007259C2"/>
    <w:rsid w:val="00734314"/>
    <w:rsid w:val="00736E19"/>
    <w:rsid w:val="007423AC"/>
    <w:rsid w:val="007459B0"/>
    <w:rsid w:val="00745D47"/>
    <w:rsid w:val="00751CCA"/>
    <w:rsid w:val="00756FD4"/>
    <w:rsid w:val="007602EB"/>
    <w:rsid w:val="00760F70"/>
    <w:rsid w:val="00760F78"/>
    <w:rsid w:val="00764C7B"/>
    <w:rsid w:val="00772232"/>
    <w:rsid w:val="007767AC"/>
    <w:rsid w:val="00782B9A"/>
    <w:rsid w:val="007870FF"/>
    <w:rsid w:val="007954EA"/>
    <w:rsid w:val="007A341F"/>
    <w:rsid w:val="007A438D"/>
    <w:rsid w:val="007A51E5"/>
    <w:rsid w:val="007A56FB"/>
    <w:rsid w:val="007B1D0B"/>
    <w:rsid w:val="007B444F"/>
    <w:rsid w:val="007D2DDF"/>
    <w:rsid w:val="007E480A"/>
    <w:rsid w:val="007E6063"/>
    <w:rsid w:val="007E7E36"/>
    <w:rsid w:val="00803137"/>
    <w:rsid w:val="00814EE5"/>
    <w:rsid w:val="008322D0"/>
    <w:rsid w:val="00832EA1"/>
    <w:rsid w:val="008339E8"/>
    <w:rsid w:val="00834BC5"/>
    <w:rsid w:val="00837906"/>
    <w:rsid w:val="008445DE"/>
    <w:rsid w:val="00855980"/>
    <w:rsid w:val="00856D91"/>
    <w:rsid w:val="008729B5"/>
    <w:rsid w:val="0087479E"/>
    <w:rsid w:val="00877228"/>
    <w:rsid w:val="008840A3"/>
    <w:rsid w:val="00884AD7"/>
    <w:rsid w:val="00886A5F"/>
    <w:rsid w:val="00893217"/>
    <w:rsid w:val="008963C2"/>
    <w:rsid w:val="00897A6D"/>
    <w:rsid w:val="008A0338"/>
    <w:rsid w:val="008A2F7F"/>
    <w:rsid w:val="008A635E"/>
    <w:rsid w:val="008A6560"/>
    <w:rsid w:val="008B10A2"/>
    <w:rsid w:val="008C2201"/>
    <w:rsid w:val="008C2CD5"/>
    <w:rsid w:val="008D0241"/>
    <w:rsid w:val="008D61B4"/>
    <w:rsid w:val="008E25B5"/>
    <w:rsid w:val="008F2FA9"/>
    <w:rsid w:val="00910595"/>
    <w:rsid w:val="009211B2"/>
    <w:rsid w:val="0092649C"/>
    <w:rsid w:val="00934F6B"/>
    <w:rsid w:val="009446A2"/>
    <w:rsid w:val="00961296"/>
    <w:rsid w:val="00967C4A"/>
    <w:rsid w:val="009721D7"/>
    <w:rsid w:val="009748A9"/>
    <w:rsid w:val="00975E41"/>
    <w:rsid w:val="00982812"/>
    <w:rsid w:val="00986B61"/>
    <w:rsid w:val="009875A5"/>
    <w:rsid w:val="009A7A77"/>
    <w:rsid w:val="009B0CE4"/>
    <w:rsid w:val="009B2449"/>
    <w:rsid w:val="009B3750"/>
    <w:rsid w:val="009B5F9C"/>
    <w:rsid w:val="009C7949"/>
    <w:rsid w:val="009D090F"/>
    <w:rsid w:val="009D4ABA"/>
    <w:rsid w:val="009D50AC"/>
    <w:rsid w:val="009D7FF0"/>
    <w:rsid w:val="009F3620"/>
    <w:rsid w:val="00A02E45"/>
    <w:rsid w:val="00A10272"/>
    <w:rsid w:val="00A10B2E"/>
    <w:rsid w:val="00A20B7D"/>
    <w:rsid w:val="00A32446"/>
    <w:rsid w:val="00A40573"/>
    <w:rsid w:val="00A462D8"/>
    <w:rsid w:val="00A5453E"/>
    <w:rsid w:val="00A80829"/>
    <w:rsid w:val="00A91A84"/>
    <w:rsid w:val="00A92284"/>
    <w:rsid w:val="00AA4A7F"/>
    <w:rsid w:val="00AB489B"/>
    <w:rsid w:val="00AB49E7"/>
    <w:rsid w:val="00AB4F12"/>
    <w:rsid w:val="00AB70B2"/>
    <w:rsid w:val="00AC1EFF"/>
    <w:rsid w:val="00AC5C1A"/>
    <w:rsid w:val="00AC6D19"/>
    <w:rsid w:val="00AD1147"/>
    <w:rsid w:val="00AD47A5"/>
    <w:rsid w:val="00AF4B2E"/>
    <w:rsid w:val="00AF7AEF"/>
    <w:rsid w:val="00B04AC2"/>
    <w:rsid w:val="00B15790"/>
    <w:rsid w:val="00B167A3"/>
    <w:rsid w:val="00B23C25"/>
    <w:rsid w:val="00B273EB"/>
    <w:rsid w:val="00B27F9A"/>
    <w:rsid w:val="00B534EF"/>
    <w:rsid w:val="00B614A6"/>
    <w:rsid w:val="00B618D8"/>
    <w:rsid w:val="00B6326B"/>
    <w:rsid w:val="00B756AB"/>
    <w:rsid w:val="00B7749C"/>
    <w:rsid w:val="00B9363C"/>
    <w:rsid w:val="00BB0971"/>
    <w:rsid w:val="00BB28BF"/>
    <w:rsid w:val="00BC2613"/>
    <w:rsid w:val="00BC276E"/>
    <w:rsid w:val="00BC46B8"/>
    <w:rsid w:val="00BD0D22"/>
    <w:rsid w:val="00BD1CE3"/>
    <w:rsid w:val="00BD429E"/>
    <w:rsid w:val="00BD5C43"/>
    <w:rsid w:val="00BE4DEC"/>
    <w:rsid w:val="00BE79CF"/>
    <w:rsid w:val="00BF25FB"/>
    <w:rsid w:val="00C312C2"/>
    <w:rsid w:val="00C369ED"/>
    <w:rsid w:val="00C44FE4"/>
    <w:rsid w:val="00C46976"/>
    <w:rsid w:val="00C52216"/>
    <w:rsid w:val="00C57BD2"/>
    <w:rsid w:val="00C608F8"/>
    <w:rsid w:val="00C72FDC"/>
    <w:rsid w:val="00C826B3"/>
    <w:rsid w:val="00C84FE7"/>
    <w:rsid w:val="00C925D1"/>
    <w:rsid w:val="00C958AE"/>
    <w:rsid w:val="00CA2592"/>
    <w:rsid w:val="00CA4537"/>
    <w:rsid w:val="00CA7701"/>
    <w:rsid w:val="00CB0A79"/>
    <w:rsid w:val="00CB1E33"/>
    <w:rsid w:val="00CB38AE"/>
    <w:rsid w:val="00CB54C8"/>
    <w:rsid w:val="00CB7E82"/>
    <w:rsid w:val="00CC1F6B"/>
    <w:rsid w:val="00CD0875"/>
    <w:rsid w:val="00CD7725"/>
    <w:rsid w:val="00CE547C"/>
    <w:rsid w:val="00CE6C8E"/>
    <w:rsid w:val="00CF09EF"/>
    <w:rsid w:val="00CF24AA"/>
    <w:rsid w:val="00D06009"/>
    <w:rsid w:val="00D104FA"/>
    <w:rsid w:val="00D15ABE"/>
    <w:rsid w:val="00D33C3B"/>
    <w:rsid w:val="00D342D7"/>
    <w:rsid w:val="00D42D1A"/>
    <w:rsid w:val="00D55C69"/>
    <w:rsid w:val="00D5720F"/>
    <w:rsid w:val="00D81B30"/>
    <w:rsid w:val="00D84A00"/>
    <w:rsid w:val="00D95328"/>
    <w:rsid w:val="00DC0D0B"/>
    <w:rsid w:val="00DC3FD9"/>
    <w:rsid w:val="00DC4EF4"/>
    <w:rsid w:val="00DD5F05"/>
    <w:rsid w:val="00DE1C1C"/>
    <w:rsid w:val="00DE3C2E"/>
    <w:rsid w:val="00DE5254"/>
    <w:rsid w:val="00DF669F"/>
    <w:rsid w:val="00E008AE"/>
    <w:rsid w:val="00E4008F"/>
    <w:rsid w:val="00E42879"/>
    <w:rsid w:val="00E50B1C"/>
    <w:rsid w:val="00E515B4"/>
    <w:rsid w:val="00E6640E"/>
    <w:rsid w:val="00E67637"/>
    <w:rsid w:val="00E67E6E"/>
    <w:rsid w:val="00E72347"/>
    <w:rsid w:val="00E73609"/>
    <w:rsid w:val="00E920B5"/>
    <w:rsid w:val="00E93B15"/>
    <w:rsid w:val="00EA47AD"/>
    <w:rsid w:val="00EB0F3A"/>
    <w:rsid w:val="00EB2B16"/>
    <w:rsid w:val="00EB5CDF"/>
    <w:rsid w:val="00EB6DC9"/>
    <w:rsid w:val="00EE681B"/>
    <w:rsid w:val="00EF62A3"/>
    <w:rsid w:val="00F0499A"/>
    <w:rsid w:val="00F17B51"/>
    <w:rsid w:val="00F207DB"/>
    <w:rsid w:val="00F225F9"/>
    <w:rsid w:val="00F22C14"/>
    <w:rsid w:val="00F331BD"/>
    <w:rsid w:val="00F4071F"/>
    <w:rsid w:val="00F4097F"/>
    <w:rsid w:val="00F40C20"/>
    <w:rsid w:val="00F51431"/>
    <w:rsid w:val="00F57F21"/>
    <w:rsid w:val="00F60335"/>
    <w:rsid w:val="00F61C39"/>
    <w:rsid w:val="00F63D93"/>
    <w:rsid w:val="00F706BB"/>
    <w:rsid w:val="00F70E42"/>
    <w:rsid w:val="00F71CF3"/>
    <w:rsid w:val="00F7681B"/>
    <w:rsid w:val="00F85C28"/>
    <w:rsid w:val="00F970A4"/>
    <w:rsid w:val="00F97CC5"/>
    <w:rsid w:val="00FB0856"/>
    <w:rsid w:val="00FB4B4C"/>
    <w:rsid w:val="00FB50E6"/>
    <w:rsid w:val="00FD3711"/>
    <w:rsid w:val="00FE0070"/>
    <w:rsid w:val="00FE2604"/>
    <w:rsid w:val="00FE28FB"/>
    <w:rsid w:val="00FE66FE"/>
    <w:rsid w:val="00FF078A"/>
    <w:rsid w:val="00FF525C"/>
    <w:rsid w:val="00FF6100"/>
    <w:rsid w:val="052A04BE"/>
    <w:rsid w:val="05D62E8D"/>
    <w:rsid w:val="07EE003C"/>
    <w:rsid w:val="08065580"/>
    <w:rsid w:val="09CD35A1"/>
    <w:rsid w:val="0D1E61B9"/>
    <w:rsid w:val="0FC8053D"/>
    <w:rsid w:val="113A653C"/>
    <w:rsid w:val="116C28F7"/>
    <w:rsid w:val="12F24223"/>
    <w:rsid w:val="14784863"/>
    <w:rsid w:val="176E6C49"/>
    <w:rsid w:val="18C5256C"/>
    <w:rsid w:val="1B716F7D"/>
    <w:rsid w:val="1BAF6202"/>
    <w:rsid w:val="1D464944"/>
    <w:rsid w:val="21A62FC3"/>
    <w:rsid w:val="224464F7"/>
    <w:rsid w:val="22A00099"/>
    <w:rsid w:val="23070D42"/>
    <w:rsid w:val="24113884"/>
    <w:rsid w:val="24D65CBF"/>
    <w:rsid w:val="25CA5AB0"/>
    <w:rsid w:val="27A33318"/>
    <w:rsid w:val="286914E7"/>
    <w:rsid w:val="2A44531A"/>
    <w:rsid w:val="2C9F3729"/>
    <w:rsid w:val="2F604A87"/>
    <w:rsid w:val="30ED3EAA"/>
    <w:rsid w:val="3106400D"/>
    <w:rsid w:val="35CA5CBB"/>
    <w:rsid w:val="3A0432EA"/>
    <w:rsid w:val="3DD86A9B"/>
    <w:rsid w:val="3EBD2850"/>
    <w:rsid w:val="40807FA6"/>
    <w:rsid w:val="41EC729E"/>
    <w:rsid w:val="474C1D1F"/>
    <w:rsid w:val="49AE6809"/>
    <w:rsid w:val="49FB156F"/>
    <w:rsid w:val="4B3B61D9"/>
    <w:rsid w:val="4B8322F0"/>
    <w:rsid w:val="4BEF0B9A"/>
    <w:rsid w:val="50B415EA"/>
    <w:rsid w:val="56DF15AE"/>
    <w:rsid w:val="5BCD2E22"/>
    <w:rsid w:val="5C423F4D"/>
    <w:rsid w:val="5ECE111D"/>
    <w:rsid w:val="60F16C77"/>
    <w:rsid w:val="653A1C66"/>
    <w:rsid w:val="67B912C2"/>
    <w:rsid w:val="687F3E33"/>
    <w:rsid w:val="6925620C"/>
    <w:rsid w:val="6B943E8E"/>
    <w:rsid w:val="6C05256A"/>
    <w:rsid w:val="6C3303D0"/>
    <w:rsid w:val="6CD25AAA"/>
    <w:rsid w:val="6DE16219"/>
    <w:rsid w:val="6E88626E"/>
    <w:rsid w:val="6EE47A54"/>
    <w:rsid w:val="7169742F"/>
    <w:rsid w:val="75103DA4"/>
    <w:rsid w:val="76865380"/>
    <w:rsid w:val="78532FC3"/>
    <w:rsid w:val="7BD209F2"/>
    <w:rsid w:val="7E9E26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semiHidden/>
    <w:unhideWhenUsed/>
    <w:qFormat/>
    <w:uiPriority w:val="99"/>
    <w:pPr>
      <w:jc w:val="left"/>
    </w:pPr>
    <w:rPr>
      <w:szCs w:val="24"/>
    </w:rPr>
  </w:style>
  <w:style w:type="paragraph" w:styleId="3">
    <w:name w:val="Balloon Text"/>
    <w:basedOn w:val="1"/>
    <w:link w:val="14"/>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szCs w:val="20"/>
    </w:r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styleId="10">
    <w:name w:val="annotation reference"/>
    <w:basedOn w:val="8"/>
    <w:semiHidden/>
    <w:unhideWhenUsed/>
    <w:qFormat/>
    <w:uiPriority w:val="99"/>
    <w:rPr>
      <w:sz w:val="21"/>
      <w:szCs w:val="21"/>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批注文字 字符"/>
    <w:basedOn w:val="8"/>
    <w:link w:val="2"/>
    <w:semiHidden/>
    <w:qFormat/>
    <w:uiPriority w:val="99"/>
    <w:rPr>
      <w:rFonts w:ascii="Times New Roman" w:hAnsi="Times New Roman" w:eastAsia="宋体" w:cs="Times New Roman"/>
      <w:szCs w:val="24"/>
    </w:rPr>
  </w:style>
  <w:style w:type="character" w:customStyle="1" w:styleId="14">
    <w:name w:val="批注框文本 字符"/>
    <w:basedOn w:val="8"/>
    <w:link w:val="3"/>
    <w:semiHidden/>
    <w:qFormat/>
    <w:uiPriority w:val="99"/>
    <w:rPr>
      <w:rFonts w:ascii="Times New Roman" w:hAnsi="Times New Roman" w:eastAsia="宋体" w:cs="Times New Roman"/>
      <w:sz w:val="18"/>
      <w:szCs w:val="18"/>
    </w:rPr>
  </w:style>
  <w:style w:type="character" w:customStyle="1" w:styleId="15">
    <w:name w:val="批注主题 字符"/>
    <w:basedOn w:val="13"/>
    <w:link w:val="6"/>
    <w:semiHidden/>
    <w:qFormat/>
    <w:uiPriority w:val="99"/>
    <w:rPr>
      <w:rFonts w:ascii="Times New Roman" w:hAnsi="Times New Roman" w:eastAsia="宋体" w:cs="Times New Roman"/>
      <w:b/>
      <w:bCs/>
      <w:szCs w:val="20"/>
    </w:rPr>
  </w:style>
  <w:style w:type="character" w:customStyle="1" w:styleId="16">
    <w:name w:val="ng-binding"/>
    <w:basedOn w:val="8"/>
    <w:qFormat/>
    <w:uiPriority w:val="0"/>
  </w:style>
  <w:style w:type="paragraph" w:styleId="17">
    <w:name w:val="List Paragraph"/>
    <w:basedOn w:val="1"/>
    <w:qFormat/>
    <w:uiPriority w:val="34"/>
    <w:pPr>
      <w:ind w:firstLine="420" w:firstLineChars="200"/>
    </w:pPr>
  </w:style>
  <w:style w:type="paragraph" w:customStyle="1" w:styleId="18">
    <w:name w:val="Revision"/>
    <w:hidden/>
    <w:semiHidden/>
    <w:qFormat/>
    <w:uiPriority w:val="99"/>
    <w:rPr>
      <w:rFonts w:ascii="Times New Roman" w:hAnsi="Times New Roman" w:eastAsia="宋体" w:cs="Times New Roman"/>
      <w:kern w:val="2"/>
      <w:sz w:val="21"/>
      <w:szCs w:val="20"/>
      <w:lang w:val="en-US" w:eastAsia="zh-CN" w:bidi="ar-SA"/>
    </w:rPr>
  </w:style>
  <w:style w:type="paragraph" w:customStyle="1" w:styleId="19">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3322</Words>
  <Characters>3596</Characters>
  <Lines>22</Lines>
  <Paragraphs>6</Paragraphs>
  <TotalTime>36</TotalTime>
  <ScaleCrop>false</ScaleCrop>
  <LinksUpToDate>false</LinksUpToDate>
  <CharactersWithSpaces>3729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2024-09-20T01:53:00Z</dcterms:created>
  <dc:creator>王芳[fwang]</dc:creator>
  <cp:lastModifiedBy>璟璟鱼</cp:lastModifiedBy>
  <dcterms:modified xsi:type="dcterms:W3CDTF">2026-10-29T07:49:17Z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0x0101008A1CD0ACEFB685468ADC9D3ECFE50AA2</vt:lpwstr>
  </property>
  <property fmtid="{D5CDD505-2E9C-101B-9397-08002B2CF9AE}" pid="3" name="KSOProductBuildVer">
    <vt:lpwstr>2052-12.1.0.29161</vt:lpwstr>
  </property>
  <property fmtid="{D5CDD505-2E9C-101B-9397-08002B2CF9AE}" pid="4" name="ICV">
    <vt:lpwstr>4E13203F880742FBAA92742145CC8884_13</vt:lpwstr>
  </property>
  <property fmtid="{D5CDD505-2E9C-101B-9397-08002B2CF9AE}" pid="5" name="KSOTemplateDocerSaveRecord">
    <vt:lpwstr>eyJoZGlkIjoiYzc2ZjRkOGZmYmVkMjQ0Mjk2N2M0MGUzYzRjMDU0NDYiLCJ1c2VySWQiOiI2NzAxODExNTAifQ==</vt:lpwstr>
  </property>
</Properties>
</file>