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242BB3" w14:textId="77777777" w:rsidR="003C2CB6" w:rsidRDefault="00C359FC">
      <w:pPr>
        <w:spacing w:beforeLines="50" w:before="156" w:afterLines="50" w:after="156" w:line="400" w:lineRule="exact"/>
        <w:jc w:val="center"/>
        <w:rPr>
          <w:color w:val="000000"/>
          <w:sz w:val="24"/>
        </w:rPr>
      </w:pPr>
      <w:r>
        <w:rPr>
          <w:bCs/>
          <w:iCs/>
          <w:color w:val="000000"/>
          <w:sz w:val="24"/>
        </w:rPr>
        <w:t>证券代码：</w:t>
      </w:r>
      <w:r>
        <w:rPr>
          <w:color w:val="000000"/>
          <w:sz w:val="24"/>
        </w:rPr>
        <w:t xml:space="preserve">688112                               </w:t>
      </w:r>
      <w:r>
        <w:rPr>
          <w:bCs/>
          <w:iCs/>
          <w:color w:val="000000"/>
          <w:sz w:val="24"/>
        </w:rPr>
        <w:t>证券简称：</w:t>
      </w:r>
      <w:proofErr w:type="gramStart"/>
      <w:r>
        <w:rPr>
          <w:color w:val="000000"/>
          <w:sz w:val="24"/>
        </w:rPr>
        <w:t>鼎阳科技</w:t>
      </w:r>
      <w:proofErr w:type="gramEnd"/>
    </w:p>
    <w:p w14:paraId="0C227E80" w14:textId="77777777" w:rsidR="003C2CB6" w:rsidRDefault="003C2CB6">
      <w:pPr>
        <w:spacing w:line="400" w:lineRule="exact"/>
        <w:rPr>
          <w:color w:val="000000"/>
          <w:sz w:val="20"/>
        </w:rPr>
      </w:pPr>
    </w:p>
    <w:p w14:paraId="31B00D83" w14:textId="77777777" w:rsidR="003C2CB6" w:rsidRDefault="00C359FC">
      <w:pPr>
        <w:spacing w:beforeLines="50" w:before="156" w:afterLines="50" w:after="156" w:line="400" w:lineRule="exact"/>
        <w:jc w:val="center"/>
        <w:rPr>
          <w:b/>
          <w:bCs/>
          <w:iCs/>
          <w:color w:val="000000"/>
          <w:sz w:val="32"/>
          <w:szCs w:val="32"/>
        </w:rPr>
      </w:pPr>
      <w:r>
        <w:rPr>
          <w:b/>
          <w:bCs/>
          <w:iCs/>
          <w:color w:val="000000"/>
          <w:sz w:val="32"/>
          <w:szCs w:val="32"/>
        </w:rPr>
        <w:t>深圳市</w:t>
      </w:r>
      <w:proofErr w:type="gramStart"/>
      <w:r>
        <w:rPr>
          <w:b/>
          <w:bCs/>
          <w:iCs/>
          <w:color w:val="000000"/>
          <w:sz w:val="32"/>
          <w:szCs w:val="32"/>
        </w:rPr>
        <w:t>鼎阳科技</w:t>
      </w:r>
      <w:proofErr w:type="gramEnd"/>
      <w:r>
        <w:rPr>
          <w:b/>
          <w:bCs/>
          <w:iCs/>
          <w:color w:val="000000"/>
          <w:sz w:val="32"/>
          <w:szCs w:val="32"/>
        </w:rPr>
        <w:t>股份有限公司投资者关系活动记录表</w:t>
      </w:r>
    </w:p>
    <w:p w14:paraId="29EA63A5" w14:textId="77777777" w:rsidR="003C2CB6" w:rsidRDefault="00C359FC">
      <w:pPr>
        <w:spacing w:line="400" w:lineRule="exact"/>
        <w:jc w:val="right"/>
        <w:rPr>
          <w:bCs/>
          <w:iCs/>
          <w:color w:val="000000"/>
          <w:sz w:val="22"/>
          <w:szCs w:val="22"/>
        </w:rPr>
      </w:pPr>
      <w:r>
        <w:rPr>
          <w:bCs/>
          <w:iCs/>
          <w:color w:val="000000"/>
          <w:sz w:val="24"/>
        </w:rPr>
        <w:t xml:space="preserve">                                                     </w:t>
      </w:r>
      <w:r>
        <w:rPr>
          <w:bCs/>
          <w:iCs/>
          <w:color w:val="000000"/>
          <w:sz w:val="22"/>
          <w:szCs w:val="22"/>
        </w:rPr>
        <w:t xml:space="preserve"> </w:t>
      </w:r>
      <w:r>
        <w:rPr>
          <w:bCs/>
          <w:iCs/>
          <w:color w:val="000000"/>
          <w:sz w:val="22"/>
          <w:szCs w:val="22"/>
        </w:rPr>
        <w:t>编号</w:t>
      </w:r>
      <w:r>
        <w:rPr>
          <w:bCs/>
          <w:iCs/>
          <w:color w:val="000000"/>
          <w:sz w:val="22"/>
          <w:szCs w:val="22"/>
        </w:rPr>
        <w:t>2026-00</w:t>
      </w:r>
      <w:r>
        <w:rPr>
          <w:rFonts w:hint="eastAsia"/>
          <w:bCs/>
          <w:iCs/>
          <w:color w:val="000000"/>
          <w:sz w:val="22"/>
          <w:szCs w:val="22"/>
        </w:rPr>
        <w:t>4</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451"/>
      </w:tblGrid>
      <w:tr w:rsidR="003C2CB6" w14:paraId="3078B5B0" w14:textId="77777777">
        <w:tc>
          <w:tcPr>
            <w:tcW w:w="1908" w:type="dxa"/>
            <w:tcBorders>
              <w:top w:val="single" w:sz="4" w:space="0" w:color="auto"/>
              <w:left w:val="single" w:sz="4" w:space="0" w:color="auto"/>
              <w:bottom w:val="single" w:sz="4" w:space="0" w:color="auto"/>
              <w:right w:val="single" w:sz="4" w:space="0" w:color="auto"/>
            </w:tcBorders>
            <w:vAlign w:val="center"/>
          </w:tcPr>
          <w:p w14:paraId="12E17680" w14:textId="77777777" w:rsidR="003C2CB6" w:rsidRDefault="00C359FC">
            <w:pPr>
              <w:spacing w:after="200" w:line="360" w:lineRule="auto"/>
              <w:jc w:val="center"/>
              <w:rPr>
                <w:sz w:val="24"/>
              </w:rPr>
            </w:pPr>
            <w:r>
              <w:rPr>
                <w:rFonts w:hint="eastAsia"/>
                <w:sz w:val="24"/>
              </w:rPr>
              <w:t>投资者关系活动类别</w:t>
            </w:r>
          </w:p>
        </w:tc>
        <w:tc>
          <w:tcPr>
            <w:tcW w:w="6451" w:type="dxa"/>
            <w:tcBorders>
              <w:top w:val="single" w:sz="4" w:space="0" w:color="auto"/>
              <w:left w:val="single" w:sz="4" w:space="0" w:color="auto"/>
              <w:bottom w:val="single" w:sz="4" w:space="0" w:color="auto"/>
              <w:right w:val="single" w:sz="4" w:space="0" w:color="auto"/>
            </w:tcBorders>
            <w:vAlign w:val="center"/>
          </w:tcPr>
          <w:p w14:paraId="057DF4BF" w14:textId="77777777" w:rsidR="003C2CB6" w:rsidRDefault="00C359FC">
            <w:pPr>
              <w:rPr>
                <w:sz w:val="24"/>
              </w:rPr>
            </w:pPr>
            <w:r>
              <w:rPr>
                <w:rFonts w:hint="eastAsia"/>
                <w:sz w:val="24"/>
              </w:rPr>
              <w:sym w:font="Wingdings 2" w:char="F052"/>
            </w:r>
            <w:r>
              <w:rPr>
                <w:rFonts w:hint="eastAsia"/>
                <w:sz w:val="24"/>
              </w:rPr>
              <w:t xml:space="preserve"> </w:t>
            </w:r>
            <w:r>
              <w:rPr>
                <w:rFonts w:hint="eastAsia"/>
                <w:sz w:val="24"/>
              </w:rPr>
              <w:t>特定对象调研</w:t>
            </w:r>
            <w:r>
              <w:rPr>
                <w:rFonts w:hint="eastAsia"/>
                <w:sz w:val="24"/>
              </w:rPr>
              <w:t xml:space="preserve">       </w:t>
            </w:r>
            <w:bookmarkStart w:id="0" w:name="OLE_LINK1"/>
            <w:r>
              <w:rPr>
                <w:sz w:val="24"/>
              </w:rPr>
              <w:t xml:space="preserve">  </w:t>
            </w:r>
            <w:r>
              <w:rPr>
                <w:rFonts w:hint="eastAsia"/>
                <w:sz w:val="24"/>
              </w:rPr>
              <w:t xml:space="preserve"> </w:t>
            </w:r>
            <w:r>
              <w:rPr>
                <w:rFonts w:hint="eastAsia"/>
                <w:sz w:val="24"/>
              </w:rPr>
              <w:t>□</w:t>
            </w:r>
            <w:bookmarkEnd w:id="0"/>
            <w:r>
              <w:rPr>
                <w:rFonts w:hint="eastAsia"/>
                <w:sz w:val="24"/>
              </w:rPr>
              <w:t xml:space="preserve"> </w:t>
            </w:r>
            <w:r>
              <w:rPr>
                <w:rFonts w:hint="eastAsia"/>
                <w:sz w:val="24"/>
              </w:rPr>
              <w:t>分析师会议</w:t>
            </w:r>
          </w:p>
          <w:p w14:paraId="33B68139" w14:textId="77777777" w:rsidR="003C2CB6" w:rsidRDefault="00C359FC">
            <w:pPr>
              <w:rPr>
                <w:sz w:val="24"/>
              </w:rPr>
            </w:pPr>
            <w:r>
              <w:rPr>
                <w:rFonts w:hint="eastAsia"/>
                <w:sz w:val="24"/>
              </w:rPr>
              <w:t>□</w:t>
            </w:r>
            <w:r>
              <w:rPr>
                <w:rFonts w:hint="eastAsia"/>
                <w:sz w:val="24"/>
              </w:rPr>
              <w:t xml:space="preserve"> </w:t>
            </w:r>
            <w:r>
              <w:rPr>
                <w:rFonts w:hint="eastAsia"/>
                <w:sz w:val="24"/>
              </w:rPr>
              <w:t>媒体采访</w:t>
            </w:r>
            <w:r>
              <w:rPr>
                <w:rFonts w:hint="eastAsia"/>
                <w:sz w:val="24"/>
              </w:rPr>
              <w:t xml:space="preserve">          </w:t>
            </w:r>
            <w:r>
              <w:rPr>
                <w:sz w:val="24"/>
              </w:rPr>
              <w:t xml:space="preserve">  </w:t>
            </w:r>
            <w:r>
              <w:rPr>
                <w:rFonts w:hint="eastAsia"/>
                <w:sz w:val="24"/>
              </w:rPr>
              <w:t xml:space="preserve">  </w:t>
            </w:r>
            <w:r>
              <w:rPr>
                <w:rFonts w:hint="eastAsia"/>
                <w:sz w:val="24"/>
              </w:rPr>
              <w:t>□业绩说明会</w:t>
            </w:r>
          </w:p>
          <w:p w14:paraId="70D66604" w14:textId="77777777" w:rsidR="003C2CB6" w:rsidRDefault="00C359FC">
            <w:pPr>
              <w:rPr>
                <w:sz w:val="24"/>
              </w:rPr>
            </w:pPr>
            <w:r>
              <w:rPr>
                <w:rFonts w:hint="eastAsia"/>
                <w:sz w:val="24"/>
              </w:rPr>
              <w:t>□</w:t>
            </w:r>
            <w:r>
              <w:rPr>
                <w:rFonts w:hint="eastAsia"/>
                <w:sz w:val="24"/>
              </w:rPr>
              <w:t xml:space="preserve"> </w:t>
            </w:r>
            <w:r>
              <w:rPr>
                <w:rFonts w:hint="eastAsia"/>
                <w:sz w:val="24"/>
              </w:rPr>
              <w:t>新闻发布会</w:t>
            </w:r>
            <w:r>
              <w:rPr>
                <w:rFonts w:hint="eastAsia"/>
                <w:sz w:val="24"/>
              </w:rPr>
              <w:t xml:space="preserve">       </w:t>
            </w:r>
            <w:r>
              <w:rPr>
                <w:sz w:val="24"/>
              </w:rPr>
              <w:t xml:space="preserve">  </w:t>
            </w:r>
            <w:r>
              <w:rPr>
                <w:rFonts w:hint="eastAsia"/>
                <w:sz w:val="24"/>
              </w:rPr>
              <w:t xml:space="preserve">   </w:t>
            </w:r>
            <w:r>
              <w:rPr>
                <w:rFonts w:hint="eastAsia"/>
                <w:sz w:val="24"/>
              </w:rPr>
              <w:t>□</w:t>
            </w:r>
            <w:r>
              <w:rPr>
                <w:rFonts w:hint="eastAsia"/>
                <w:sz w:val="24"/>
              </w:rPr>
              <w:t xml:space="preserve"> </w:t>
            </w:r>
            <w:r>
              <w:rPr>
                <w:rFonts w:hint="eastAsia"/>
                <w:sz w:val="24"/>
              </w:rPr>
              <w:t>路演活动</w:t>
            </w:r>
          </w:p>
          <w:p w14:paraId="092FC41F" w14:textId="77777777" w:rsidR="003C2CB6" w:rsidRDefault="00C359FC">
            <w:pPr>
              <w:rPr>
                <w:sz w:val="24"/>
              </w:rPr>
            </w:pPr>
            <w:r>
              <w:rPr>
                <w:rFonts w:hint="eastAsia"/>
                <w:sz w:val="24"/>
              </w:rPr>
              <w:t>□</w:t>
            </w:r>
            <w:r>
              <w:rPr>
                <w:rFonts w:hint="eastAsia"/>
                <w:sz w:val="24"/>
              </w:rPr>
              <w:t xml:space="preserve"> </w:t>
            </w:r>
            <w:r>
              <w:rPr>
                <w:rFonts w:hint="eastAsia"/>
                <w:sz w:val="24"/>
              </w:rPr>
              <w:t>现场参观</w:t>
            </w:r>
            <w:r>
              <w:rPr>
                <w:rFonts w:hint="eastAsia"/>
                <w:sz w:val="24"/>
              </w:rPr>
              <w:t xml:space="preserve">        </w:t>
            </w:r>
            <w:r>
              <w:rPr>
                <w:sz w:val="24"/>
              </w:rPr>
              <w:t xml:space="preserve">   </w:t>
            </w:r>
            <w:r>
              <w:rPr>
                <w:rFonts w:hint="eastAsia"/>
                <w:sz w:val="24"/>
              </w:rPr>
              <w:t xml:space="preserve">   </w:t>
            </w:r>
            <w:r>
              <w:rPr>
                <w:rFonts w:hint="eastAsia"/>
                <w:sz w:val="24"/>
              </w:rPr>
              <w:t>□</w:t>
            </w:r>
            <w:r>
              <w:rPr>
                <w:rFonts w:hint="eastAsia"/>
                <w:sz w:val="24"/>
              </w:rPr>
              <w:t xml:space="preserve"> </w:t>
            </w:r>
            <w:r>
              <w:rPr>
                <w:rFonts w:hint="eastAsia"/>
                <w:sz w:val="24"/>
              </w:rPr>
              <w:t>一对一沟通</w:t>
            </w:r>
          </w:p>
          <w:p w14:paraId="1EF81504" w14:textId="77777777" w:rsidR="003C2CB6" w:rsidRDefault="00C359FC">
            <w:pPr>
              <w:rPr>
                <w:bCs/>
                <w:iCs/>
                <w:color w:val="000000"/>
                <w:kern w:val="0"/>
                <w:sz w:val="24"/>
              </w:rPr>
            </w:pPr>
            <w:r>
              <w:rPr>
                <w:rFonts w:hint="eastAsia"/>
                <w:sz w:val="24"/>
              </w:rPr>
              <w:sym w:font="Wingdings 2" w:char="F052"/>
            </w:r>
            <w:r>
              <w:rPr>
                <w:rFonts w:hint="eastAsia"/>
                <w:sz w:val="24"/>
              </w:rPr>
              <w:t xml:space="preserve"> </w:t>
            </w:r>
            <w:r>
              <w:rPr>
                <w:rFonts w:hint="eastAsia"/>
                <w:sz w:val="24"/>
              </w:rPr>
              <w:t>线上会议</w:t>
            </w:r>
            <w:r>
              <w:rPr>
                <w:rFonts w:hint="eastAsia"/>
                <w:sz w:val="24"/>
              </w:rPr>
              <w:t xml:space="preserve">     </w:t>
            </w:r>
            <w:r>
              <w:rPr>
                <w:sz w:val="24"/>
              </w:rPr>
              <w:t xml:space="preserve"> </w:t>
            </w:r>
            <w:r>
              <w:rPr>
                <w:rFonts w:hint="eastAsia"/>
                <w:sz w:val="24"/>
              </w:rPr>
              <w:t xml:space="preserve">  </w:t>
            </w:r>
            <w:r>
              <w:rPr>
                <w:sz w:val="24"/>
              </w:rPr>
              <w:t xml:space="preserve">  </w:t>
            </w:r>
            <w:r>
              <w:rPr>
                <w:rFonts w:hint="eastAsia"/>
                <w:sz w:val="24"/>
              </w:rPr>
              <w:t xml:space="preserve">    </w:t>
            </w:r>
            <w:r>
              <w:rPr>
                <w:rFonts w:hint="eastAsia"/>
                <w:sz w:val="24"/>
              </w:rPr>
              <w:t>□</w:t>
            </w:r>
            <w:r>
              <w:rPr>
                <w:rFonts w:hint="eastAsia"/>
                <w:sz w:val="24"/>
              </w:rPr>
              <w:t xml:space="preserve"> </w:t>
            </w:r>
            <w:r>
              <w:rPr>
                <w:rFonts w:hint="eastAsia"/>
                <w:sz w:val="24"/>
              </w:rPr>
              <w:t>其他</w:t>
            </w:r>
          </w:p>
        </w:tc>
      </w:tr>
      <w:tr w:rsidR="003C2CB6" w14:paraId="20E60A07" w14:textId="77777777">
        <w:trPr>
          <w:trHeight w:val="558"/>
        </w:trPr>
        <w:tc>
          <w:tcPr>
            <w:tcW w:w="1908" w:type="dxa"/>
            <w:tcBorders>
              <w:top w:val="single" w:sz="4" w:space="0" w:color="auto"/>
              <w:left w:val="single" w:sz="4" w:space="0" w:color="auto"/>
              <w:bottom w:val="single" w:sz="4" w:space="0" w:color="auto"/>
              <w:right w:val="single" w:sz="4" w:space="0" w:color="auto"/>
            </w:tcBorders>
            <w:vAlign w:val="center"/>
          </w:tcPr>
          <w:p w14:paraId="6758D37D" w14:textId="77777777" w:rsidR="003C2CB6" w:rsidRDefault="00C359FC">
            <w:pPr>
              <w:spacing w:after="200" w:line="360" w:lineRule="auto"/>
              <w:jc w:val="center"/>
              <w:rPr>
                <w:sz w:val="24"/>
              </w:rPr>
            </w:pPr>
            <w:r>
              <w:rPr>
                <w:rFonts w:hint="eastAsia"/>
                <w:sz w:val="24"/>
              </w:rPr>
              <w:t>参与单位名称</w:t>
            </w:r>
          </w:p>
        </w:tc>
        <w:tc>
          <w:tcPr>
            <w:tcW w:w="6451" w:type="dxa"/>
            <w:tcBorders>
              <w:top w:val="single" w:sz="4" w:space="0" w:color="auto"/>
              <w:left w:val="single" w:sz="4" w:space="0" w:color="auto"/>
              <w:bottom w:val="single" w:sz="4" w:space="0" w:color="auto"/>
              <w:right w:val="single" w:sz="4" w:space="0" w:color="auto"/>
            </w:tcBorders>
            <w:vAlign w:val="center"/>
          </w:tcPr>
          <w:p w14:paraId="4278A7CD" w14:textId="27102390" w:rsidR="003C2CB6" w:rsidRDefault="00C359FC" w:rsidP="00D83075">
            <w:pPr>
              <w:spacing w:after="200" w:line="360" w:lineRule="auto"/>
              <w:rPr>
                <w:sz w:val="24"/>
              </w:rPr>
            </w:pPr>
            <w:r>
              <w:rPr>
                <w:rFonts w:hint="eastAsia"/>
                <w:sz w:val="24"/>
              </w:rPr>
              <w:t>嘉</w:t>
            </w:r>
            <w:proofErr w:type="gramStart"/>
            <w:r>
              <w:rPr>
                <w:rFonts w:hint="eastAsia"/>
                <w:sz w:val="24"/>
              </w:rPr>
              <w:t>实基金</w:t>
            </w:r>
            <w:proofErr w:type="gramEnd"/>
            <w:r>
              <w:rPr>
                <w:rFonts w:hint="eastAsia"/>
                <w:sz w:val="24"/>
              </w:rPr>
              <w:t>管理有限公司、麦格理集团有限公司、摩根士丹利基金管理</w:t>
            </w:r>
            <w:r>
              <w:rPr>
                <w:rFonts w:hint="eastAsia"/>
                <w:sz w:val="24"/>
              </w:rPr>
              <w:t>(</w:t>
            </w:r>
            <w:r>
              <w:rPr>
                <w:rFonts w:hint="eastAsia"/>
                <w:sz w:val="24"/>
              </w:rPr>
              <w:t>中国</w:t>
            </w:r>
            <w:r>
              <w:rPr>
                <w:rFonts w:hint="eastAsia"/>
                <w:sz w:val="24"/>
              </w:rPr>
              <w:t>)</w:t>
            </w:r>
            <w:r>
              <w:rPr>
                <w:rFonts w:hint="eastAsia"/>
                <w:sz w:val="24"/>
              </w:rPr>
              <w:t>有限公司、野村东方国际证券有限公司、汇丰前海证券有限责任公司、国海富兰克林基金管理有限公司、安信基金管理有限责任公司、金鹰基金管理有限公司、汇</w:t>
            </w:r>
            <w:proofErr w:type="gramStart"/>
            <w:r>
              <w:rPr>
                <w:rFonts w:hint="eastAsia"/>
                <w:sz w:val="24"/>
              </w:rPr>
              <w:t>丰晋信</w:t>
            </w:r>
            <w:proofErr w:type="gramEnd"/>
            <w:r>
              <w:rPr>
                <w:rFonts w:hint="eastAsia"/>
                <w:sz w:val="24"/>
              </w:rPr>
              <w:t>基金管理有限公司、淳厚基金管理有限公司、</w:t>
            </w:r>
            <w:proofErr w:type="gramStart"/>
            <w:r>
              <w:rPr>
                <w:rFonts w:hint="eastAsia"/>
                <w:sz w:val="24"/>
              </w:rPr>
              <w:t>圆信永丰</w:t>
            </w:r>
            <w:proofErr w:type="gramEnd"/>
            <w:r>
              <w:rPr>
                <w:rFonts w:hint="eastAsia"/>
                <w:sz w:val="24"/>
              </w:rPr>
              <w:t>基金管理有限公司、光大保德信基金管理有限公司、博</w:t>
            </w:r>
            <w:proofErr w:type="gramStart"/>
            <w:r>
              <w:rPr>
                <w:rFonts w:hint="eastAsia"/>
                <w:sz w:val="24"/>
              </w:rPr>
              <w:t>远基金</w:t>
            </w:r>
            <w:proofErr w:type="gramEnd"/>
            <w:r>
              <w:rPr>
                <w:rFonts w:hint="eastAsia"/>
                <w:sz w:val="24"/>
              </w:rPr>
              <w:t>管理有限公司、诺德基金管理有限公司、华润元大基金管理有限公司、东方阿尔法基金管理有限公司、</w:t>
            </w:r>
            <w:r>
              <w:rPr>
                <w:rFonts w:hint="eastAsia"/>
                <w:sz w:val="24"/>
              </w:rPr>
              <w:t>MD Investment Co Ltd</w:t>
            </w:r>
            <w:r>
              <w:rPr>
                <w:rFonts w:hint="eastAsia"/>
                <w:sz w:val="24"/>
              </w:rPr>
              <w:t>、</w:t>
            </w:r>
            <w:r>
              <w:rPr>
                <w:rFonts w:hint="eastAsia"/>
                <w:sz w:val="24"/>
              </w:rPr>
              <w:t>IGWT Investment</w:t>
            </w:r>
            <w:r>
              <w:rPr>
                <w:rFonts w:hint="eastAsia"/>
                <w:sz w:val="24"/>
              </w:rPr>
              <w:t>、</w:t>
            </w:r>
            <w:r>
              <w:rPr>
                <w:rFonts w:hint="eastAsia"/>
                <w:sz w:val="24"/>
              </w:rPr>
              <w:t>SANFRAN CORP.</w:t>
            </w:r>
            <w:r>
              <w:rPr>
                <w:rFonts w:hint="eastAsia"/>
                <w:sz w:val="24"/>
              </w:rPr>
              <w:t>、中国人寿保险</w:t>
            </w:r>
            <w:r>
              <w:rPr>
                <w:rFonts w:hint="eastAsia"/>
                <w:sz w:val="24"/>
              </w:rPr>
              <w:t>(</w:t>
            </w:r>
            <w:r>
              <w:rPr>
                <w:rFonts w:hint="eastAsia"/>
                <w:sz w:val="24"/>
              </w:rPr>
              <w:t>集团</w:t>
            </w:r>
            <w:r>
              <w:rPr>
                <w:rFonts w:hint="eastAsia"/>
                <w:sz w:val="24"/>
              </w:rPr>
              <w:t>)</w:t>
            </w:r>
            <w:r>
              <w:rPr>
                <w:rFonts w:hint="eastAsia"/>
                <w:sz w:val="24"/>
              </w:rPr>
              <w:t>公司、友邦人寿保险有限公司、国海证券股份有限公司、开源证券股份有限公司、华创证券有限责任公司、华福证券股份有限公司、东北证券股份有限公司、山西证券股份有限公司、东莞证券股份有限公司、国联民生证券股份有限公司、华泰证券股份有限公司、西南证券股份有限公司、中信证券股份有限公司、国泰海通证券股份有限公司、长江证券股份有限公司、广发证券股份有限公司、国投证券股份有限公司、中国银河证券股份有限公司、华西证券股份有限公司、招商证券股份有限公司、西部证券股份有限公司、天风证券股份有限公司、光大证券股份有限公司、万和证券股份有限公司、华源证券股份有限公司、国金证券</w:t>
            </w:r>
            <w:r w:rsidR="006A69E6">
              <w:rPr>
                <w:rFonts w:hint="eastAsia"/>
                <w:sz w:val="24"/>
              </w:rPr>
              <w:t>股份</w:t>
            </w:r>
            <w:r>
              <w:rPr>
                <w:rFonts w:hint="eastAsia"/>
                <w:sz w:val="24"/>
              </w:rPr>
              <w:t>有限公司、东吴证券股份有限公司、财通证券股份有限公司、国信证券</w:t>
            </w:r>
            <w:r>
              <w:rPr>
                <w:rFonts w:hint="eastAsia"/>
                <w:sz w:val="24"/>
              </w:rPr>
              <w:lastRenderedPageBreak/>
              <w:t>股份有限公司、东方财富证券股份有限公司、长城证券股份有限公司、中泰证券股份有限公司、上海申银万国证券研究所有限公司、爱建证券有限责任公司、方正证券股份有限公司、中银国际证券股份有限公司、北京证券有限责任公司、麦高证券有限责任公司、中信期货有限公司、大湾区发展基金管理有限公司、深圳前海君安资产管理有限公司、</w:t>
            </w:r>
            <w:proofErr w:type="gramStart"/>
            <w:r>
              <w:rPr>
                <w:rFonts w:hint="eastAsia"/>
                <w:sz w:val="24"/>
              </w:rPr>
              <w:t>深圳市尚诚资产</w:t>
            </w:r>
            <w:proofErr w:type="gramEnd"/>
            <w:r>
              <w:rPr>
                <w:rFonts w:hint="eastAsia"/>
                <w:sz w:val="24"/>
              </w:rPr>
              <w:t>管理有限责任公司、上海甬兴证券资产管理有限公司、杭州</w:t>
            </w:r>
            <w:proofErr w:type="gramStart"/>
            <w:r>
              <w:rPr>
                <w:rFonts w:hint="eastAsia"/>
                <w:sz w:val="24"/>
              </w:rPr>
              <w:t>中舍资产</w:t>
            </w:r>
            <w:proofErr w:type="gramEnd"/>
            <w:r>
              <w:rPr>
                <w:rFonts w:hint="eastAsia"/>
                <w:sz w:val="24"/>
              </w:rPr>
              <w:t>管理有限公司、广东海辉华盛证券投资基金管理有限公司、深圳市金之灏基金管理有限公司、深圳市</w:t>
            </w:r>
            <w:proofErr w:type="gramStart"/>
            <w:r>
              <w:rPr>
                <w:rFonts w:hint="eastAsia"/>
                <w:sz w:val="24"/>
              </w:rPr>
              <w:t>前海诚域私募</w:t>
            </w:r>
            <w:proofErr w:type="gramEnd"/>
            <w:r>
              <w:rPr>
                <w:rFonts w:hint="eastAsia"/>
                <w:sz w:val="24"/>
              </w:rPr>
              <w:t>证券基金管理有限公司、青岛金光紫金创业投资管理有限公司、鸿运私募基金管理</w:t>
            </w:r>
            <w:r>
              <w:rPr>
                <w:rFonts w:hint="eastAsia"/>
                <w:sz w:val="24"/>
              </w:rPr>
              <w:t>(</w:t>
            </w:r>
            <w:r>
              <w:rPr>
                <w:rFonts w:hint="eastAsia"/>
                <w:sz w:val="24"/>
              </w:rPr>
              <w:t>海南</w:t>
            </w:r>
            <w:r>
              <w:rPr>
                <w:rFonts w:hint="eastAsia"/>
                <w:sz w:val="24"/>
              </w:rPr>
              <w:t>)</w:t>
            </w:r>
            <w:r>
              <w:rPr>
                <w:rFonts w:hint="eastAsia"/>
                <w:sz w:val="24"/>
              </w:rPr>
              <w:t>有限公司、西安江岳私募基金管理有限公司、广东熵简私募基金管理有限公司、苏州元徽科技有限公司、福建省</w:t>
            </w:r>
            <w:proofErr w:type="gramStart"/>
            <w:r>
              <w:rPr>
                <w:rFonts w:hint="eastAsia"/>
                <w:sz w:val="24"/>
              </w:rPr>
              <w:t>炜博投资</w:t>
            </w:r>
            <w:proofErr w:type="gramEnd"/>
            <w:r>
              <w:rPr>
                <w:rFonts w:hint="eastAsia"/>
                <w:sz w:val="24"/>
              </w:rPr>
              <w:t>管理有限公司、深圳中</w:t>
            </w:r>
            <w:proofErr w:type="gramStart"/>
            <w:r>
              <w:rPr>
                <w:rFonts w:hint="eastAsia"/>
                <w:sz w:val="24"/>
              </w:rPr>
              <w:t>安汇富</w:t>
            </w:r>
            <w:proofErr w:type="gramEnd"/>
            <w:r>
              <w:rPr>
                <w:rFonts w:hint="eastAsia"/>
                <w:sz w:val="24"/>
              </w:rPr>
              <w:t>私募证券基金管理有限公司、海南谦信私募基金管理有限公司、浙江自贸区丰琰私募基金管理有限公司、北京齐济合创投资有限公司、厦门观升私募基金管理有限公司、</w:t>
            </w:r>
            <w:proofErr w:type="gramStart"/>
            <w:r>
              <w:rPr>
                <w:rFonts w:hint="eastAsia"/>
                <w:sz w:val="24"/>
              </w:rPr>
              <w:t>深圳市智联时空</w:t>
            </w:r>
            <w:proofErr w:type="gramEnd"/>
            <w:r>
              <w:rPr>
                <w:rFonts w:hint="eastAsia"/>
                <w:sz w:val="24"/>
              </w:rPr>
              <w:t>科技有限公司、张家港高竹私募基金管理有限公司、</w:t>
            </w:r>
            <w:proofErr w:type="gramStart"/>
            <w:r>
              <w:rPr>
                <w:rFonts w:hint="eastAsia"/>
                <w:sz w:val="24"/>
              </w:rPr>
              <w:t>盈赢</w:t>
            </w:r>
            <w:proofErr w:type="gramEnd"/>
            <w:r>
              <w:rPr>
                <w:rFonts w:hint="eastAsia"/>
                <w:sz w:val="24"/>
              </w:rPr>
              <w:t>(</w:t>
            </w:r>
            <w:r>
              <w:rPr>
                <w:rFonts w:hint="eastAsia"/>
                <w:sz w:val="24"/>
              </w:rPr>
              <w:t>海南</w:t>
            </w:r>
            <w:r>
              <w:rPr>
                <w:rFonts w:hint="eastAsia"/>
                <w:sz w:val="24"/>
              </w:rPr>
              <w:t>)</w:t>
            </w:r>
            <w:r>
              <w:rPr>
                <w:rFonts w:hint="eastAsia"/>
                <w:sz w:val="24"/>
              </w:rPr>
              <w:t>私募基金管理合伙企业</w:t>
            </w:r>
            <w:r>
              <w:rPr>
                <w:rFonts w:hint="eastAsia"/>
                <w:sz w:val="24"/>
              </w:rPr>
              <w:t>(</w:t>
            </w:r>
            <w:r>
              <w:rPr>
                <w:rFonts w:hint="eastAsia"/>
                <w:sz w:val="24"/>
              </w:rPr>
              <w:t>有限合伙</w:t>
            </w:r>
            <w:r>
              <w:rPr>
                <w:rFonts w:hint="eastAsia"/>
                <w:sz w:val="24"/>
              </w:rPr>
              <w:t>)</w:t>
            </w:r>
            <w:r>
              <w:rPr>
                <w:rFonts w:hint="eastAsia"/>
                <w:sz w:val="24"/>
              </w:rPr>
              <w:t>、玄卜投资</w:t>
            </w:r>
            <w:r>
              <w:rPr>
                <w:rFonts w:hint="eastAsia"/>
                <w:sz w:val="24"/>
              </w:rPr>
              <w:t>(</w:t>
            </w:r>
            <w:r>
              <w:rPr>
                <w:rFonts w:hint="eastAsia"/>
                <w:sz w:val="24"/>
              </w:rPr>
              <w:t>上海</w:t>
            </w:r>
            <w:r>
              <w:rPr>
                <w:rFonts w:hint="eastAsia"/>
                <w:sz w:val="24"/>
              </w:rPr>
              <w:t>)</w:t>
            </w:r>
            <w:r>
              <w:rPr>
                <w:rFonts w:hint="eastAsia"/>
                <w:sz w:val="24"/>
              </w:rPr>
              <w:t>有限公司、北京高信百诺投资管理有限公司、</w:t>
            </w:r>
            <w:proofErr w:type="gramStart"/>
            <w:r>
              <w:rPr>
                <w:rFonts w:hint="eastAsia"/>
                <w:sz w:val="24"/>
              </w:rPr>
              <w:t>广州银鲨私募</w:t>
            </w:r>
            <w:proofErr w:type="gramEnd"/>
            <w:r>
              <w:rPr>
                <w:rFonts w:hint="eastAsia"/>
                <w:sz w:val="24"/>
              </w:rPr>
              <w:t>证券投资基金管理有限公司、上海度势投资有限公司、上海鑫垣私募基金管理有限公司、深圳市</w:t>
            </w:r>
            <w:proofErr w:type="gramStart"/>
            <w:r>
              <w:rPr>
                <w:rFonts w:hint="eastAsia"/>
                <w:sz w:val="24"/>
              </w:rPr>
              <w:t>兰权资本</w:t>
            </w:r>
            <w:proofErr w:type="gramEnd"/>
            <w:r>
              <w:rPr>
                <w:rFonts w:hint="eastAsia"/>
                <w:sz w:val="24"/>
              </w:rPr>
              <w:t>管理有限公司、上海云门投资管理有限公司、</w:t>
            </w:r>
            <w:proofErr w:type="gramStart"/>
            <w:r>
              <w:rPr>
                <w:rFonts w:hint="eastAsia"/>
                <w:sz w:val="24"/>
              </w:rPr>
              <w:t>广州市航长投资</w:t>
            </w:r>
            <w:proofErr w:type="gramEnd"/>
            <w:r>
              <w:rPr>
                <w:rFonts w:hint="eastAsia"/>
                <w:sz w:val="24"/>
              </w:rPr>
              <w:t>管理有限公司、西安敦成私募基金管理有限公司、群益证券投资信托股份有限公司、上海衡颐资产管理有限公司、国华兴</w:t>
            </w:r>
            <w:proofErr w:type="gramStart"/>
            <w:r>
              <w:rPr>
                <w:rFonts w:hint="eastAsia"/>
                <w:sz w:val="24"/>
              </w:rPr>
              <w:t>益保险</w:t>
            </w:r>
            <w:proofErr w:type="gramEnd"/>
            <w:r>
              <w:rPr>
                <w:rFonts w:hint="eastAsia"/>
                <w:sz w:val="24"/>
              </w:rPr>
              <w:t>资产管理有限公司、浙江源弈资产管理有限公司、深圳市泽兴资产管理有限公司、华能贵诚信托有限公司、华美国际投资集团有限公司、上海尚颀投资管理合伙企业</w:t>
            </w:r>
            <w:r>
              <w:rPr>
                <w:rFonts w:hint="eastAsia"/>
                <w:sz w:val="24"/>
              </w:rPr>
              <w:t>(</w:t>
            </w:r>
            <w:r>
              <w:rPr>
                <w:rFonts w:hint="eastAsia"/>
                <w:sz w:val="24"/>
              </w:rPr>
              <w:t>有限合伙</w:t>
            </w:r>
            <w:r>
              <w:rPr>
                <w:rFonts w:hint="eastAsia"/>
                <w:sz w:val="24"/>
              </w:rPr>
              <w:t>)</w:t>
            </w:r>
            <w:r>
              <w:rPr>
                <w:rFonts w:hint="eastAsia"/>
                <w:sz w:val="24"/>
              </w:rPr>
              <w:t>、上海汇瑾股权投资管理有限公司、</w:t>
            </w:r>
            <w:proofErr w:type="gramStart"/>
            <w:r>
              <w:rPr>
                <w:rFonts w:hint="eastAsia"/>
                <w:sz w:val="24"/>
              </w:rPr>
              <w:t>磐</w:t>
            </w:r>
            <w:proofErr w:type="gramEnd"/>
            <w:r>
              <w:rPr>
                <w:rFonts w:hint="eastAsia"/>
                <w:sz w:val="24"/>
              </w:rPr>
              <w:t>厚动量</w:t>
            </w:r>
            <w:r>
              <w:rPr>
                <w:rFonts w:hint="eastAsia"/>
                <w:sz w:val="24"/>
              </w:rPr>
              <w:t>(</w:t>
            </w:r>
            <w:r>
              <w:rPr>
                <w:rFonts w:hint="eastAsia"/>
                <w:sz w:val="24"/>
              </w:rPr>
              <w:t>上海</w:t>
            </w:r>
            <w:r>
              <w:rPr>
                <w:rFonts w:hint="eastAsia"/>
                <w:sz w:val="24"/>
              </w:rPr>
              <w:t>)</w:t>
            </w:r>
            <w:r>
              <w:rPr>
                <w:rFonts w:hint="eastAsia"/>
                <w:sz w:val="24"/>
              </w:rPr>
              <w:t>资本管理有限公司、上海原泽私募基金管理有限公司、深圳</w:t>
            </w:r>
            <w:r>
              <w:rPr>
                <w:rFonts w:hint="eastAsia"/>
                <w:sz w:val="24"/>
              </w:rPr>
              <w:lastRenderedPageBreak/>
              <w:t>市麻</w:t>
            </w:r>
            <w:proofErr w:type="gramStart"/>
            <w:r>
              <w:rPr>
                <w:rFonts w:hint="eastAsia"/>
                <w:sz w:val="24"/>
              </w:rPr>
              <w:t>王投资</w:t>
            </w:r>
            <w:proofErr w:type="gramEnd"/>
            <w:r>
              <w:rPr>
                <w:rFonts w:hint="eastAsia"/>
                <w:sz w:val="24"/>
              </w:rPr>
              <w:t>集团有限公司、浙江沃金投资管理有限公司。</w:t>
            </w:r>
          </w:p>
        </w:tc>
      </w:tr>
      <w:tr w:rsidR="003C2CB6" w14:paraId="23CDF817" w14:textId="77777777">
        <w:tc>
          <w:tcPr>
            <w:tcW w:w="1908" w:type="dxa"/>
            <w:tcBorders>
              <w:top w:val="single" w:sz="4" w:space="0" w:color="auto"/>
              <w:left w:val="single" w:sz="4" w:space="0" w:color="auto"/>
              <w:bottom w:val="single" w:sz="4" w:space="0" w:color="auto"/>
              <w:right w:val="single" w:sz="4" w:space="0" w:color="auto"/>
            </w:tcBorders>
            <w:vAlign w:val="center"/>
          </w:tcPr>
          <w:p w14:paraId="5AD7F645" w14:textId="77777777" w:rsidR="003C2CB6" w:rsidRDefault="00C359FC">
            <w:pPr>
              <w:spacing w:after="200" w:line="360" w:lineRule="auto"/>
              <w:jc w:val="center"/>
              <w:rPr>
                <w:sz w:val="24"/>
              </w:rPr>
            </w:pPr>
            <w:r>
              <w:rPr>
                <w:rFonts w:hint="eastAsia"/>
                <w:sz w:val="24"/>
              </w:rPr>
              <w:lastRenderedPageBreak/>
              <w:t>时间</w:t>
            </w:r>
          </w:p>
        </w:tc>
        <w:tc>
          <w:tcPr>
            <w:tcW w:w="6451" w:type="dxa"/>
            <w:tcBorders>
              <w:top w:val="single" w:sz="4" w:space="0" w:color="auto"/>
              <w:left w:val="single" w:sz="4" w:space="0" w:color="auto"/>
              <w:bottom w:val="single" w:sz="4" w:space="0" w:color="auto"/>
              <w:right w:val="single" w:sz="4" w:space="0" w:color="auto"/>
            </w:tcBorders>
            <w:vAlign w:val="center"/>
          </w:tcPr>
          <w:p w14:paraId="128F1B79" w14:textId="77777777" w:rsidR="003C2CB6" w:rsidRDefault="00C359FC">
            <w:pPr>
              <w:spacing w:after="200" w:line="360" w:lineRule="auto"/>
              <w:jc w:val="left"/>
              <w:rPr>
                <w:sz w:val="24"/>
              </w:rPr>
            </w:pPr>
            <w:r>
              <w:rPr>
                <w:rFonts w:hint="eastAsia"/>
                <w:sz w:val="24"/>
              </w:rPr>
              <w:t>2026</w:t>
            </w:r>
            <w:r>
              <w:rPr>
                <w:rFonts w:hint="eastAsia"/>
                <w:sz w:val="24"/>
              </w:rPr>
              <w:t>年</w:t>
            </w:r>
            <w:r>
              <w:rPr>
                <w:rFonts w:hint="eastAsia"/>
                <w:sz w:val="24"/>
              </w:rPr>
              <w:t>10</w:t>
            </w:r>
            <w:r>
              <w:rPr>
                <w:rFonts w:hint="eastAsia"/>
                <w:sz w:val="24"/>
              </w:rPr>
              <w:t>月</w:t>
            </w:r>
            <w:r>
              <w:rPr>
                <w:rFonts w:hint="eastAsia"/>
                <w:sz w:val="24"/>
              </w:rPr>
              <w:t>26</w:t>
            </w:r>
            <w:r>
              <w:rPr>
                <w:rFonts w:hint="eastAsia"/>
                <w:sz w:val="24"/>
              </w:rPr>
              <w:t>日</w:t>
            </w:r>
          </w:p>
        </w:tc>
      </w:tr>
      <w:tr w:rsidR="003C2CB6" w14:paraId="4EE742B0" w14:textId="77777777">
        <w:tc>
          <w:tcPr>
            <w:tcW w:w="1908" w:type="dxa"/>
            <w:tcBorders>
              <w:top w:val="single" w:sz="4" w:space="0" w:color="auto"/>
              <w:left w:val="single" w:sz="4" w:space="0" w:color="auto"/>
              <w:bottom w:val="single" w:sz="4" w:space="0" w:color="auto"/>
              <w:right w:val="single" w:sz="4" w:space="0" w:color="auto"/>
            </w:tcBorders>
            <w:vAlign w:val="center"/>
          </w:tcPr>
          <w:p w14:paraId="6F50C343" w14:textId="77777777" w:rsidR="003C2CB6" w:rsidRDefault="00C359FC">
            <w:pPr>
              <w:spacing w:after="200" w:line="360" w:lineRule="auto"/>
              <w:jc w:val="center"/>
              <w:rPr>
                <w:sz w:val="24"/>
              </w:rPr>
            </w:pPr>
            <w:r>
              <w:rPr>
                <w:rFonts w:hint="eastAsia"/>
                <w:sz w:val="24"/>
              </w:rPr>
              <w:t>接待人员</w:t>
            </w:r>
          </w:p>
        </w:tc>
        <w:tc>
          <w:tcPr>
            <w:tcW w:w="6451" w:type="dxa"/>
            <w:tcBorders>
              <w:top w:val="single" w:sz="4" w:space="0" w:color="auto"/>
              <w:left w:val="single" w:sz="4" w:space="0" w:color="auto"/>
              <w:bottom w:val="single" w:sz="4" w:space="0" w:color="auto"/>
              <w:right w:val="single" w:sz="4" w:space="0" w:color="auto"/>
            </w:tcBorders>
            <w:vAlign w:val="center"/>
          </w:tcPr>
          <w:p w14:paraId="0FBE6AB8" w14:textId="77777777" w:rsidR="003C2CB6" w:rsidRDefault="00C359FC">
            <w:pPr>
              <w:jc w:val="left"/>
              <w:rPr>
                <w:sz w:val="24"/>
              </w:rPr>
            </w:pPr>
            <w:r>
              <w:rPr>
                <w:rFonts w:hint="eastAsia"/>
                <w:sz w:val="24"/>
              </w:rPr>
              <w:t>董事长</w:t>
            </w:r>
            <w:r>
              <w:rPr>
                <w:rFonts w:hint="eastAsia"/>
                <w:sz w:val="24"/>
              </w:rPr>
              <w:t>&amp;</w:t>
            </w:r>
            <w:r>
              <w:rPr>
                <w:rFonts w:hint="eastAsia"/>
                <w:sz w:val="24"/>
              </w:rPr>
              <w:t>总裁：秦轲</w:t>
            </w:r>
          </w:p>
          <w:p w14:paraId="1710CD92" w14:textId="77777777" w:rsidR="003C2CB6" w:rsidRDefault="00C359FC">
            <w:pPr>
              <w:jc w:val="left"/>
              <w:rPr>
                <w:sz w:val="24"/>
              </w:rPr>
            </w:pPr>
            <w:r>
              <w:rPr>
                <w:rFonts w:hint="eastAsia"/>
                <w:sz w:val="24"/>
              </w:rPr>
              <w:t>财务总监：刘厚军</w:t>
            </w:r>
          </w:p>
          <w:p w14:paraId="1B08ABF0" w14:textId="77777777" w:rsidR="003C2CB6" w:rsidRDefault="00C359FC">
            <w:pPr>
              <w:jc w:val="left"/>
              <w:rPr>
                <w:sz w:val="24"/>
              </w:rPr>
            </w:pPr>
            <w:r>
              <w:rPr>
                <w:rFonts w:hint="eastAsia"/>
                <w:sz w:val="24"/>
              </w:rPr>
              <w:t>董事会秘书：</w:t>
            </w:r>
            <w:proofErr w:type="gramStart"/>
            <w:r>
              <w:rPr>
                <w:rFonts w:hint="eastAsia"/>
                <w:sz w:val="24"/>
              </w:rPr>
              <w:t>王俊颖</w:t>
            </w:r>
            <w:proofErr w:type="gramEnd"/>
          </w:p>
        </w:tc>
      </w:tr>
      <w:tr w:rsidR="003C2CB6" w14:paraId="24AB5200" w14:textId="77777777">
        <w:trPr>
          <w:trHeight w:val="575"/>
        </w:trPr>
        <w:tc>
          <w:tcPr>
            <w:tcW w:w="8359" w:type="dxa"/>
            <w:gridSpan w:val="2"/>
            <w:tcBorders>
              <w:top w:val="single" w:sz="4" w:space="0" w:color="auto"/>
              <w:left w:val="single" w:sz="4" w:space="0" w:color="auto"/>
              <w:bottom w:val="single" w:sz="4" w:space="0" w:color="auto"/>
              <w:right w:val="single" w:sz="4" w:space="0" w:color="auto"/>
            </w:tcBorders>
            <w:vAlign w:val="center"/>
          </w:tcPr>
          <w:p w14:paraId="7C69F09E" w14:textId="77777777" w:rsidR="003C2CB6" w:rsidRDefault="00C359FC">
            <w:pPr>
              <w:spacing w:after="200" w:line="420" w:lineRule="exact"/>
              <w:jc w:val="center"/>
              <w:rPr>
                <w:bCs/>
                <w:sz w:val="24"/>
              </w:rPr>
            </w:pPr>
            <w:r>
              <w:rPr>
                <w:rFonts w:hint="eastAsia"/>
                <w:b/>
                <w:sz w:val="24"/>
              </w:rPr>
              <w:t>投资者关系活动主要内容介绍</w:t>
            </w:r>
          </w:p>
        </w:tc>
      </w:tr>
      <w:tr w:rsidR="003C2CB6" w14:paraId="05B64311" w14:textId="77777777">
        <w:trPr>
          <w:trHeight w:val="352"/>
        </w:trPr>
        <w:tc>
          <w:tcPr>
            <w:tcW w:w="8359" w:type="dxa"/>
            <w:gridSpan w:val="2"/>
            <w:tcBorders>
              <w:top w:val="single" w:sz="4" w:space="0" w:color="auto"/>
              <w:left w:val="single" w:sz="4" w:space="0" w:color="auto"/>
              <w:bottom w:val="single" w:sz="4" w:space="0" w:color="auto"/>
              <w:right w:val="single" w:sz="4" w:space="0" w:color="auto"/>
            </w:tcBorders>
            <w:vAlign w:val="center"/>
          </w:tcPr>
          <w:p w14:paraId="68B9333A" w14:textId="77777777" w:rsidR="003C2CB6" w:rsidRDefault="00C359FC">
            <w:pPr>
              <w:spacing w:line="360" w:lineRule="auto"/>
              <w:rPr>
                <w:sz w:val="24"/>
              </w:rPr>
            </w:pPr>
            <w:r>
              <w:rPr>
                <w:rFonts w:hint="eastAsia"/>
                <w:sz w:val="24"/>
              </w:rPr>
              <w:t>一、公司</w:t>
            </w:r>
            <w:r>
              <w:rPr>
                <w:rFonts w:hint="eastAsia"/>
                <w:sz w:val="24"/>
              </w:rPr>
              <w:t>2026</w:t>
            </w:r>
            <w:r>
              <w:rPr>
                <w:rFonts w:hint="eastAsia"/>
                <w:sz w:val="24"/>
              </w:rPr>
              <w:t>年前三季度经营情况介绍</w:t>
            </w:r>
          </w:p>
          <w:p w14:paraId="702B0809" w14:textId="77777777" w:rsidR="003C2CB6" w:rsidRDefault="00C359FC">
            <w:pPr>
              <w:spacing w:line="360" w:lineRule="auto"/>
              <w:ind w:firstLineChars="200" w:firstLine="480"/>
              <w:rPr>
                <w:sz w:val="24"/>
              </w:rPr>
            </w:pPr>
            <w:r>
              <w:rPr>
                <w:rFonts w:hint="eastAsia"/>
                <w:sz w:val="24"/>
              </w:rPr>
              <w:t>2026</w:t>
            </w:r>
            <w:r>
              <w:rPr>
                <w:rFonts w:hint="eastAsia"/>
                <w:sz w:val="24"/>
              </w:rPr>
              <w:t>年前三季度，公司实现营业收入</w:t>
            </w:r>
            <w:r>
              <w:rPr>
                <w:rFonts w:hint="eastAsia"/>
                <w:sz w:val="24"/>
              </w:rPr>
              <w:t>57,325.70</w:t>
            </w:r>
            <w:r>
              <w:rPr>
                <w:rFonts w:hint="eastAsia"/>
                <w:sz w:val="24"/>
              </w:rPr>
              <w:t>万元，同比增长</w:t>
            </w:r>
            <w:r>
              <w:rPr>
                <w:rFonts w:hint="eastAsia"/>
                <w:sz w:val="24"/>
              </w:rPr>
              <w:t>32.86%</w:t>
            </w:r>
            <w:r>
              <w:rPr>
                <w:rFonts w:hint="eastAsia"/>
                <w:sz w:val="24"/>
              </w:rPr>
              <w:t>；实现归属于上市公司股东的净利润</w:t>
            </w:r>
            <w:r>
              <w:rPr>
                <w:rFonts w:hint="eastAsia"/>
                <w:sz w:val="24"/>
              </w:rPr>
              <w:t>15,396.37</w:t>
            </w:r>
            <w:r>
              <w:rPr>
                <w:rFonts w:hint="eastAsia"/>
                <w:sz w:val="24"/>
              </w:rPr>
              <w:t>万元，同比增长</w:t>
            </w:r>
            <w:r>
              <w:rPr>
                <w:rFonts w:hint="eastAsia"/>
                <w:sz w:val="24"/>
              </w:rPr>
              <w:t>38.27%</w:t>
            </w:r>
            <w:r>
              <w:rPr>
                <w:rFonts w:hint="eastAsia"/>
                <w:sz w:val="24"/>
              </w:rPr>
              <w:t>；实现归属于上市公司股东的扣除非经常性损益的净利润</w:t>
            </w:r>
            <w:r>
              <w:rPr>
                <w:rFonts w:hint="eastAsia"/>
                <w:sz w:val="24"/>
              </w:rPr>
              <w:t>14,783.94</w:t>
            </w:r>
            <w:r>
              <w:rPr>
                <w:rFonts w:hint="eastAsia"/>
                <w:sz w:val="24"/>
              </w:rPr>
              <w:t>万元，同比增长</w:t>
            </w:r>
            <w:r>
              <w:rPr>
                <w:rFonts w:hint="eastAsia"/>
                <w:sz w:val="24"/>
              </w:rPr>
              <w:t>35.19%</w:t>
            </w:r>
            <w:r>
              <w:rPr>
                <w:rFonts w:hint="eastAsia"/>
                <w:sz w:val="24"/>
              </w:rPr>
              <w:t>；综合毛利率</w:t>
            </w:r>
            <w:r>
              <w:rPr>
                <w:rFonts w:hint="eastAsia"/>
                <w:sz w:val="24"/>
              </w:rPr>
              <w:t>63.04%</w:t>
            </w:r>
            <w:r>
              <w:rPr>
                <w:rFonts w:hint="eastAsia"/>
                <w:sz w:val="24"/>
              </w:rPr>
              <w:t>，同比提升</w:t>
            </w:r>
            <w:r>
              <w:rPr>
                <w:rFonts w:hint="eastAsia"/>
                <w:sz w:val="24"/>
              </w:rPr>
              <w:t>1.91</w:t>
            </w:r>
            <w:r>
              <w:rPr>
                <w:rFonts w:hint="eastAsia"/>
                <w:sz w:val="24"/>
              </w:rPr>
              <w:t>个百分点。其中，第三季度单季度实现营业收入</w:t>
            </w:r>
            <w:r>
              <w:rPr>
                <w:rFonts w:hint="eastAsia"/>
                <w:sz w:val="24"/>
              </w:rPr>
              <w:t>21,551.04</w:t>
            </w:r>
            <w:r>
              <w:rPr>
                <w:rFonts w:hint="eastAsia"/>
                <w:sz w:val="24"/>
              </w:rPr>
              <w:t>万元、</w:t>
            </w:r>
            <w:proofErr w:type="gramStart"/>
            <w:r>
              <w:rPr>
                <w:rFonts w:hint="eastAsia"/>
                <w:sz w:val="24"/>
              </w:rPr>
              <w:t>归母净利润</w:t>
            </w:r>
            <w:proofErr w:type="gramEnd"/>
            <w:r>
              <w:rPr>
                <w:rFonts w:hint="eastAsia"/>
                <w:sz w:val="24"/>
              </w:rPr>
              <w:t>6,217.23</w:t>
            </w:r>
            <w:r>
              <w:rPr>
                <w:rFonts w:hint="eastAsia"/>
                <w:sz w:val="24"/>
              </w:rPr>
              <w:t>万元，单季度营收和</w:t>
            </w:r>
            <w:proofErr w:type="gramStart"/>
            <w:r>
              <w:rPr>
                <w:rFonts w:hint="eastAsia"/>
                <w:sz w:val="24"/>
              </w:rPr>
              <w:t>归母净利润</w:t>
            </w:r>
            <w:proofErr w:type="gramEnd"/>
            <w:r>
              <w:rPr>
                <w:rFonts w:hint="eastAsia"/>
                <w:sz w:val="24"/>
              </w:rPr>
              <w:t>继续创历史新高；第三季度营业收入同比增长</w:t>
            </w:r>
            <w:r>
              <w:rPr>
                <w:rFonts w:hint="eastAsia"/>
                <w:sz w:val="24"/>
              </w:rPr>
              <w:t>41.17%</w:t>
            </w:r>
            <w:r>
              <w:rPr>
                <w:rFonts w:hint="eastAsia"/>
                <w:sz w:val="24"/>
              </w:rPr>
              <w:t>、环比增长</w:t>
            </w:r>
            <w:r>
              <w:rPr>
                <w:rFonts w:hint="eastAsia"/>
                <w:sz w:val="24"/>
              </w:rPr>
              <w:t>10.05%</w:t>
            </w:r>
            <w:r>
              <w:rPr>
                <w:rFonts w:hint="eastAsia"/>
                <w:sz w:val="24"/>
              </w:rPr>
              <w:t>，</w:t>
            </w:r>
            <w:proofErr w:type="gramStart"/>
            <w:r>
              <w:rPr>
                <w:rFonts w:hint="eastAsia"/>
                <w:sz w:val="24"/>
              </w:rPr>
              <w:t>归母净利润</w:t>
            </w:r>
            <w:proofErr w:type="gramEnd"/>
            <w:r>
              <w:rPr>
                <w:rFonts w:hint="eastAsia"/>
                <w:sz w:val="24"/>
              </w:rPr>
              <w:t>同比增长</w:t>
            </w:r>
            <w:r>
              <w:rPr>
                <w:rFonts w:hint="eastAsia"/>
                <w:sz w:val="24"/>
              </w:rPr>
              <w:t>80.36%</w:t>
            </w:r>
            <w:r>
              <w:rPr>
                <w:rFonts w:hint="eastAsia"/>
                <w:sz w:val="24"/>
              </w:rPr>
              <w:t>、环比增长</w:t>
            </w:r>
            <w:r>
              <w:rPr>
                <w:rFonts w:hint="eastAsia"/>
                <w:sz w:val="24"/>
              </w:rPr>
              <w:t>16.32%</w:t>
            </w:r>
            <w:r>
              <w:rPr>
                <w:rFonts w:hint="eastAsia"/>
                <w:sz w:val="24"/>
              </w:rPr>
              <w:t>。公司业绩增长的核心驱动，仍是长期坚持的高端化战略与产品结构的持续优化。具体情况如下：</w:t>
            </w:r>
          </w:p>
          <w:p w14:paraId="2A6AE65E" w14:textId="77777777" w:rsidR="003C2CB6" w:rsidRDefault="00C359FC">
            <w:pPr>
              <w:spacing w:line="360" w:lineRule="auto"/>
              <w:ind w:firstLineChars="200" w:firstLine="480"/>
              <w:rPr>
                <w:sz w:val="24"/>
              </w:rPr>
            </w:pPr>
            <w:r>
              <w:rPr>
                <w:rFonts w:hint="eastAsia"/>
                <w:sz w:val="24"/>
              </w:rPr>
              <w:t>1</w:t>
            </w:r>
            <w:r>
              <w:rPr>
                <w:rFonts w:hint="eastAsia"/>
                <w:sz w:val="24"/>
              </w:rPr>
              <w:t>、高端化战略成效持续巩固，“售价越高的产品增长越快”特征显著。</w:t>
            </w:r>
            <w:r>
              <w:rPr>
                <w:rFonts w:hint="eastAsia"/>
                <w:sz w:val="24"/>
              </w:rPr>
              <w:t>2026</w:t>
            </w:r>
            <w:r>
              <w:rPr>
                <w:rFonts w:hint="eastAsia"/>
                <w:sz w:val="24"/>
              </w:rPr>
              <w:t>年前三季度，公司高端产品销售收入同比增长</w:t>
            </w:r>
            <w:r>
              <w:rPr>
                <w:rFonts w:hint="eastAsia"/>
                <w:sz w:val="24"/>
              </w:rPr>
              <w:t>67.96%</w:t>
            </w:r>
            <w:r>
              <w:rPr>
                <w:rFonts w:hint="eastAsia"/>
                <w:sz w:val="24"/>
              </w:rPr>
              <w:t>，高端产品收入占比达</w:t>
            </w:r>
            <w:r>
              <w:rPr>
                <w:rFonts w:hint="eastAsia"/>
                <w:sz w:val="24"/>
              </w:rPr>
              <w:t>40%</w:t>
            </w:r>
            <w:r>
              <w:rPr>
                <w:rFonts w:hint="eastAsia"/>
                <w:sz w:val="24"/>
              </w:rPr>
              <w:t>，同比提高</w:t>
            </w:r>
            <w:r>
              <w:rPr>
                <w:rFonts w:hint="eastAsia"/>
                <w:sz w:val="24"/>
              </w:rPr>
              <w:t>10</w:t>
            </w:r>
            <w:r>
              <w:rPr>
                <w:rFonts w:hint="eastAsia"/>
                <w:sz w:val="24"/>
              </w:rPr>
              <w:t>个百分点；从价格结构看，销售单价</w:t>
            </w:r>
            <w:r>
              <w:rPr>
                <w:rFonts w:hint="eastAsia"/>
                <w:sz w:val="24"/>
              </w:rPr>
              <w:t>3</w:t>
            </w:r>
            <w:r>
              <w:rPr>
                <w:rFonts w:hint="eastAsia"/>
                <w:sz w:val="24"/>
              </w:rPr>
              <w:t>万元以上产品销售额同比增长</w:t>
            </w:r>
            <w:r>
              <w:rPr>
                <w:rFonts w:hint="eastAsia"/>
                <w:sz w:val="24"/>
              </w:rPr>
              <w:t>61.07%</w:t>
            </w:r>
            <w:r>
              <w:rPr>
                <w:rFonts w:hint="eastAsia"/>
                <w:sz w:val="24"/>
              </w:rPr>
              <w:t>，销售单价</w:t>
            </w:r>
            <w:r>
              <w:rPr>
                <w:rFonts w:hint="eastAsia"/>
                <w:sz w:val="24"/>
              </w:rPr>
              <w:t>5</w:t>
            </w:r>
            <w:r>
              <w:rPr>
                <w:rFonts w:hint="eastAsia"/>
                <w:sz w:val="24"/>
              </w:rPr>
              <w:t>万元以上产品销售额同比增长</w:t>
            </w:r>
            <w:r>
              <w:rPr>
                <w:rFonts w:hint="eastAsia"/>
                <w:sz w:val="24"/>
              </w:rPr>
              <w:t>73.50%</w:t>
            </w:r>
            <w:r>
              <w:rPr>
                <w:rFonts w:hint="eastAsia"/>
                <w:sz w:val="24"/>
              </w:rPr>
              <w:t>，产品结构持续向高价值量区间迁移，反映了公司产品的品牌力与市场认可度。</w:t>
            </w:r>
          </w:p>
          <w:p w14:paraId="62147FB6" w14:textId="77777777" w:rsidR="003C2CB6" w:rsidRDefault="00C359FC">
            <w:pPr>
              <w:spacing w:line="360" w:lineRule="auto"/>
              <w:ind w:firstLineChars="200" w:firstLine="480"/>
              <w:rPr>
                <w:sz w:val="24"/>
              </w:rPr>
            </w:pPr>
            <w:r>
              <w:rPr>
                <w:rFonts w:hint="eastAsia"/>
                <w:sz w:val="24"/>
              </w:rPr>
              <w:t>2</w:t>
            </w:r>
            <w:r>
              <w:rPr>
                <w:rFonts w:hint="eastAsia"/>
                <w:sz w:val="24"/>
              </w:rPr>
              <w:t>、核心产品线单季度表现优异。</w:t>
            </w:r>
            <w:r>
              <w:rPr>
                <w:rFonts w:hint="eastAsia"/>
                <w:sz w:val="24"/>
              </w:rPr>
              <w:t>2026</w:t>
            </w:r>
            <w:r>
              <w:rPr>
                <w:rFonts w:hint="eastAsia"/>
                <w:sz w:val="24"/>
              </w:rPr>
              <w:t>年第三季度单季度，公司高分辨率数字示波器持续放量，</w:t>
            </w:r>
            <w:proofErr w:type="gramStart"/>
            <w:r>
              <w:rPr>
                <w:rFonts w:hint="eastAsia"/>
                <w:sz w:val="24"/>
              </w:rPr>
              <w:t>境内营</w:t>
            </w:r>
            <w:proofErr w:type="gramEnd"/>
            <w:r>
              <w:rPr>
                <w:rFonts w:hint="eastAsia"/>
                <w:sz w:val="24"/>
              </w:rPr>
              <w:t>收同比增长</w:t>
            </w:r>
            <w:r>
              <w:rPr>
                <w:rFonts w:hint="eastAsia"/>
                <w:sz w:val="24"/>
              </w:rPr>
              <w:t>51.68%</w:t>
            </w:r>
            <w:r>
              <w:rPr>
                <w:rFonts w:hint="eastAsia"/>
                <w:sz w:val="24"/>
              </w:rPr>
              <w:t>、环比增长</w:t>
            </w:r>
            <w:r>
              <w:rPr>
                <w:rFonts w:hint="eastAsia"/>
                <w:sz w:val="24"/>
              </w:rPr>
              <w:t>10.26%</w:t>
            </w:r>
            <w:r>
              <w:rPr>
                <w:rFonts w:hint="eastAsia"/>
                <w:sz w:val="24"/>
              </w:rPr>
              <w:t>；受益于高速通信数据中心建设带动测试需求持续释放，</w:t>
            </w:r>
            <w:r>
              <w:rPr>
                <w:rFonts w:hint="eastAsia"/>
                <w:sz w:val="24"/>
              </w:rPr>
              <w:t>SNA6000A</w:t>
            </w:r>
            <w:r>
              <w:rPr>
                <w:rFonts w:hint="eastAsia"/>
                <w:sz w:val="24"/>
              </w:rPr>
              <w:t>系列矢量网络分析仪、</w:t>
            </w:r>
            <w:r>
              <w:rPr>
                <w:rFonts w:hint="eastAsia"/>
                <w:sz w:val="24"/>
              </w:rPr>
              <w:t>SMM3000X</w:t>
            </w:r>
            <w:r>
              <w:rPr>
                <w:rFonts w:hint="eastAsia"/>
                <w:sz w:val="24"/>
              </w:rPr>
              <w:t>系列源表以及</w:t>
            </w:r>
            <w:r>
              <w:rPr>
                <w:rFonts w:hint="eastAsia"/>
                <w:sz w:val="24"/>
              </w:rPr>
              <w:t>SPD4000X</w:t>
            </w:r>
            <w:r>
              <w:rPr>
                <w:rFonts w:hint="eastAsia"/>
                <w:sz w:val="24"/>
              </w:rPr>
              <w:t>系列电源第三季度单季度合计收入同比增长</w:t>
            </w:r>
            <w:r>
              <w:rPr>
                <w:rFonts w:hint="eastAsia"/>
                <w:sz w:val="24"/>
              </w:rPr>
              <w:t>507.03%</w:t>
            </w:r>
            <w:r>
              <w:rPr>
                <w:rFonts w:hint="eastAsia"/>
                <w:sz w:val="24"/>
              </w:rPr>
              <w:t>、环比增长</w:t>
            </w:r>
            <w:r>
              <w:rPr>
                <w:rFonts w:hint="eastAsia"/>
                <w:sz w:val="24"/>
              </w:rPr>
              <w:t>60.60%</w:t>
            </w:r>
            <w:r>
              <w:rPr>
                <w:rFonts w:hint="eastAsia"/>
                <w:sz w:val="24"/>
              </w:rPr>
              <w:t>。</w:t>
            </w:r>
          </w:p>
          <w:p w14:paraId="4774419B" w14:textId="77777777" w:rsidR="003C2CB6" w:rsidRDefault="00C359FC">
            <w:pPr>
              <w:spacing w:line="360" w:lineRule="auto"/>
              <w:ind w:firstLineChars="200" w:firstLine="480"/>
              <w:rPr>
                <w:sz w:val="24"/>
              </w:rPr>
            </w:pPr>
            <w:r>
              <w:rPr>
                <w:rFonts w:hint="eastAsia"/>
                <w:sz w:val="24"/>
              </w:rPr>
              <w:t>3</w:t>
            </w:r>
            <w:r>
              <w:rPr>
                <w:rFonts w:hint="eastAsia"/>
                <w:sz w:val="24"/>
              </w:rPr>
              <w:t>、渠道结构持续优化。公司持续加强直销队伍建设，推进各行业典型大客户以及高端产品的销售工作，</w:t>
            </w:r>
            <w:r>
              <w:rPr>
                <w:rFonts w:hint="eastAsia"/>
                <w:sz w:val="24"/>
              </w:rPr>
              <w:t>2026</w:t>
            </w:r>
            <w:r>
              <w:rPr>
                <w:rFonts w:hint="eastAsia"/>
                <w:sz w:val="24"/>
              </w:rPr>
              <w:t>年前三季度直销收入同比增长</w:t>
            </w:r>
            <w:r>
              <w:rPr>
                <w:rFonts w:hint="eastAsia"/>
                <w:sz w:val="24"/>
              </w:rPr>
              <w:t>58.69%</w:t>
            </w:r>
            <w:r>
              <w:rPr>
                <w:rFonts w:hint="eastAsia"/>
                <w:sz w:val="24"/>
              </w:rPr>
              <w:t>。</w:t>
            </w:r>
          </w:p>
          <w:p w14:paraId="5205C501" w14:textId="77777777" w:rsidR="003C2CB6" w:rsidRDefault="00C359FC">
            <w:pPr>
              <w:spacing w:line="360" w:lineRule="auto"/>
              <w:ind w:firstLineChars="200" w:firstLine="480"/>
              <w:rPr>
                <w:sz w:val="24"/>
              </w:rPr>
            </w:pPr>
            <w:r>
              <w:rPr>
                <w:rFonts w:hint="eastAsia"/>
                <w:sz w:val="24"/>
              </w:rPr>
              <w:t>4</w:t>
            </w:r>
            <w:r>
              <w:rPr>
                <w:rFonts w:hint="eastAsia"/>
                <w:sz w:val="24"/>
              </w:rPr>
              <w:t>、盈利能力维持高位水平，费用投入产出</w:t>
            </w:r>
            <w:proofErr w:type="gramStart"/>
            <w:r>
              <w:rPr>
                <w:rFonts w:hint="eastAsia"/>
                <w:sz w:val="24"/>
              </w:rPr>
              <w:t>比持续</w:t>
            </w:r>
            <w:proofErr w:type="gramEnd"/>
            <w:r>
              <w:rPr>
                <w:rFonts w:hint="eastAsia"/>
                <w:sz w:val="24"/>
              </w:rPr>
              <w:t>优化。</w:t>
            </w:r>
            <w:r>
              <w:rPr>
                <w:rFonts w:hint="eastAsia"/>
                <w:sz w:val="24"/>
              </w:rPr>
              <w:t>2026</w:t>
            </w:r>
            <w:r>
              <w:rPr>
                <w:rFonts w:hint="eastAsia"/>
                <w:sz w:val="24"/>
              </w:rPr>
              <w:t>年前三季度，公司综合毛利率</w:t>
            </w:r>
            <w:r>
              <w:rPr>
                <w:rFonts w:hint="eastAsia"/>
                <w:sz w:val="24"/>
              </w:rPr>
              <w:t>63.04%</w:t>
            </w:r>
            <w:r>
              <w:rPr>
                <w:rFonts w:hint="eastAsia"/>
                <w:sz w:val="24"/>
              </w:rPr>
              <w:t>，较上年同期提升</w:t>
            </w:r>
            <w:r>
              <w:rPr>
                <w:rFonts w:hint="eastAsia"/>
                <w:sz w:val="24"/>
              </w:rPr>
              <w:t>1.91</w:t>
            </w:r>
            <w:r>
              <w:rPr>
                <w:rFonts w:hint="eastAsia"/>
                <w:sz w:val="24"/>
              </w:rPr>
              <w:t>个百分点，主要得益于高端产</w:t>
            </w:r>
            <w:r>
              <w:rPr>
                <w:rFonts w:hint="eastAsia"/>
                <w:sz w:val="24"/>
              </w:rPr>
              <w:lastRenderedPageBreak/>
              <w:t>品收入占比抬升与产品结构优化，收入增速明显快于成本增速。研发费用</w:t>
            </w:r>
            <w:r>
              <w:rPr>
                <w:rFonts w:hint="eastAsia"/>
                <w:sz w:val="24"/>
              </w:rPr>
              <w:t>11,255.82</w:t>
            </w:r>
            <w:r>
              <w:rPr>
                <w:rFonts w:hint="eastAsia"/>
                <w:sz w:val="24"/>
              </w:rPr>
              <w:t>万元，同比增长</w:t>
            </w:r>
            <w:r>
              <w:rPr>
                <w:rFonts w:hint="eastAsia"/>
                <w:sz w:val="24"/>
              </w:rPr>
              <w:t>16.00%</w:t>
            </w:r>
            <w:r>
              <w:rPr>
                <w:rFonts w:hint="eastAsia"/>
                <w:sz w:val="24"/>
              </w:rPr>
              <w:t>，研发费用率</w:t>
            </w:r>
            <w:r>
              <w:rPr>
                <w:rFonts w:hint="eastAsia"/>
                <w:sz w:val="24"/>
              </w:rPr>
              <w:t>19.63%</w:t>
            </w:r>
            <w:r>
              <w:rPr>
                <w:rFonts w:hint="eastAsia"/>
                <w:sz w:val="24"/>
              </w:rPr>
              <w:t>，研发投入持续加码；销售费用</w:t>
            </w:r>
            <w:r>
              <w:rPr>
                <w:rFonts w:hint="eastAsia"/>
                <w:sz w:val="24"/>
              </w:rPr>
              <w:t>7,354.91</w:t>
            </w:r>
            <w:r>
              <w:rPr>
                <w:rFonts w:hint="eastAsia"/>
                <w:sz w:val="24"/>
              </w:rPr>
              <w:t>万元，同比增长</w:t>
            </w:r>
            <w:r>
              <w:rPr>
                <w:rFonts w:hint="eastAsia"/>
                <w:sz w:val="24"/>
              </w:rPr>
              <w:t>10.64%</w:t>
            </w:r>
            <w:r>
              <w:rPr>
                <w:rFonts w:hint="eastAsia"/>
                <w:sz w:val="24"/>
              </w:rPr>
              <w:t>，销售费用率由</w:t>
            </w:r>
            <w:r>
              <w:rPr>
                <w:rFonts w:hint="eastAsia"/>
                <w:sz w:val="24"/>
              </w:rPr>
              <w:t>15.41%</w:t>
            </w:r>
            <w:r>
              <w:rPr>
                <w:rFonts w:hint="eastAsia"/>
                <w:sz w:val="24"/>
              </w:rPr>
              <w:t>降至</w:t>
            </w:r>
            <w:r>
              <w:rPr>
                <w:rFonts w:hint="eastAsia"/>
                <w:sz w:val="24"/>
              </w:rPr>
              <w:t>12.83%</w:t>
            </w:r>
            <w:r>
              <w:rPr>
                <w:rFonts w:hint="eastAsia"/>
                <w:sz w:val="24"/>
              </w:rPr>
              <w:t>，同比下降</w:t>
            </w:r>
            <w:r>
              <w:rPr>
                <w:rFonts w:hint="eastAsia"/>
                <w:sz w:val="24"/>
              </w:rPr>
              <w:t>2.58</w:t>
            </w:r>
            <w:r>
              <w:rPr>
                <w:rFonts w:hint="eastAsia"/>
                <w:sz w:val="24"/>
              </w:rPr>
              <w:t>个百分点；管理费用</w:t>
            </w:r>
            <w:r>
              <w:rPr>
                <w:rFonts w:hint="eastAsia"/>
                <w:sz w:val="24"/>
              </w:rPr>
              <w:t>1,377.29</w:t>
            </w:r>
            <w:r>
              <w:rPr>
                <w:rFonts w:hint="eastAsia"/>
                <w:sz w:val="24"/>
              </w:rPr>
              <w:t>万元，同比下降</w:t>
            </w:r>
            <w:r>
              <w:rPr>
                <w:rFonts w:hint="eastAsia"/>
                <w:sz w:val="24"/>
              </w:rPr>
              <w:t>6.06%</w:t>
            </w:r>
            <w:r>
              <w:rPr>
                <w:rFonts w:hint="eastAsia"/>
                <w:sz w:val="24"/>
              </w:rPr>
              <w:t>，管理费用率由</w:t>
            </w:r>
            <w:r>
              <w:rPr>
                <w:rFonts w:hint="eastAsia"/>
                <w:sz w:val="24"/>
              </w:rPr>
              <w:t>3.40%</w:t>
            </w:r>
            <w:r>
              <w:rPr>
                <w:rFonts w:hint="eastAsia"/>
                <w:sz w:val="24"/>
              </w:rPr>
              <w:t>降至</w:t>
            </w:r>
            <w:r>
              <w:rPr>
                <w:rFonts w:hint="eastAsia"/>
                <w:sz w:val="24"/>
              </w:rPr>
              <w:t>2.40%</w:t>
            </w:r>
            <w:r>
              <w:rPr>
                <w:rFonts w:hint="eastAsia"/>
                <w:sz w:val="24"/>
              </w:rPr>
              <w:t>，同比下降</w:t>
            </w:r>
            <w:r>
              <w:rPr>
                <w:rFonts w:hint="eastAsia"/>
                <w:sz w:val="24"/>
              </w:rPr>
              <w:t>1.00</w:t>
            </w:r>
            <w:r>
              <w:rPr>
                <w:rFonts w:hint="eastAsia"/>
                <w:sz w:val="24"/>
              </w:rPr>
              <w:t>个百分点。费用增幅明显低于收入增幅，规模摊薄效应显现，经营效率持续改善。</w:t>
            </w:r>
          </w:p>
          <w:p w14:paraId="17006714" w14:textId="77777777" w:rsidR="003C2CB6" w:rsidRDefault="00C359FC">
            <w:pPr>
              <w:spacing w:line="360" w:lineRule="auto"/>
              <w:ind w:firstLineChars="200" w:firstLine="480"/>
              <w:rPr>
                <w:sz w:val="24"/>
              </w:rPr>
            </w:pPr>
            <w:r>
              <w:rPr>
                <w:rFonts w:hint="eastAsia"/>
                <w:sz w:val="24"/>
              </w:rPr>
              <w:t>5</w:t>
            </w:r>
            <w:r>
              <w:rPr>
                <w:rFonts w:hint="eastAsia"/>
                <w:sz w:val="24"/>
              </w:rPr>
              <w:t>、产品矩阵持续完善，新品推出节奏稳定。公司四大主力产品线已覆盖最高</w:t>
            </w:r>
            <w:r>
              <w:rPr>
                <w:rFonts w:hint="eastAsia"/>
                <w:sz w:val="24"/>
              </w:rPr>
              <w:t>33GHz</w:t>
            </w:r>
            <w:r>
              <w:rPr>
                <w:rFonts w:hint="eastAsia"/>
                <w:sz w:val="24"/>
              </w:rPr>
              <w:t>带宽数字示波器、</w:t>
            </w:r>
            <w:r>
              <w:rPr>
                <w:rFonts w:hint="eastAsia"/>
                <w:sz w:val="24"/>
              </w:rPr>
              <w:t>67GHz</w:t>
            </w:r>
            <w:r>
              <w:rPr>
                <w:rFonts w:hint="eastAsia"/>
                <w:sz w:val="24"/>
              </w:rPr>
              <w:t>矢量网络分析仪、</w:t>
            </w:r>
            <w:r>
              <w:rPr>
                <w:rFonts w:hint="eastAsia"/>
                <w:sz w:val="24"/>
              </w:rPr>
              <w:t>67GHz</w:t>
            </w:r>
            <w:r>
              <w:rPr>
                <w:rFonts w:hint="eastAsia"/>
                <w:sz w:val="24"/>
              </w:rPr>
              <w:t>射频信号源和</w:t>
            </w:r>
            <w:r>
              <w:rPr>
                <w:rFonts w:hint="eastAsia"/>
                <w:sz w:val="24"/>
              </w:rPr>
              <w:t>50GHz</w:t>
            </w:r>
            <w:r>
              <w:rPr>
                <w:rFonts w:hint="eastAsia"/>
                <w:sz w:val="24"/>
              </w:rPr>
              <w:t>频谱分析仪，核心指标上限持续突破。</w:t>
            </w:r>
            <w:r>
              <w:rPr>
                <w:rFonts w:hint="eastAsia"/>
                <w:sz w:val="24"/>
              </w:rPr>
              <w:t>2026</w:t>
            </w:r>
            <w:r>
              <w:rPr>
                <w:rFonts w:hint="eastAsia"/>
                <w:sz w:val="24"/>
              </w:rPr>
              <w:t>年第三季度，公司先后发布</w:t>
            </w:r>
            <w:r>
              <w:rPr>
                <w:rFonts w:hint="eastAsia"/>
                <w:sz w:val="24"/>
              </w:rPr>
              <w:t>33GHz</w:t>
            </w:r>
            <w:r>
              <w:rPr>
                <w:rFonts w:hint="eastAsia"/>
                <w:sz w:val="24"/>
              </w:rPr>
              <w:t>高速示波器、</w:t>
            </w:r>
            <w:r>
              <w:rPr>
                <w:rFonts w:hint="eastAsia"/>
                <w:sz w:val="24"/>
              </w:rPr>
              <w:t>67GHz</w:t>
            </w:r>
            <w:r>
              <w:rPr>
                <w:rFonts w:hint="eastAsia"/>
                <w:sz w:val="24"/>
              </w:rPr>
              <w:t>矢量网络分析仪两款新品，均搭载公司核心自</w:t>
            </w:r>
            <w:proofErr w:type="gramStart"/>
            <w:r>
              <w:rPr>
                <w:rFonts w:hint="eastAsia"/>
                <w:sz w:val="24"/>
              </w:rPr>
              <w:t>研</w:t>
            </w:r>
            <w:proofErr w:type="gramEnd"/>
            <w:r>
              <w:rPr>
                <w:rFonts w:hint="eastAsia"/>
                <w:sz w:val="24"/>
              </w:rPr>
              <w:t>芯片。</w:t>
            </w:r>
            <w:r>
              <w:rPr>
                <w:sz w:val="24"/>
              </w:rPr>
              <w:br/>
            </w:r>
          </w:p>
          <w:p w14:paraId="057F2983" w14:textId="77777777" w:rsidR="003C2CB6" w:rsidRDefault="00C359FC">
            <w:pPr>
              <w:spacing w:line="360" w:lineRule="auto"/>
              <w:rPr>
                <w:sz w:val="24"/>
              </w:rPr>
            </w:pPr>
            <w:r>
              <w:rPr>
                <w:rFonts w:hint="eastAsia"/>
                <w:sz w:val="24"/>
              </w:rPr>
              <w:t>二、常见问题及解答</w:t>
            </w:r>
          </w:p>
          <w:p w14:paraId="7A682DC1" w14:textId="77777777" w:rsidR="003C2CB6" w:rsidRDefault="00C359FC">
            <w:pPr>
              <w:spacing w:line="360" w:lineRule="auto"/>
              <w:ind w:firstLineChars="200" w:firstLine="480"/>
              <w:rPr>
                <w:sz w:val="24"/>
              </w:rPr>
            </w:pPr>
            <w:r>
              <w:rPr>
                <w:rFonts w:hint="eastAsia"/>
                <w:sz w:val="24"/>
              </w:rPr>
              <w:t>Q1</w:t>
            </w:r>
            <w:r>
              <w:rPr>
                <w:rFonts w:hint="eastAsia"/>
                <w:sz w:val="24"/>
              </w:rPr>
              <w:t>：公司三季报显示高端产品收入占比快速提升并呈加速态势，请问高端产品的采购需求主要来自哪些行业或哪类客户？</w:t>
            </w:r>
          </w:p>
          <w:p w14:paraId="09B04D18" w14:textId="77777777" w:rsidR="003C2CB6" w:rsidRDefault="00C359FC">
            <w:pPr>
              <w:spacing w:line="360" w:lineRule="auto"/>
              <w:ind w:firstLineChars="200" w:firstLine="480"/>
              <w:rPr>
                <w:sz w:val="24"/>
              </w:rPr>
            </w:pPr>
            <w:r>
              <w:rPr>
                <w:rFonts w:hint="eastAsia"/>
                <w:sz w:val="24"/>
              </w:rPr>
              <w:t>A1</w:t>
            </w:r>
            <w:r>
              <w:rPr>
                <w:rFonts w:hint="eastAsia"/>
                <w:sz w:val="24"/>
              </w:rPr>
              <w:t>：公司产品广泛应用于通讯、半导体、汽车电子、医疗电子、消费电子、教育科研等领域，下游行业分布广泛。从行业结构看，通信、半导体芯片、人工智能数据中心等投资强度较高领域增长较快，其中高速通信数据中心建设带来的高端测试需求释放最为显著。此外，高速通信数据中心建设亦通过带动产业链上下游相关企业研发与生产投入，进而拉升对测试设备整体的需求。</w:t>
            </w:r>
          </w:p>
          <w:p w14:paraId="49698182" w14:textId="77777777" w:rsidR="003C2CB6" w:rsidRDefault="003C2CB6">
            <w:pPr>
              <w:spacing w:line="360" w:lineRule="auto"/>
              <w:ind w:firstLineChars="200" w:firstLine="480"/>
              <w:rPr>
                <w:sz w:val="24"/>
              </w:rPr>
            </w:pPr>
          </w:p>
          <w:p w14:paraId="4BEE2E3B" w14:textId="33F37C5E" w:rsidR="003C2CB6" w:rsidRDefault="005C180F">
            <w:pPr>
              <w:spacing w:line="360" w:lineRule="auto"/>
              <w:ind w:firstLineChars="200" w:firstLine="480"/>
              <w:rPr>
                <w:sz w:val="24"/>
              </w:rPr>
            </w:pPr>
            <w:r>
              <w:rPr>
                <w:rFonts w:hint="eastAsia"/>
                <w:sz w:val="24"/>
              </w:rPr>
              <w:t>Q</w:t>
            </w:r>
            <w:r>
              <w:rPr>
                <w:sz w:val="24"/>
              </w:rPr>
              <w:t>2</w:t>
            </w:r>
            <w:r w:rsidR="00C359FC">
              <w:rPr>
                <w:rFonts w:hint="eastAsia"/>
                <w:sz w:val="24"/>
              </w:rPr>
              <w:t>：中长期看公司核心成长逻辑是否有变化？在不考虑数据中心的情况下，中高端替代能否继续推动增速提升？</w:t>
            </w:r>
          </w:p>
          <w:p w14:paraId="0B7063E8" w14:textId="7C72FC53" w:rsidR="003C2CB6" w:rsidRDefault="005C180F">
            <w:pPr>
              <w:spacing w:line="360" w:lineRule="auto"/>
              <w:ind w:firstLineChars="200" w:firstLine="480"/>
              <w:rPr>
                <w:sz w:val="24"/>
              </w:rPr>
            </w:pPr>
            <w:r>
              <w:rPr>
                <w:rFonts w:hint="eastAsia"/>
                <w:sz w:val="24"/>
              </w:rPr>
              <w:t>A</w:t>
            </w:r>
            <w:r>
              <w:rPr>
                <w:sz w:val="24"/>
              </w:rPr>
              <w:t>2</w:t>
            </w:r>
            <w:r w:rsidR="00C359FC">
              <w:rPr>
                <w:rFonts w:hint="eastAsia"/>
                <w:sz w:val="24"/>
              </w:rPr>
              <w:t>：公司核心成长逻辑未发生变化。公司是全球极少数具有数字示波器、矢量网络分析仪、信号发生器和频谱分析仪四大通用电子测试测量仪器主力产品研发、生产和销售能力的通用电子测试测量仪器厂家，同时也是全球极少数同时拥有这四大主力产品并且四大主力产品全线进入高端领域的企业。自主品牌“</w:t>
            </w:r>
            <w:r w:rsidR="00C359FC">
              <w:rPr>
                <w:rFonts w:hint="eastAsia"/>
                <w:sz w:val="24"/>
              </w:rPr>
              <w:t>SIGLENT</w:t>
            </w:r>
            <w:r w:rsidR="00C359FC">
              <w:rPr>
                <w:rFonts w:hint="eastAsia"/>
                <w:sz w:val="24"/>
              </w:rPr>
              <w:t>”已成为全球知名的通用电子测试测量仪器品牌，产品及服务遍及全球</w:t>
            </w:r>
            <w:r w:rsidR="00C359FC">
              <w:rPr>
                <w:rFonts w:hint="eastAsia"/>
                <w:sz w:val="24"/>
              </w:rPr>
              <w:t>80</w:t>
            </w:r>
            <w:r w:rsidR="00C359FC">
              <w:rPr>
                <w:rFonts w:hint="eastAsia"/>
                <w:sz w:val="24"/>
              </w:rPr>
              <w:t>多个国家和地区，该优势在过去</w:t>
            </w:r>
            <w:r>
              <w:rPr>
                <w:rFonts w:hint="eastAsia"/>
                <w:sz w:val="24"/>
              </w:rPr>
              <w:t>几年</w:t>
            </w:r>
            <w:r w:rsidR="00C359FC">
              <w:rPr>
                <w:rFonts w:hint="eastAsia"/>
                <w:sz w:val="24"/>
              </w:rPr>
              <w:t>持续强化，公司高端产品的客</w:t>
            </w:r>
            <w:r w:rsidR="00C359FC">
              <w:rPr>
                <w:rFonts w:hint="eastAsia"/>
                <w:sz w:val="24"/>
              </w:rPr>
              <w:lastRenderedPageBreak/>
              <w:t>户包括海内外各行业知名企业。</w:t>
            </w:r>
          </w:p>
          <w:p w14:paraId="71B55FEB" w14:textId="13504C95" w:rsidR="003C2CB6" w:rsidRDefault="00C359FC">
            <w:pPr>
              <w:spacing w:line="360" w:lineRule="auto"/>
              <w:ind w:firstLineChars="200" w:firstLine="480"/>
              <w:rPr>
                <w:sz w:val="24"/>
              </w:rPr>
            </w:pPr>
            <w:r>
              <w:rPr>
                <w:rFonts w:hint="eastAsia"/>
                <w:sz w:val="24"/>
              </w:rPr>
              <w:t>增量来源不仅包括特定系列高端矢量网络分析仪、源表等与高速通信数据中心建设需求高度相关的产品，截至三季度，公司整体增长的很大一部分仍来自高端数字示波器、高端矢量网络分析仪、高端频谱分析仪、高端射频微波信号发生器及高端任意波形发生器等用于广泛下游行业的高端产品。</w:t>
            </w:r>
          </w:p>
          <w:p w14:paraId="562DB3C1" w14:textId="77777777" w:rsidR="003C2CB6" w:rsidRDefault="00C359FC">
            <w:pPr>
              <w:spacing w:line="360" w:lineRule="auto"/>
              <w:ind w:firstLineChars="200" w:firstLine="480"/>
              <w:rPr>
                <w:sz w:val="24"/>
              </w:rPr>
            </w:pPr>
            <w:r>
              <w:rPr>
                <w:rFonts w:hint="eastAsia"/>
                <w:sz w:val="24"/>
              </w:rPr>
              <w:t>同时，公司仍在持续拓展和丰富中高端产品线，高度重视自主研发与技术创新，多年来保持高强度研发投入，持续推动核心部件技术的自主可控。</w:t>
            </w:r>
            <w:r>
              <w:rPr>
                <w:rFonts w:hint="eastAsia"/>
                <w:sz w:val="24"/>
              </w:rPr>
              <w:t>2026</w:t>
            </w:r>
            <w:r>
              <w:rPr>
                <w:rFonts w:hint="eastAsia"/>
                <w:sz w:val="24"/>
              </w:rPr>
              <w:t>年前三季度研发费用</w:t>
            </w:r>
            <w:r>
              <w:rPr>
                <w:rFonts w:hint="eastAsia"/>
                <w:sz w:val="24"/>
              </w:rPr>
              <w:t>11,255.82</w:t>
            </w:r>
            <w:r>
              <w:rPr>
                <w:rFonts w:hint="eastAsia"/>
                <w:sz w:val="24"/>
              </w:rPr>
              <w:t>万元，同比增长</w:t>
            </w:r>
            <w:r>
              <w:rPr>
                <w:rFonts w:hint="eastAsia"/>
                <w:sz w:val="24"/>
              </w:rPr>
              <w:t>16.00%</w:t>
            </w:r>
            <w:r>
              <w:rPr>
                <w:rFonts w:hint="eastAsia"/>
                <w:sz w:val="24"/>
              </w:rPr>
              <w:t>，研发费用率</w:t>
            </w:r>
            <w:r>
              <w:rPr>
                <w:rFonts w:hint="eastAsia"/>
                <w:sz w:val="24"/>
              </w:rPr>
              <w:t>19.63%</w:t>
            </w:r>
            <w:r>
              <w:rPr>
                <w:rFonts w:hint="eastAsia"/>
                <w:sz w:val="24"/>
              </w:rPr>
              <w:t>；截至</w:t>
            </w:r>
            <w:r>
              <w:rPr>
                <w:rFonts w:hint="eastAsia"/>
                <w:sz w:val="24"/>
              </w:rPr>
              <w:t>2026</w:t>
            </w:r>
            <w:r>
              <w:rPr>
                <w:rFonts w:hint="eastAsia"/>
                <w:sz w:val="24"/>
              </w:rPr>
              <w:t>年上半年，公司累计获得有效知识产权</w:t>
            </w:r>
            <w:r>
              <w:rPr>
                <w:rFonts w:hint="eastAsia"/>
                <w:sz w:val="24"/>
              </w:rPr>
              <w:t>495</w:t>
            </w:r>
            <w:r>
              <w:rPr>
                <w:rFonts w:hint="eastAsia"/>
                <w:sz w:val="24"/>
              </w:rPr>
              <w:t>项，其中发明专利</w:t>
            </w:r>
            <w:r>
              <w:rPr>
                <w:rFonts w:hint="eastAsia"/>
                <w:sz w:val="24"/>
              </w:rPr>
              <w:t>293</w:t>
            </w:r>
            <w:r>
              <w:rPr>
                <w:rFonts w:hint="eastAsia"/>
                <w:sz w:val="24"/>
              </w:rPr>
              <w:t>项、实用新型专利</w:t>
            </w:r>
            <w:r>
              <w:rPr>
                <w:rFonts w:hint="eastAsia"/>
                <w:sz w:val="24"/>
              </w:rPr>
              <w:t>103</w:t>
            </w:r>
            <w:r>
              <w:rPr>
                <w:rFonts w:hint="eastAsia"/>
                <w:sz w:val="24"/>
              </w:rPr>
              <w:t>项、外观设计专利</w:t>
            </w:r>
            <w:r>
              <w:rPr>
                <w:rFonts w:hint="eastAsia"/>
                <w:sz w:val="24"/>
              </w:rPr>
              <w:t>58</w:t>
            </w:r>
            <w:r>
              <w:rPr>
                <w:rFonts w:hint="eastAsia"/>
                <w:sz w:val="24"/>
              </w:rPr>
              <w:t>项、软件著作权</w:t>
            </w:r>
            <w:r>
              <w:rPr>
                <w:rFonts w:hint="eastAsia"/>
                <w:sz w:val="24"/>
              </w:rPr>
              <w:t>41</w:t>
            </w:r>
            <w:r>
              <w:rPr>
                <w:rFonts w:hint="eastAsia"/>
                <w:sz w:val="24"/>
              </w:rPr>
              <w:t>项。依托高端化发展战略实现产品不断迭代，公司形成了较强的技术护城河。</w:t>
            </w:r>
          </w:p>
          <w:p w14:paraId="3255D6D8" w14:textId="77777777" w:rsidR="003C2CB6" w:rsidRDefault="00C359FC">
            <w:pPr>
              <w:spacing w:line="360" w:lineRule="auto"/>
              <w:ind w:firstLineChars="200" w:firstLine="480"/>
              <w:rPr>
                <w:sz w:val="24"/>
              </w:rPr>
            </w:pPr>
            <w:r>
              <w:rPr>
                <w:rFonts w:hint="eastAsia"/>
                <w:sz w:val="24"/>
              </w:rPr>
              <w:t>综合来看，</w:t>
            </w:r>
            <w:proofErr w:type="gramStart"/>
            <w:r>
              <w:rPr>
                <w:rFonts w:hint="eastAsia"/>
                <w:sz w:val="24"/>
              </w:rPr>
              <w:t>算力中心</w:t>
            </w:r>
            <w:proofErr w:type="gramEnd"/>
            <w:r>
              <w:rPr>
                <w:rFonts w:hint="eastAsia"/>
                <w:sz w:val="24"/>
              </w:rPr>
              <w:t>建设相当于在原有增长引擎之上叠加一个额外的增长引擎，公司对中长期保持较快增长具有信心，将继续坚持高端化战略和创新驱动，推动经营业绩实现高质量、可持续增长。</w:t>
            </w:r>
          </w:p>
          <w:p w14:paraId="4F9B7061" w14:textId="77777777" w:rsidR="003C2CB6" w:rsidRDefault="003C2CB6">
            <w:pPr>
              <w:spacing w:line="360" w:lineRule="auto"/>
              <w:ind w:firstLineChars="200" w:firstLine="480"/>
              <w:rPr>
                <w:sz w:val="24"/>
              </w:rPr>
            </w:pPr>
          </w:p>
          <w:p w14:paraId="39E7B626" w14:textId="7E8E42E2" w:rsidR="003C2CB6" w:rsidRDefault="005C180F">
            <w:pPr>
              <w:spacing w:line="360" w:lineRule="auto"/>
              <w:ind w:firstLineChars="200" w:firstLine="480"/>
              <w:rPr>
                <w:sz w:val="24"/>
              </w:rPr>
            </w:pPr>
            <w:r>
              <w:rPr>
                <w:rFonts w:hint="eastAsia"/>
                <w:sz w:val="24"/>
              </w:rPr>
              <w:t>Q</w:t>
            </w:r>
            <w:r>
              <w:rPr>
                <w:sz w:val="24"/>
              </w:rPr>
              <w:t>3</w:t>
            </w:r>
            <w:r w:rsidR="00C359FC">
              <w:rPr>
                <w:rFonts w:hint="eastAsia"/>
                <w:sz w:val="24"/>
              </w:rPr>
              <w:t>：在当前订单较为充足的情况下，公司产能储备目前处于什么状态，对明年是否有明确的产能计划？马来西亚工厂目前的产能处于什么状态？</w:t>
            </w:r>
          </w:p>
          <w:p w14:paraId="488EF396" w14:textId="18699D56" w:rsidR="003C2CB6" w:rsidRDefault="005C180F">
            <w:pPr>
              <w:spacing w:line="360" w:lineRule="auto"/>
              <w:ind w:firstLineChars="200" w:firstLine="480"/>
              <w:rPr>
                <w:sz w:val="24"/>
              </w:rPr>
            </w:pPr>
            <w:r>
              <w:rPr>
                <w:rFonts w:hint="eastAsia"/>
                <w:sz w:val="24"/>
              </w:rPr>
              <w:t>A</w:t>
            </w:r>
            <w:r>
              <w:rPr>
                <w:sz w:val="24"/>
              </w:rPr>
              <w:t>3</w:t>
            </w:r>
            <w:r w:rsidR="00C359FC">
              <w:rPr>
                <w:rFonts w:hint="eastAsia"/>
                <w:sz w:val="24"/>
              </w:rPr>
              <w:t>：公司正在为需求旺盛的产品进行产能储备。针对上述情况，公司近几个月从</w:t>
            </w:r>
            <w:r>
              <w:rPr>
                <w:rFonts w:hint="eastAsia"/>
                <w:sz w:val="24"/>
              </w:rPr>
              <w:t>四个</w:t>
            </w:r>
            <w:r w:rsidR="00C359FC">
              <w:rPr>
                <w:rFonts w:hint="eastAsia"/>
                <w:sz w:val="24"/>
              </w:rPr>
              <w:t>方面着力改善：一是设备</w:t>
            </w:r>
            <w:proofErr w:type="gramStart"/>
            <w:r w:rsidR="00C359FC">
              <w:rPr>
                <w:rFonts w:hint="eastAsia"/>
                <w:sz w:val="24"/>
              </w:rPr>
              <w:t>与产线方面</w:t>
            </w:r>
            <w:proofErr w:type="gramEnd"/>
            <w:r w:rsidR="00C359FC">
              <w:rPr>
                <w:rFonts w:hint="eastAsia"/>
                <w:sz w:val="24"/>
              </w:rPr>
              <w:t>，持续购买新设备、增加新产线，并同步扩充测试工位与生产调试人员的配置。二是供应链方面，持续提升下游供应商的原材料供应能力，针对长周期物料提前锁定产能与交期。三是计划方面，提前数月做好相关产品的生产准备计划与目标安排。四是需求协同方面，及时跟进掌握客户测试验证与放量节奏</w:t>
            </w:r>
            <w:r w:rsidR="00D83075">
              <w:rPr>
                <w:rFonts w:hint="eastAsia"/>
                <w:sz w:val="24"/>
              </w:rPr>
              <w:t>，使需求侧的变化能够更早传导至物料与生产安排。此外，由于公司生产</w:t>
            </w:r>
            <w:r w:rsidR="00C359FC">
              <w:rPr>
                <w:rFonts w:hint="eastAsia"/>
                <w:sz w:val="24"/>
              </w:rPr>
              <w:t>不属于重资产投入，扩产周期相对灵活可控。</w:t>
            </w:r>
          </w:p>
          <w:p w14:paraId="2DDC91A7" w14:textId="77777777" w:rsidR="003C2CB6" w:rsidRDefault="00C359FC">
            <w:pPr>
              <w:spacing w:line="360" w:lineRule="auto"/>
              <w:ind w:firstLineChars="200" w:firstLine="480"/>
              <w:rPr>
                <w:sz w:val="24"/>
              </w:rPr>
            </w:pPr>
            <w:r>
              <w:rPr>
                <w:rFonts w:hint="eastAsia"/>
                <w:sz w:val="24"/>
              </w:rPr>
              <w:t>马来西亚生产基地已于</w:t>
            </w:r>
            <w:r>
              <w:rPr>
                <w:rFonts w:hint="eastAsia"/>
                <w:sz w:val="24"/>
              </w:rPr>
              <w:t>2025</w:t>
            </w:r>
            <w:r>
              <w:rPr>
                <w:rFonts w:hint="eastAsia"/>
                <w:sz w:val="24"/>
              </w:rPr>
              <w:t>年</w:t>
            </w:r>
            <w:r>
              <w:rPr>
                <w:rFonts w:hint="eastAsia"/>
                <w:sz w:val="24"/>
              </w:rPr>
              <w:t>4</w:t>
            </w:r>
            <w:r>
              <w:rPr>
                <w:rFonts w:hint="eastAsia"/>
                <w:sz w:val="24"/>
              </w:rPr>
              <w:t>月正式投产，目前处于满产状态，产能及供货能力已得到进一步提高，有助于提升公司对海外市场的快速响应能力和订单交付效率。本地化产能布局能更好地提升公司在重点区域的客户服务能力与市场竞争力，为公司海外业务的持续稳健发展提供有力保障。</w:t>
            </w:r>
          </w:p>
          <w:p w14:paraId="088E1F23" w14:textId="77777777" w:rsidR="003C2CB6" w:rsidRDefault="003C2CB6">
            <w:pPr>
              <w:spacing w:line="360" w:lineRule="auto"/>
              <w:ind w:firstLineChars="200" w:firstLine="480"/>
              <w:rPr>
                <w:sz w:val="24"/>
              </w:rPr>
            </w:pPr>
          </w:p>
          <w:p w14:paraId="4F4D3E55" w14:textId="32A8CBB8" w:rsidR="003C2CB6" w:rsidRDefault="00C359FC">
            <w:pPr>
              <w:spacing w:line="360" w:lineRule="auto"/>
              <w:ind w:firstLineChars="200" w:firstLine="480"/>
              <w:rPr>
                <w:sz w:val="24"/>
              </w:rPr>
            </w:pPr>
            <w:r>
              <w:rPr>
                <w:rFonts w:hint="eastAsia"/>
                <w:sz w:val="24"/>
              </w:rPr>
              <w:t>Q</w:t>
            </w:r>
            <w:r w:rsidR="005C180F">
              <w:rPr>
                <w:sz w:val="24"/>
              </w:rPr>
              <w:t>4</w:t>
            </w:r>
            <w:r>
              <w:rPr>
                <w:rFonts w:hint="eastAsia"/>
                <w:sz w:val="24"/>
              </w:rPr>
              <w:t>：公司采样示波器目前的产品进展如何，明年的产品规划是什么？</w:t>
            </w:r>
          </w:p>
          <w:p w14:paraId="6E0A15B7" w14:textId="0BEA4B34" w:rsidR="003C2CB6" w:rsidRDefault="00C359FC" w:rsidP="005C180F">
            <w:pPr>
              <w:spacing w:line="360" w:lineRule="auto"/>
              <w:ind w:firstLineChars="200" w:firstLine="480"/>
              <w:rPr>
                <w:sz w:val="24"/>
              </w:rPr>
            </w:pPr>
            <w:r>
              <w:rPr>
                <w:rFonts w:hint="eastAsia"/>
                <w:sz w:val="24"/>
              </w:rPr>
              <w:t>A</w:t>
            </w:r>
            <w:r w:rsidR="005C180F">
              <w:rPr>
                <w:sz w:val="24"/>
              </w:rPr>
              <w:t>4</w:t>
            </w:r>
            <w:r>
              <w:rPr>
                <w:rFonts w:hint="eastAsia"/>
                <w:sz w:val="24"/>
              </w:rPr>
              <w:t>：采样示波器与实时示波器在整机技术、软件平台等方面类似，差异主要在采样方式等</w:t>
            </w:r>
            <w:r w:rsidR="00D83075">
              <w:rPr>
                <w:rFonts w:hint="eastAsia"/>
                <w:sz w:val="24"/>
              </w:rPr>
              <w:t>方面。公司已有采样示波器所需的等效采样等技术，具备相关技术基础，</w:t>
            </w:r>
            <w:r>
              <w:rPr>
                <w:rFonts w:hint="eastAsia"/>
                <w:sz w:val="24"/>
              </w:rPr>
              <w:t>整机研发进度正常推进。</w:t>
            </w:r>
            <w:proofErr w:type="gramStart"/>
            <w:r>
              <w:rPr>
                <w:rFonts w:hint="eastAsia"/>
                <w:sz w:val="24"/>
              </w:rPr>
              <w:t>下</w:t>
            </w:r>
            <w:bookmarkStart w:id="1" w:name="_GoBack"/>
            <w:bookmarkEnd w:id="1"/>
            <w:r>
              <w:rPr>
                <w:rFonts w:hint="eastAsia"/>
                <w:sz w:val="24"/>
              </w:rPr>
              <w:t>游对</w:t>
            </w:r>
            <w:proofErr w:type="gramEnd"/>
            <w:r>
              <w:rPr>
                <w:rFonts w:hint="eastAsia"/>
                <w:sz w:val="24"/>
              </w:rPr>
              <w:t>采样示波器的需求较为旺盛，公司希望在抓住当前行业市场机会的同时，也能够将其作为数字示波器产品矩阵的长线品类进行布局和维护。</w:t>
            </w:r>
            <w:r>
              <w:rPr>
                <w:rFonts w:hint="eastAsia"/>
                <w:sz w:val="24"/>
              </w:rPr>
              <w:t>2027</w:t>
            </w:r>
            <w:r>
              <w:rPr>
                <w:rFonts w:hint="eastAsia"/>
                <w:sz w:val="24"/>
              </w:rPr>
              <w:t>年公司计划将采样示波器培育为新的增长引擎之一。</w:t>
            </w:r>
          </w:p>
        </w:tc>
      </w:tr>
    </w:tbl>
    <w:p w14:paraId="63475C9D" w14:textId="77777777" w:rsidR="003C2CB6" w:rsidRDefault="003C2CB6"/>
    <w:sectPr w:rsidR="003C2CB6">
      <w:headerReference w:type="default" r:id="rId7"/>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EB8018" w14:textId="77777777" w:rsidR="007A28AA" w:rsidRDefault="007A28AA">
      <w:r>
        <w:separator/>
      </w:r>
    </w:p>
  </w:endnote>
  <w:endnote w:type="continuationSeparator" w:id="0">
    <w:p w14:paraId="6C5A5C7C" w14:textId="77777777" w:rsidR="007A28AA" w:rsidRDefault="007A2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FFA57" w14:textId="77777777" w:rsidR="003C2CB6" w:rsidRDefault="003C2CB6">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CEDF03" w14:textId="77777777" w:rsidR="007A28AA" w:rsidRDefault="007A28AA">
      <w:r>
        <w:separator/>
      </w:r>
    </w:p>
  </w:footnote>
  <w:footnote w:type="continuationSeparator" w:id="0">
    <w:p w14:paraId="66BF163E" w14:textId="77777777" w:rsidR="007A28AA" w:rsidRDefault="007A2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40F36" w14:textId="77777777" w:rsidR="003C2CB6" w:rsidRDefault="003C2CB6">
    <w:pPr>
      <w:pStyle w:val="a9"/>
      <w:pBdr>
        <w:bottom w:val="none" w:sz="0" w:space="0" w:color="auto"/>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9BC"/>
    <w:rsid w:val="BFB3E010"/>
    <w:rsid w:val="EBFEBDC3"/>
    <w:rsid w:val="FFBB51FF"/>
    <w:rsid w:val="00001D2D"/>
    <w:rsid w:val="00006CFA"/>
    <w:rsid w:val="000108DF"/>
    <w:rsid w:val="00010C04"/>
    <w:rsid w:val="0001137C"/>
    <w:rsid w:val="00012802"/>
    <w:rsid w:val="00012D00"/>
    <w:rsid w:val="0001392A"/>
    <w:rsid w:val="0001509B"/>
    <w:rsid w:val="00015915"/>
    <w:rsid w:val="00016F33"/>
    <w:rsid w:val="000207F0"/>
    <w:rsid w:val="00020C91"/>
    <w:rsid w:val="000220C0"/>
    <w:rsid w:val="0002224B"/>
    <w:rsid w:val="0002563C"/>
    <w:rsid w:val="00025F83"/>
    <w:rsid w:val="00027453"/>
    <w:rsid w:val="00027509"/>
    <w:rsid w:val="0003030A"/>
    <w:rsid w:val="0003076F"/>
    <w:rsid w:val="0003092C"/>
    <w:rsid w:val="0003379A"/>
    <w:rsid w:val="00033A71"/>
    <w:rsid w:val="00034B32"/>
    <w:rsid w:val="00035B98"/>
    <w:rsid w:val="00036C7F"/>
    <w:rsid w:val="00041AC3"/>
    <w:rsid w:val="00042777"/>
    <w:rsid w:val="00043072"/>
    <w:rsid w:val="00044CFF"/>
    <w:rsid w:val="0004718B"/>
    <w:rsid w:val="000524CA"/>
    <w:rsid w:val="000540CE"/>
    <w:rsid w:val="00054AC3"/>
    <w:rsid w:val="00060DCA"/>
    <w:rsid w:val="00063BE0"/>
    <w:rsid w:val="000650D4"/>
    <w:rsid w:val="00070BDB"/>
    <w:rsid w:val="00070D04"/>
    <w:rsid w:val="00071324"/>
    <w:rsid w:val="00071B9C"/>
    <w:rsid w:val="00072F55"/>
    <w:rsid w:val="000739C6"/>
    <w:rsid w:val="000744D9"/>
    <w:rsid w:val="00075434"/>
    <w:rsid w:val="00076F7A"/>
    <w:rsid w:val="00077472"/>
    <w:rsid w:val="000800A8"/>
    <w:rsid w:val="00081B4D"/>
    <w:rsid w:val="00084872"/>
    <w:rsid w:val="00084F09"/>
    <w:rsid w:val="00085A29"/>
    <w:rsid w:val="000905E5"/>
    <w:rsid w:val="000906B0"/>
    <w:rsid w:val="0009077C"/>
    <w:rsid w:val="000907C3"/>
    <w:rsid w:val="0009088F"/>
    <w:rsid w:val="00090A1C"/>
    <w:rsid w:val="00091277"/>
    <w:rsid w:val="00092089"/>
    <w:rsid w:val="00094275"/>
    <w:rsid w:val="0009546A"/>
    <w:rsid w:val="000958F1"/>
    <w:rsid w:val="000959AF"/>
    <w:rsid w:val="00096BD4"/>
    <w:rsid w:val="00097A53"/>
    <w:rsid w:val="00097C35"/>
    <w:rsid w:val="000A1834"/>
    <w:rsid w:val="000A1849"/>
    <w:rsid w:val="000A1CC7"/>
    <w:rsid w:val="000A2AC6"/>
    <w:rsid w:val="000A33B0"/>
    <w:rsid w:val="000A3534"/>
    <w:rsid w:val="000A51CC"/>
    <w:rsid w:val="000A541B"/>
    <w:rsid w:val="000A54F4"/>
    <w:rsid w:val="000A6DE6"/>
    <w:rsid w:val="000A6EB7"/>
    <w:rsid w:val="000B1723"/>
    <w:rsid w:val="000B19DD"/>
    <w:rsid w:val="000B1AF7"/>
    <w:rsid w:val="000B2C71"/>
    <w:rsid w:val="000B64D7"/>
    <w:rsid w:val="000B69A5"/>
    <w:rsid w:val="000B7444"/>
    <w:rsid w:val="000B7F2C"/>
    <w:rsid w:val="000C02F2"/>
    <w:rsid w:val="000C0DB0"/>
    <w:rsid w:val="000C148E"/>
    <w:rsid w:val="000C20DB"/>
    <w:rsid w:val="000C2210"/>
    <w:rsid w:val="000C2262"/>
    <w:rsid w:val="000C234D"/>
    <w:rsid w:val="000C2CDF"/>
    <w:rsid w:val="000C3C0F"/>
    <w:rsid w:val="000C45C2"/>
    <w:rsid w:val="000C4FEB"/>
    <w:rsid w:val="000C6D25"/>
    <w:rsid w:val="000D04C7"/>
    <w:rsid w:val="000D18A3"/>
    <w:rsid w:val="000D1C50"/>
    <w:rsid w:val="000D1F04"/>
    <w:rsid w:val="000D2064"/>
    <w:rsid w:val="000D5A43"/>
    <w:rsid w:val="000D6C22"/>
    <w:rsid w:val="000D7463"/>
    <w:rsid w:val="000D7B74"/>
    <w:rsid w:val="000E10BB"/>
    <w:rsid w:val="000E21F3"/>
    <w:rsid w:val="000E5FCC"/>
    <w:rsid w:val="000E686E"/>
    <w:rsid w:val="000E75B6"/>
    <w:rsid w:val="000E7DFE"/>
    <w:rsid w:val="000F021E"/>
    <w:rsid w:val="000F084B"/>
    <w:rsid w:val="000F1760"/>
    <w:rsid w:val="000F1F69"/>
    <w:rsid w:val="000F1F6B"/>
    <w:rsid w:val="000F26D6"/>
    <w:rsid w:val="000F4489"/>
    <w:rsid w:val="000F5FD4"/>
    <w:rsid w:val="000F625B"/>
    <w:rsid w:val="000F6AA6"/>
    <w:rsid w:val="0010000B"/>
    <w:rsid w:val="00102D19"/>
    <w:rsid w:val="001035FD"/>
    <w:rsid w:val="001057A4"/>
    <w:rsid w:val="00105AB3"/>
    <w:rsid w:val="001063B7"/>
    <w:rsid w:val="00106882"/>
    <w:rsid w:val="001071E4"/>
    <w:rsid w:val="00107963"/>
    <w:rsid w:val="0011286C"/>
    <w:rsid w:val="0011402F"/>
    <w:rsid w:val="00114371"/>
    <w:rsid w:val="00117229"/>
    <w:rsid w:val="00120030"/>
    <w:rsid w:val="001220A6"/>
    <w:rsid w:val="001230EE"/>
    <w:rsid w:val="00123271"/>
    <w:rsid w:val="00131AF4"/>
    <w:rsid w:val="00132408"/>
    <w:rsid w:val="0013240D"/>
    <w:rsid w:val="001326E6"/>
    <w:rsid w:val="00135D8F"/>
    <w:rsid w:val="00137C9D"/>
    <w:rsid w:val="0014120D"/>
    <w:rsid w:val="0014189D"/>
    <w:rsid w:val="00143637"/>
    <w:rsid w:val="00145003"/>
    <w:rsid w:val="0014523F"/>
    <w:rsid w:val="0014776D"/>
    <w:rsid w:val="001527F3"/>
    <w:rsid w:val="00152F1B"/>
    <w:rsid w:val="00154082"/>
    <w:rsid w:val="0015555D"/>
    <w:rsid w:val="0015743F"/>
    <w:rsid w:val="0016018A"/>
    <w:rsid w:val="00163134"/>
    <w:rsid w:val="00163948"/>
    <w:rsid w:val="00163BF3"/>
    <w:rsid w:val="00164573"/>
    <w:rsid w:val="00165FB6"/>
    <w:rsid w:val="00167C75"/>
    <w:rsid w:val="00167DE1"/>
    <w:rsid w:val="0017193B"/>
    <w:rsid w:val="00172095"/>
    <w:rsid w:val="001757CF"/>
    <w:rsid w:val="001762A7"/>
    <w:rsid w:val="00176421"/>
    <w:rsid w:val="00176993"/>
    <w:rsid w:val="00184A14"/>
    <w:rsid w:val="00184FBB"/>
    <w:rsid w:val="00185732"/>
    <w:rsid w:val="001866DC"/>
    <w:rsid w:val="001873C5"/>
    <w:rsid w:val="00191542"/>
    <w:rsid w:val="00194FE8"/>
    <w:rsid w:val="001971B7"/>
    <w:rsid w:val="001A1719"/>
    <w:rsid w:val="001A18F6"/>
    <w:rsid w:val="001A28DC"/>
    <w:rsid w:val="001A36D0"/>
    <w:rsid w:val="001A3D41"/>
    <w:rsid w:val="001A6960"/>
    <w:rsid w:val="001A75CE"/>
    <w:rsid w:val="001A783B"/>
    <w:rsid w:val="001B115E"/>
    <w:rsid w:val="001B186F"/>
    <w:rsid w:val="001B1D6E"/>
    <w:rsid w:val="001B51EF"/>
    <w:rsid w:val="001B5339"/>
    <w:rsid w:val="001B5E00"/>
    <w:rsid w:val="001B7871"/>
    <w:rsid w:val="001B7971"/>
    <w:rsid w:val="001C1FF9"/>
    <w:rsid w:val="001C2316"/>
    <w:rsid w:val="001C315E"/>
    <w:rsid w:val="001C3A12"/>
    <w:rsid w:val="001C4DA1"/>
    <w:rsid w:val="001C5BC0"/>
    <w:rsid w:val="001D0B7C"/>
    <w:rsid w:val="001D0E24"/>
    <w:rsid w:val="001D12E8"/>
    <w:rsid w:val="001D1AFB"/>
    <w:rsid w:val="001D35D9"/>
    <w:rsid w:val="001D408C"/>
    <w:rsid w:val="001D44CD"/>
    <w:rsid w:val="001D6879"/>
    <w:rsid w:val="001E078C"/>
    <w:rsid w:val="001E1C39"/>
    <w:rsid w:val="001E1F54"/>
    <w:rsid w:val="001E2261"/>
    <w:rsid w:val="001E2588"/>
    <w:rsid w:val="001E5056"/>
    <w:rsid w:val="001E6A1E"/>
    <w:rsid w:val="001E7E39"/>
    <w:rsid w:val="001F0832"/>
    <w:rsid w:val="001F0A66"/>
    <w:rsid w:val="001F1F59"/>
    <w:rsid w:val="001F2183"/>
    <w:rsid w:val="001F3253"/>
    <w:rsid w:val="001F42CB"/>
    <w:rsid w:val="001F4664"/>
    <w:rsid w:val="001F596C"/>
    <w:rsid w:val="001F5CAE"/>
    <w:rsid w:val="001F61FA"/>
    <w:rsid w:val="001F73C1"/>
    <w:rsid w:val="001F7745"/>
    <w:rsid w:val="001F7C38"/>
    <w:rsid w:val="001F7FC2"/>
    <w:rsid w:val="00202CC2"/>
    <w:rsid w:val="00203001"/>
    <w:rsid w:val="002035ED"/>
    <w:rsid w:val="0020367B"/>
    <w:rsid w:val="002038D0"/>
    <w:rsid w:val="00203C01"/>
    <w:rsid w:val="00203F1B"/>
    <w:rsid w:val="002051C2"/>
    <w:rsid w:val="00205D7B"/>
    <w:rsid w:val="002065F6"/>
    <w:rsid w:val="00210FE7"/>
    <w:rsid w:val="00211009"/>
    <w:rsid w:val="00212747"/>
    <w:rsid w:val="0021378F"/>
    <w:rsid w:val="00213894"/>
    <w:rsid w:val="00215AE9"/>
    <w:rsid w:val="00220809"/>
    <w:rsid w:val="00220CFB"/>
    <w:rsid w:val="00222BD0"/>
    <w:rsid w:val="00224FD4"/>
    <w:rsid w:val="002270A1"/>
    <w:rsid w:val="0023009E"/>
    <w:rsid w:val="00230B33"/>
    <w:rsid w:val="00230E56"/>
    <w:rsid w:val="00232B1D"/>
    <w:rsid w:val="00232E81"/>
    <w:rsid w:val="00233531"/>
    <w:rsid w:val="0023375E"/>
    <w:rsid w:val="002369B1"/>
    <w:rsid w:val="002370BE"/>
    <w:rsid w:val="0023727C"/>
    <w:rsid w:val="002406B3"/>
    <w:rsid w:val="00243BC6"/>
    <w:rsid w:val="00246852"/>
    <w:rsid w:val="00246B0B"/>
    <w:rsid w:val="00247D3B"/>
    <w:rsid w:val="00251419"/>
    <w:rsid w:val="00252210"/>
    <w:rsid w:val="0025391A"/>
    <w:rsid w:val="00253EBA"/>
    <w:rsid w:val="0025459A"/>
    <w:rsid w:val="002547A8"/>
    <w:rsid w:val="00255704"/>
    <w:rsid w:val="00257CCB"/>
    <w:rsid w:val="00257D5F"/>
    <w:rsid w:val="00260B2B"/>
    <w:rsid w:val="00260B94"/>
    <w:rsid w:val="00260C09"/>
    <w:rsid w:val="00260E56"/>
    <w:rsid w:val="002617EE"/>
    <w:rsid w:val="002620BB"/>
    <w:rsid w:val="002627FD"/>
    <w:rsid w:val="00262893"/>
    <w:rsid w:val="00262C85"/>
    <w:rsid w:val="002630C1"/>
    <w:rsid w:val="0026611F"/>
    <w:rsid w:val="00266ABF"/>
    <w:rsid w:val="00266C6F"/>
    <w:rsid w:val="002702F1"/>
    <w:rsid w:val="0027062B"/>
    <w:rsid w:val="00270669"/>
    <w:rsid w:val="00272325"/>
    <w:rsid w:val="00272977"/>
    <w:rsid w:val="00275251"/>
    <w:rsid w:val="00276798"/>
    <w:rsid w:val="0027679C"/>
    <w:rsid w:val="00276C81"/>
    <w:rsid w:val="00276D91"/>
    <w:rsid w:val="00280508"/>
    <w:rsid w:val="00280651"/>
    <w:rsid w:val="00280C90"/>
    <w:rsid w:val="00281F23"/>
    <w:rsid w:val="00281F42"/>
    <w:rsid w:val="0028396B"/>
    <w:rsid w:val="002849F5"/>
    <w:rsid w:val="002860AA"/>
    <w:rsid w:val="00286110"/>
    <w:rsid w:val="002863B4"/>
    <w:rsid w:val="0028663C"/>
    <w:rsid w:val="00290792"/>
    <w:rsid w:val="0029098C"/>
    <w:rsid w:val="00290FF8"/>
    <w:rsid w:val="00295613"/>
    <w:rsid w:val="00297206"/>
    <w:rsid w:val="002A214D"/>
    <w:rsid w:val="002A2BB8"/>
    <w:rsid w:val="002A2C82"/>
    <w:rsid w:val="002A2D54"/>
    <w:rsid w:val="002A3D3E"/>
    <w:rsid w:val="002A3DB9"/>
    <w:rsid w:val="002A4B73"/>
    <w:rsid w:val="002A5783"/>
    <w:rsid w:val="002A579C"/>
    <w:rsid w:val="002A5EDF"/>
    <w:rsid w:val="002A5F3F"/>
    <w:rsid w:val="002A62F0"/>
    <w:rsid w:val="002A6A2A"/>
    <w:rsid w:val="002B04FF"/>
    <w:rsid w:val="002B0CDA"/>
    <w:rsid w:val="002B2394"/>
    <w:rsid w:val="002B3F4E"/>
    <w:rsid w:val="002B453C"/>
    <w:rsid w:val="002B4890"/>
    <w:rsid w:val="002B5563"/>
    <w:rsid w:val="002B76A9"/>
    <w:rsid w:val="002C1807"/>
    <w:rsid w:val="002C6CA2"/>
    <w:rsid w:val="002C7145"/>
    <w:rsid w:val="002C7446"/>
    <w:rsid w:val="002D0AF8"/>
    <w:rsid w:val="002D123D"/>
    <w:rsid w:val="002D129E"/>
    <w:rsid w:val="002D1F01"/>
    <w:rsid w:val="002D3259"/>
    <w:rsid w:val="002D4E9A"/>
    <w:rsid w:val="002D5809"/>
    <w:rsid w:val="002E2B9A"/>
    <w:rsid w:val="002E4737"/>
    <w:rsid w:val="002E54AD"/>
    <w:rsid w:val="002E6C29"/>
    <w:rsid w:val="002E747A"/>
    <w:rsid w:val="002F2597"/>
    <w:rsid w:val="002F7BD2"/>
    <w:rsid w:val="00300A63"/>
    <w:rsid w:val="00303093"/>
    <w:rsid w:val="00303F25"/>
    <w:rsid w:val="00304875"/>
    <w:rsid w:val="00305900"/>
    <w:rsid w:val="00306CF4"/>
    <w:rsid w:val="00306F38"/>
    <w:rsid w:val="00310408"/>
    <w:rsid w:val="00310FD7"/>
    <w:rsid w:val="00311072"/>
    <w:rsid w:val="003123C2"/>
    <w:rsid w:val="003124F8"/>
    <w:rsid w:val="0031260C"/>
    <w:rsid w:val="00312792"/>
    <w:rsid w:val="00313674"/>
    <w:rsid w:val="003155CE"/>
    <w:rsid w:val="00316F8C"/>
    <w:rsid w:val="003172B4"/>
    <w:rsid w:val="00317342"/>
    <w:rsid w:val="003176C4"/>
    <w:rsid w:val="003207DD"/>
    <w:rsid w:val="0032257D"/>
    <w:rsid w:val="003236E7"/>
    <w:rsid w:val="00323BC8"/>
    <w:rsid w:val="00324DEE"/>
    <w:rsid w:val="00325D85"/>
    <w:rsid w:val="00327B7B"/>
    <w:rsid w:val="00330661"/>
    <w:rsid w:val="003335D3"/>
    <w:rsid w:val="003344E8"/>
    <w:rsid w:val="00335A34"/>
    <w:rsid w:val="0033715F"/>
    <w:rsid w:val="0034057E"/>
    <w:rsid w:val="00343E43"/>
    <w:rsid w:val="003446E5"/>
    <w:rsid w:val="00346F44"/>
    <w:rsid w:val="00347A3C"/>
    <w:rsid w:val="003517B2"/>
    <w:rsid w:val="003525C5"/>
    <w:rsid w:val="00352C2D"/>
    <w:rsid w:val="003558BD"/>
    <w:rsid w:val="00360BD5"/>
    <w:rsid w:val="00361CB1"/>
    <w:rsid w:val="00362638"/>
    <w:rsid w:val="00363010"/>
    <w:rsid w:val="00365F2B"/>
    <w:rsid w:val="00366E7C"/>
    <w:rsid w:val="0037151F"/>
    <w:rsid w:val="00371E9B"/>
    <w:rsid w:val="0037305C"/>
    <w:rsid w:val="00373814"/>
    <w:rsid w:val="00376964"/>
    <w:rsid w:val="0038359E"/>
    <w:rsid w:val="003842BC"/>
    <w:rsid w:val="0038789D"/>
    <w:rsid w:val="003879E7"/>
    <w:rsid w:val="00390DD4"/>
    <w:rsid w:val="003917AD"/>
    <w:rsid w:val="003922F1"/>
    <w:rsid w:val="00394647"/>
    <w:rsid w:val="003954A5"/>
    <w:rsid w:val="00395548"/>
    <w:rsid w:val="003A002A"/>
    <w:rsid w:val="003A0FCD"/>
    <w:rsid w:val="003A1615"/>
    <w:rsid w:val="003A1BD5"/>
    <w:rsid w:val="003A1BF9"/>
    <w:rsid w:val="003A30E3"/>
    <w:rsid w:val="003A391A"/>
    <w:rsid w:val="003A3993"/>
    <w:rsid w:val="003A53F8"/>
    <w:rsid w:val="003A569B"/>
    <w:rsid w:val="003A574D"/>
    <w:rsid w:val="003A5880"/>
    <w:rsid w:val="003A5ED0"/>
    <w:rsid w:val="003A6555"/>
    <w:rsid w:val="003A7367"/>
    <w:rsid w:val="003B1881"/>
    <w:rsid w:val="003B3B43"/>
    <w:rsid w:val="003B5A34"/>
    <w:rsid w:val="003C0314"/>
    <w:rsid w:val="003C2656"/>
    <w:rsid w:val="003C2CB6"/>
    <w:rsid w:val="003C3064"/>
    <w:rsid w:val="003C30E4"/>
    <w:rsid w:val="003C46A0"/>
    <w:rsid w:val="003C50C8"/>
    <w:rsid w:val="003C655B"/>
    <w:rsid w:val="003C7210"/>
    <w:rsid w:val="003D07EE"/>
    <w:rsid w:val="003D32F6"/>
    <w:rsid w:val="003D36C0"/>
    <w:rsid w:val="003D3748"/>
    <w:rsid w:val="003D3CB1"/>
    <w:rsid w:val="003D4E9E"/>
    <w:rsid w:val="003D546C"/>
    <w:rsid w:val="003D60F7"/>
    <w:rsid w:val="003D6EC9"/>
    <w:rsid w:val="003D730D"/>
    <w:rsid w:val="003E08D0"/>
    <w:rsid w:val="003E0D9D"/>
    <w:rsid w:val="003E2653"/>
    <w:rsid w:val="003E3089"/>
    <w:rsid w:val="003E30FD"/>
    <w:rsid w:val="003E3741"/>
    <w:rsid w:val="003E3B84"/>
    <w:rsid w:val="003E5247"/>
    <w:rsid w:val="003E6146"/>
    <w:rsid w:val="003E687C"/>
    <w:rsid w:val="003F0C9A"/>
    <w:rsid w:val="003F1D9B"/>
    <w:rsid w:val="003F2F3C"/>
    <w:rsid w:val="003F30F2"/>
    <w:rsid w:val="003F48BB"/>
    <w:rsid w:val="003F5E72"/>
    <w:rsid w:val="003F756C"/>
    <w:rsid w:val="0040210F"/>
    <w:rsid w:val="00402BFE"/>
    <w:rsid w:val="0040316D"/>
    <w:rsid w:val="00403C44"/>
    <w:rsid w:val="00405576"/>
    <w:rsid w:val="0040602B"/>
    <w:rsid w:val="00406994"/>
    <w:rsid w:val="00406F55"/>
    <w:rsid w:val="004101D8"/>
    <w:rsid w:val="00412651"/>
    <w:rsid w:val="00412D01"/>
    <w:rsid w:val="00413BA4"/>
    <w:rsid w:val="00413CB3"/>
    <w:rsid w:val="004152D8"/>
    <w:rsid w:val="004166BF"/>
    <w:rsid w:val="00416F76"/>
    <w:rsid w:val="00422C3C"/>
    <w:rsid w:val="0042518E"/>
    <w:rsid w:val="004254D8"/>
    <w:rsid w:val="00425E55"/>
    <w:rsid w:val="0042682E"/>
    <w:rsid w:val="0043114A"/>
    <w:rsid w:val="00435308"/>
    <w:rsid w:val="004359CC"/>
    <w:rsid w:val="00435A29"/>
    <w:rsid w:val="00435BEB"/>
    <w:rsid w:val="0043619E"/>
    <w:rsid w:val="004371B7"/>
    <w:rsid w:val="004376E3"/>
    <w:rsid w:val="004407E2"/>
    <w:rsid w:val="00441100"/>
    <w:rsid w:val="0044193F"/>
    <w:rsid w:val="00441D38"/>
    <w:rsid w:val="00445595"/>
    <w:rsid w:val="00446210"/>
    <w:rsid w:val="00447F1E"/>
    <w:rsid w:val="00450785"/>
    <w:rsid w:val="004537EB"/>
    <w:rsid w:val="00454BB2"/>
    <w:rsid w:val="0045579F"/>
    <w:rsid w:val="004561B7"/>
    <w:rsid w:val="00460B48"/>
    <w:rsid w:val="0046112E"/>
    <w:rsid w:val="00461252"/>
    <w:rsid w:val="00461684"/>
    <w:rsid w:val="00461FD7"/>
    <w:rsid w:val="0046286D"/>
    <w:rsid w:val="00462FAA"/>
    <w:rsid w:val="00464D1B"/>
    <w:rsid w:val="00465734"/>
    <w:rsid w:val="00467591"/>
    <w:rsid w:val="0047117A"/>
    <w:rsid w:val="0047151F"/>
    <w:rsid w:val="00472AE5"/>
    <w:rsid w:val="00473974"/>
    <w:rsid w:val="00475168"/>
    <w:rsid w:val="004759DC"/>
    <w:rsid w:val="00475F56"/>
    <w:rsid w:val="004772E3"/>
    <w:rsid w:val="0047796F"/>
    <w:rsid w:val="00477AF2"/>
    <w:rsid w:val="0048108D"/>
    <w:rsid w:val="00483543"/>
    <w:rsid w:val="004835A6"/>
    <w:rsid w:val="00483CF8"/>
    <w:rsid w:val="00484678"/>
    <w:rsid w:val="0048521C"/>
    <w:rsid w:val="00486E86"/>
    <w:rsid w:val="0049216E"/>
    <w:rsid w:val="004924DD"/>
    <w:rsid w:val="00493382"/>
    <w:rsid w:val="004934DC"/>
    <w:rsid w:val="00493B01"/>
    <w:rsid w:val="00493ED4"/>
    <w:rsid w:val="00494C5D"/>
    <w:rsid w:val="0049585A"/>
    <w:rsid w:val="0049669B"/>
    <w:rsid w:val="004978D5"/>
    <w:rsid w:val="004A1AF7"/>
    <w:rsid w:val="004A2041"/>
    <w:rsid w:val="004A2AF7"/>
    <w:rsid w:val="004A33CB"/>
    <w:rsid w:val="004A43E7"/>
    <w:rsid w:val="004B10F8"/>
    <w:rsid w:val="004B1F7D"/>
    <w:rsid w:val="004B2E06"/>
    <w:rsid w:val="004B32B6"/>
    <w:rsid w:val="004B4429"/>
    <w:rsid w:val="004B5014"/>
    <w:rsid w:val="004B5C57"/>
    <w:rsid w:val="004C02F7"/>
    <w:rsid w:val="004C0839"/>
    <w:rsid w:val="004C0EBD"/>
    <w:rsid w:val="004C0F9D"/>
    <w:rsid w:val="004C115A"/>
    <w:rsid w:val="004C34D9"/>
    <w:rsid w:val="004C37B4"/>
    <w:rsid w:val="004C5703"/>
    <w:rsid w:val="004C5D51"/>
    <w:rsid w:val="004C777B"/>
    <w:rsid w:val="004D086C"/>
    <w:rsid w:val="004D0960"/>
    <w:rsid w:val="004D11FC"/>
    <w:rsid w:val="004D1D94"/>
    <w:rsid w:val="004D39AD"/>
    <w:rsid w:val="004D3FAC"/>
    <w:rsid w:val="004D4A23"/>
    <w:rsid w:val="004D4ACB"/>
    <w:rsid w:val="004D4E1D"/>
    <w:rsid w:val="004D4F7D"/>
    <w:rsid w:val="004D582F"/>
    <w:rsid w:val="004D5EA9"/>
    <w:rsid w:val="004D6EB2"/>
    <w:rsid w:val="004D77D7"/>
    <w:rsid w:val="004E1F6B"/>
    <w:rsid w:val="004E45A6"/>
    <w:rsid w:val="004E5734"/>
    <w:rsid w:val="004E6612"/>
    <w:rsid w:val="004E6C16"/>
    <w:rsid w:val="004F0DD3"/>
    <w:rsid w:val="004F4A91"/>
    <w:rsid w:val="004F6D6C"/>
    <w:rsid w:val="0050179B"/>
    <w:rsid w:val="00503388"/>
    <w:rsid w:val="005033EA"/>
    <w:rsid w:val="005047F2"/>
    <w:rsid w:val="00505D71"/>
    <w:rsid w:val="00506243"/>
    <w:rsid w:val="005108EB"/>
    <w:rsid w:val="005125D1"/>
    <w:rsid w:val="0051311B"/>
    <w:rsid w:val="005133E4"/>
    <w:rsid w:val="00513C51"/>
    <w:rsid w:val="005162F4"/>
    <w:rsid w:val="005215CE"/>
    <w:rsid w:val="005222C7"/>
    <w:rsid w:val="00527D84"/>
    <w:rsid w:val="00530388"/>
    <w:rsid w:val="00531341"/>
    <w:rsid w:val="00532AE2"/>
    <w:rsid w:val="00533A35"/>
    <w:rsid w:val="005342E1"/>
    <w:rsid w:val="00537BFC"/>
    <w:rsid w:val="0054023F"/>
    <w:rsid w:val="005421A5"/>
    <w:rsid w:val="00542D2A"/>
    <w:rsid w:val="00544441"/>
    <w:rsid w:val="00545BEA"/>
    <w:rsid w:val="00546090"/>
    <w:rsid w:val="00546BCC"/>
    <w:rsid w:val="00546DDA"/>
    <w:rsid w:val="00546FEF"/>
    <w:rsid w:val="00546FF2"/>
    <w:rsid w:val="00547F43"/>
    <w:rsid w:val="00553E4E"/>
    <w:rsid w:val="00553EE7"/>
    <w:rsid w:val="00555040"/>
    <w:rsid w:val="005557AA"/>
    <w:rsid w:val="00556165"/>
    <w:rsid w:val="005566E5"/>
    <w:rsid w:val="0055685A"/>
    <w:rsid w:val="00557303"/>
    <w:rsid w:val="00557C0D"/>
    <w:rsid w:val="005615F7"/>
    <w:rsid w:val="0056271F"/>
    <w:rsid w:val="00565A01"/>
    <w:rsid w:val="00565D62"/>
    <w:rsid w:val="005667BC"/>
    <w:rsid w:val="00571383"/>
    <w:rsid w:val="00571CBA"/>
    <w:rsid w:val="0057233F"/>
    <w:rsid w:val="0057564C"/>
    <w:rsid w:val="005778ED"/>
    <w:rsid w:val="0058105E"/>
    <w:rsid w:val="00582715"/>
    <w:rsid w:val="00582B9C"/>
    <w:rsid w:val="00583CCA"/>
    <w:rsid w:val="0058536F"/>
    <w:rsid w:val="005853AE"/>
    <w:rsid w:val="00585A03"/>
    <w:rsid w:val="005867BE"/>
    <w:rsid w:val="005871F3"/>
    <w:rsid w:val="00591FAF"/>
    <w:rsid w:val="005923CB"/>
    <w:rsid w:val="005933C1"/>
    <w:rsid w:val="00593DD2"/>
    <w:rsid w:val="00595163"/>
    <w:rsid w:val="00595485"/>
    <w:rsid w:val="00595801"/>
    <w:rsid w:val="00596066"/>
    <w:rsid w:val="00596BB7"/>
    <w:rsid w:val="00596E21"/>
    <w:rsid w:val="005A050E"/>
    <w:rsid w:val="005A1041"/>
    <w:rsid w:val="005A2A91"/>
    <w:rsid w:val="005A4463"/>
    <w:rsid w:val="005A6B89"/>
    <w:rsid w:val="005A77E3"/>
    <w:rsid w:val="005A7A92"/>
    <w:rsid w:val="005A7FD7"/>
    <w:rsid w:val="005B1071"/>
    <w:rsid w:val="005B219A"/>
    <w:rsid w:val="005B6501"/>
    <w:rsid w:val="005B66BA"/>
    <w:rsid w:val="005B68E5"/>
    <w:rsid w:val="005B7022"/>
    <w:rsid w:val="005C036E"/>
    <w:rsid w:val="005C180F"/>
    <w:rsid w:val="005C270B"/>
    <w:rsid w:val="005C375E"/>
    <w:rsid w:val="005C4F02"/>
    <w:rsid w:val="005C5032"/>
    <w:rsid w:val="005C7021"/>
    <w:rsid w:val="005D1DEB"/>
    <w:rsid w:val="005D50AB"/>
    <w:rsid w:val="005D6131"/>
    <w:rsid w:val="005D6799"/>
    <w:rsid w:val="005D7F30"/>
    <w:rsid w:val="005E0845"/>
    <w:rsid w:val="005E13E6"/>
    <w:rsid w:val="005E2E13"/>
    <w:rsid w:val="005E2F0E"/>
    <w:rsid w:val="005E4BB5"/>
    <w:rsid w:val="005E5272"/>
    <w:rsid w:val="005F06DD"/>
    <w:rsid w:val="005F1FFD"/>
    <w:rsid w:val="005F2A18"/>
    <w:rsid w:val="005F3DAC"/>
    <w:rsid w:val="005F55C0"/>
    <w:rsid w:val="005F7958"/>
    <w:rsid w:val="006016F2"/>
    <w:rsid w:val="006028CB"/>
    <w:rsid w:val="00605A39"/>
    <w:rsid w:val="00605DAE"/>
    <w:rsid w:val="006064D8"/>
    <w:rsid w:val="006071A6"/>
    <w:rsid w:val="00611B73"/>
    <w:rsid w:val="00612476"/>
    <w:rsid w:val="00612995"/>
    <w:rsid w:val="00617BE9"/>
    <w:rsid w:val="00621CA1"/>
    <w:rsid w:val="006232EE"/>
    <w:rsid w:val="006243D3"/>
    <w:rsid w:val="006266CC"/>
    <w:rsid w:val="00632405"/>
    <w:rsid w:val="00633340"/>
    <w:rsid w:val="0064054F"/>
    <w:rsid w:val="00641AA6"/>
    <w:rsid w:val="00643DF4"/>
    <w:rsid w:val="006457B7"/>
    <w:rsid w:val="00646C9B"/>
    <w:rsid w:val="00651AAB"/>
    <w:rsid w:val="006529D0"/>
    <w:rsid w:val="006534AB"/>
    <w:rsid w:val="006536A5"/>
    <w:rsid w:val="00654D39"/>
    <w:rsid w:val="006577CD"/>
    <w:rsid w:val="00660822"/>
    <w:rsid w:val="00661BFE"/>
    <w:rsid w:val="00663440"/>
    <w:rsid w:val="00663B2D"/>
    <w:rsid w:val="006640E6"/>
    <w:rsid w:val="00665E3B"/>
    <w:rsid w:val="00665E99"/>
    <w:rsid w:val="006668DA"/>
    <w:rsid w:val="00667058"/>
    <w:rsid w:val="006675D0"/>
    <w:rsid w:val="006678DC"/>
    <w:rsid w:val="00670B44"/>
    <w:rsid w:val="0067152C"/>
    <w:rsid w:val="0067153D"/>
    <w:rsid w:val="0067268A"/>
    <w:rsid w:val="00674A1F"/>
    <w:rsid w:val="00674E2E"/>
    <w:rsid w:val="006755A0"/>
    <w:rsid w:val="0067657C"/>
    <w:rsid w:val="00676693"/>
    <w:rsid w:val="00677F15"/>
    <w:rsid w:val="006805A6"/>
    <w:rsid w:val="00680E4C"/>
    <w:rsid w:val="00681959"/>
    <w:rsid w:val="00682512"/>
    <w:rsid w:val="0068270B"/>
    <w:rsid w:val="00682C65"/>
    <w:rsid w:val="00683511"/>
    <w:rsid w:val="00686A15"/>
    <w:rsid w:val="00687E5F"/>
    <w:rsid w:val="00690A4D"/>
    <w:rsid w:val="00690EE9"/>
    <w:rsid w:val="0069230B"/>
    <w:rsid w:val="00693138"/>
    <w:rsid w:val="00694A65"/>
    <w:rsid w:val="00694F19"/>
    <w:rsid w:val="00695137"/>
    <w:rsid w:val="0069605E"/>
    <w:rsid w:val="00696C34"/>
    <w:rsid w:val="006975F4"/>
    <w:rsid w:val="0069786A"/>
    <w:rsid w:val="00697F82"/>
    <w:rsid w:val="006A0218"/>
    <w:rsid w:val="006A059B"/>
    <w:rsid w:val="006A2B41"/>
    <w:rsid w:val="006A375D"/>
    <w:rsid w:val="006A4246"/>
    <w:rsid w:val="006A5256"/>
    <w:rsid w:val="006A533C"/>
    <w:rsid w:val="006A5D41"/>
    <w:rsid w:val="006A69E6"/>
    <w:rsid w:val="006A6E9E"/>
    <w:rsid w:val="006A7086"/>
    <w:rsid w:val="006B036F"/>
    <w:rsid w:val="006B0D09"/>
    <w:rsid w:val="006B0E99"/>
    <w:rsid w:val="006B3A7E"/>
    <w:rsid w:val="006B3B69"/>
    <w:rsid w:val="006B5129"/>
    <w:rsid w:val="006B55DA"/>
    <w:rsid w:val="006B6E11"/>
    <w:rsid w:val="006B7C4D"/>
    <w:rsid w:val="006C1487"/>
    <w:rsid w:val="006C25E1"/>
    <w:rsid w:val="006C34A7"/>
    <w:rsid w:val="006C3A9A"/>
    <w:rsid w:val="006C3D06"/>
    <w:rsid w:val="006C7293"/>
    <w:rsid w:val="006C75D3"/>
    <w:rsid w:val="006C7B59"/>
    <w:rsid w:val="006D0648"/>
    <w:rsid w:val="006D098E"/>
    <w:rsid w:val="006D0B94"/>
    <w:rsid w:val="006D0E1B"/>
    <w:rsid w:val="006D1932"/>
    <w:rsid w:val="006D1A45"/>
    <w:rsid w:val="006D1D52"/>
    <w:rsid w:val="006D32F4"/>
    <w:rsid w:val="006D38FA"/>
    <w:rsid w:val="006D3E32"/>
    <w:rsid w:val="006D440C"/>
    <w:rsid w:val="006D4B1B"/>
    <w:rsid w:val="006D58C7"/>
    <w:rsid w:val="006D6C67"/>
    <w:rsid w:val="006D71AE"/>
    <w:rsid w:val="006D768F"/>
    <w:rsid w:val="006E0635"/>
    <w:rsid w:val="006E126E"/>
    <w:rsid w:val="006E1BC9"/>
    <w:rsid w:val="006E2C3B"/>
    <w:rsid w:val="006E358D"/>
    <w:rsid w:val="006E4FF9"/>
    <w:rsid w:val="006E6039"/>
    <w:rsid w:val="006E7B1C"/>
    <w:rsid w:val="006F074A"/>
    <w:rsid w:val="006F0A60"/>
    <w:rsid w:val="006F0FFA"/>
    <w:rsid w:val="006F18FD"/>
    <w:rsid w:val="006F193E"/>
    <w:rsid w:val="006F351A"/>
    <w:rsid w:val="006F4FE9"/>
    <w:rsid w:val="006F784E"/>
    <w:rsid w:val="006F7CFB"/>
    <w:rsid w:val="00700336"/>
    <w:rsid w:val="0070260C"/>
    <w:rsid w:val="0070626D"/>
    <w:rsid w:val="00706457"/>
    <w:rsid w:val="00706EEC"/>
    <w:rsid w:val="007076EA"/>
    <w:rsid w:val="0071150A"/>
    <w:rsid w:val="007117AA"/>
    <w:rsid w:val="00711D71"/>
    <w:rsid w:val="00712B9A"/>
    <w:rsid w:val="00713DF1"/>
    <w:rsid w:val="00721577"/>
    <w:rsid w:val="00724A12"/>
    <w:rsid w:val="00725DA3"/>
    <w:rsid w:val="0073139A"/>
    <w:rsid w:val="0073299C"/>
    <w:rsid w:val="00732C3A"/>
    <w:rsid w:val="007346A7"/>
    <w:rsid w:val="007352C4"/>
    <w:rsid w:val="00735595"/>
    <w:rsid w:val="00736C51"/>
    <w:rsid w:val="00737955"/>
    <w:rsid w:val="00740766"/>
    <w:rsid w:val="0074349D"/>
    <w:rsid w:val="00743C30"/>
    <w:rsid w:val="00744905"/>
    <w:rsid w:val="00744BA2"/>
    <w:rsid w:val="007459AB"/>
    <w:rsid w:val="00745B0C"/>
    <w:rsid w:val="00745BF5"/>
    <w:rsid w:val="00746FCA"/>
    <w:rsid w:val="00747024"/>
    <w:rsid w:val="00750E6D"/>
    <w:rsid w:val="00751C76"/>
    <w:rsid w:val="007532E7"/>
    <w:rsid w:val="007538E7"/>
    <w:rsid w:val="00753C9F"/>
    <w:rsid w:val="007541D8"/>
    <w:rsid w:val="0075546B"/>
    <w:rsid w:val="00755A08"/>
    <w:rsid w:val="00757859"/>
    <w:rsid w:val="00760ABB"/>
    <w:rsid w:val="00760E55"/>
    <w:rsid w:val="00762EC1"/>
    <w:rsid w:val="007632DB"/>
    <w:rsid w:val="00763A0C"/>
    <w:rsid w:val="00765133"/>
    <w:rsid w:val="0076531F"/>
    <w:rsid w:val="007655EB"/>
    <w:rsid w:val="007659D8"/>
    <w:rsid w:val="0076713D"/>
    <w:rsid w:val="007671D8"/>
    <w:rsid w:val="0076731E"/>
    <w:rsid w:val="007678EC"/>
    <w:rsid w:val="007710F2"/>
    <w:rsid w:val="0077219E"/>
    <w:rsid w:val="0077316B"/>
    <w:rsid w:val="00776A89"/>
    <w:rsid w:val="00780E44"/>
    <w:rsid w:val="007818FE"/>
    <w:rsid w:val="007851B7"/>
    <w:rsid w:val="007873D5"/>
    <w:rsid w:val="007916BA"/>
    <w:rsid w:val="00792409"/>
    <w:rsid w:val="00793B9D"/>
    <w:rsid w:val="0079480A"/>
    <w:rsid w:val="00794B28"/>
    <w:rsid w:val="00794D14"/>
    <w:rsid w:val="007952F9"/>
    <w:rsid w:val="00797668"/>
    <w:rsid w:val="0079779F"/>
    <w:rsid w:val="007A003B"/>
    <w:rsid w:val="007A1068"/>
    <w:rsid w:val="007A1943"/>
    <w:rsid w:val="007A2782"/>
    <w:rsid w:val="007A28AA"/>
    <w:rsid w:val="007A4413"/>
    <w:rsid w:val="007A47CB"/>
    <w:rsid w:val="007A6457"/>
    <w:rsid w:val="007B13B5"/>
    <w:rsid w:val="007B2281"/>
    <w:rsid w:val="007B23C7"/>
    <w:rsid w:val="007B32D5"/>
    <w:rsid w:val="007B6A43"/>
    <w:rsid w:val="007B7455"/>
    <w:rsid w:val="007C07DF"/>
    <w:rsid w:val="007C338A"/>
    <w:rsid w:val="007C4851"/>
    <w:rsid w:val="007C4DEF"/>
    <w:rsid w:val="007C51BB"/>
    <w:rsid w:val="007C5585"/>
    <w:rsid w:val="007C6F6C"/>
    <w:rsid w:val="007C75BD"/>
    <w:rsid w:val="007D0041"/>
    <w:rsid w:val="007D0A5A"/>
    <w:rsid w:val="007D0CEC"/>
    <w:rsid w:val="007D329E"/>
    <w:rsid w:val="007D4B3F"/>
    <w:rsid w:val="007D585B"/>
    <w:rsid w:val="007D5ACD"/>
    <w:rsid w:val="007D6AFA"/>
    <w:rsid w:val="007D7AA3"/>
    <w:rsid w:val="007E0044"/>
    <w:rsid w:val="007E0A52"/>
    <w:rsid w:val="007E0E0A"/>
    <w:rsid w:val="007E180A"/>
    <w:rsid w:val="007E1BAF"/>
    <w:rsid w:val="007E26B0"/>
    <w:rsid w:val="007E50E7"/>
    <w:rsid w:val="007E6483"/>
    <w:rsid w:val="007E6DA7"/>
    <w:rsid w:val="007F0DA2"/>
    <w:rsid w:val="007F18C1"/>
    <w:rsid w:val="007F339E"/>
    <w:rsid w:val="007F4FCB"/>
    <w:rsid w:val="007F5400"/>
    <w:rsid w:val="007F5D18"/>
    <w:rsid w:val="00800512"/>
    <w:rsid w:val="00800AB5"/>
    <w:rsid w:val="008011DE"/>
    <w:rsid w:val="00801D47"/>
    <w:rsid w:val="00803B10"/>
    <w:rsid w:val="008068FB"/>
    <w:rsid w:val="00806F23"/>
    <w:rsid w:val="00807787"/>
    <w:rsid w:val="00810E83"/>
    <w:rsid w:val="00810ED1"/>
    <w:rsid w:val="00811324"/>
    <w:rsid w:val="00812D25"/>
    <w:rsid w:val="00812F43"/>
    <w:rsid w:val="00813760"/>
    <w:rsid w:val="00815CBC"/>
    <w:rsid w:val="00815F35"/>
    <w:rsid w:val="008203F4"/>
    <w:rsid w:val="00820FC0"/>
    <w:rsid w:val="008233DE"/>
    <w:rsid w:val="008259D8"/>
    <w:rsid w:val="00833151"/>
    <w:rsid w:val="008359C1"/>
    <w:rsid w:val="008372BA"/>
    <w:rsid w:val="00837DAC"/>
    <w:rsid w:val="008423C5"/>
    <w:rsid w:val="008430A7"/>
    <w:rsid w:val="0084481F"/>
    <w:rsid w:val="008449D6"/>
    <w:rsid w:val="00845B6F"/>
    <w:rsid w:val="00846033"/>
    <w:rsid w:val="0084624D"/>
    <w:rsid w:val="008470E9"/>
    <w:rsid w:val="008519E9"/>
    <w:rsid w:val="00853ADA"/>
    <w:rsid w:val="00856538"/>
    <w:rsid w:val="00856FCB"/>
    <w:rsid w:val="00857014"/>
    <w:rsid w:val="0085731C"/>
    <w:rsid w:val="008616F3"/>
    <w:rsid w:val="00862542"/>
    <w:rsid w:val="00863645"/>
    <w:rsid w:val="00870207"/>
    <w:rsid w:val="00871CE9"/>
    <w:rsid w:val="008729F9"/>
    <w:rsid w:val="008741C5"/>
    <w:rsid w:val="0087509C"/>
    <w:rsid w:val="00876C81"/>
    <w:rsid w:val="00880F3D"/>
    <w:rsid w:val="00881636"/>
    <w:rsid w:val="00883CF1"/>
    <w:rsid w:val="008851CB"/>
    <w:rsid w:val="00886F0A"/>
    <w:rsid w:val="00891242"/>
    <w:rsid w:val="00893E9F"/>
    <w:rsid w:val="00894DF1"/>
    <w:rsid w:val="008962C5"/>
    <w:rsid w:val="00896EE7"/>
    <w:rsid w:val="00897A2E"/>
    <w:rsid w:val="008A05A2"/>
    <w:rsid w:val="008A0665"/>
    <w:rsid w:val="008A1215"/>
    <w:rsid w:val="008A3864"/>
    <w:rsid w:val="008A58B3"/>
    <w:rsid w:val="008A5993"/>
    <w:rsid w:val="008A793F"/>
    <w:rsid w:val="008A799F"/>
    <w:rsid w:val="008B0BC2"/>
    <w:rsid w:val="008B2CCE"/>
    <w:rsid w:val="008B3958"/>
    <w:rsid w:val="008B3EF4"/>
    <w:rsid w:val="008B7143"/>
    <w:rsid w:val="008B72C7"/>
    <w:rsid w:val="008B7E9A"/>
    <w:rsid w:val="008C08EF"/>
    <w:rsid w:val="008C0AF1"/>
    <w:rsid w:val="008C1B65"/>
    <w:rsid w:val="008C2AC3"/>
    <w:rsid w:val="008C440B"/>
    <w:rsid w:val="008C4E8A"/>
    <w:rsid w:val="008C53BD"/>
    <w:rsid w:val="008C5A18"/>
    <w:rsid w:val="008C694D"/>
    <w:rsid w:val="008D32B4"/>
    <w:rsid w:val="008D33D1"/>
    <w:rsid w:val="008D5451"/>
    <w:rsid w:val="008D6020"/>
    <w:rsid w:val="008D6BA8"/>
    <w:rsid w:val="008E0118"/>
    <w:rsid w:val="008E2F0A"/>
    <w:rsid w:val="008E3D3B"/>
    <w:rsid w:val="008E77F9"/>
    <w:rsid w:val="008F06BE"/>
    <w:rsid w:val="008F082B"/>
    <w:rsid w:val="008F0F0F"/>
    <w:rsid w:val="008F2436"/>
    <w:rsid w:val="008F33FF"/>
    <w:rsid w:val="008F3D90"/>
    <w:rsid w:val="008F3DB4"/>
    <w:rsid w:val="009005F6"/>
    <w:rsid w:val="00900A16"/>
    <w:rsid w:val="00901118"/>
    <w:rsid w:val="00901779"/>
    <w:rsid w:val="00902AE8"/>
    <w:rsid w:val="009030C1"/>
    <w:rsid w:val="00904790"/>
    <w:rsid w:val="00905150"/>
    <w:rsid w:val="00906145"/>
    <w:rsid w:val="0091263A"/>
    <w:rsid w:val="009142C2"/>
    <w:rsid w:val="00916518"/>
    <w:rsid w:val="00916A5A"/>
    <w:rsid w:val="009174E2"/>
    <w:rsid w:val="009177FE"/>
    <w:rsid w:val="00920CB7"/>
    <w:rsid w:val="009230DA"/>
    <w:rsid w:val="009231E3"/>
    <w:rsid w:val="0092376A"/>
    <w:rsid w:val="00923ED6"/>
    <w:rsid w:val="00926783"/>
    <w:rsid w:val="009314B1"/>
    <w:rsid w:val="009317A1"/>
    <w:rsid w:val="0093211D"/>
    <w:rsid w:val="009325FC"/>
    <w:rsid w:val="0093395F"/>
    <w:rsid w:val="00935152"/>
    <w:rsid w:val="0093552E"/>
    <w:rsid w:val="00936AED"/>
    <w:rsid w:val="00940BE1"/>
    <w:rsid w:val="009424AF"/>
    <w:rsid w:val="00943BBB"/>
    <w:rsid w:val="00943F4C"/>
    <w:rsid w:val="00944359"/>
    <w:rsid w:val="009446E8"/>
    <w:rsid w:val="009453E1"/>
    <w:rsid w:val="00946C85"/>
    <w:rsid w:val="00946C9F"/>
    <w:rsid w:val="00947672"/>
    <w:rsid w:val="009476E3"/>
    <w:rsid w:val="00951CB9"/>
    <w:rsid w:val="009557BD"/>
    <w:rsid w:val="00955921"/>
    <w:rsid w:val="0096012C"/>
    <w:rsid w:val="009617D3"/>
    <w:rsid w:val="00962BBA"/>
    <w:rsid w:val="00963186"/>
    <w:rsid w:val="00963D2C"/>
    <w:rsid w:val="009642D3"/>
    <w:rsid w:val="00965216"/>
    <w:rsid w:val="009655E8"/>
    <w:rsid w:val="0097000D"/>
    <w:rsid w:val="0097065A"/>
    <w:rsid w:val="00971963"/>
    <w:rsid w:val="00972BF5"/>
    <w:rsid w:val="00974E78"/>
    <w:rsid w:val="009807A5"/>
    <w:rsid w:val="00982373"/>
    <w:rsid w:val="00982E12"/>
    <w:rsid w:val="00983D58"/>
    <w:rsid w:val="00984AC6"/>
    <w:rsid w:val="0098601B"/>
    <w:rsid w:val="0098664F"/>
    <w:rsid w:val="0098697D"/>
    <w:rsid w:val="009870EA"/>
    <w:rsid w:val="00990148"/>
    <w:rsid w:val="0099178C"/>
    <w:rsid w:val="00994910"/>
    <w:rsid w:val="00994F32"/>
    <w:rsid w:val="00994F91"/>
    <w:rsid w:val="00995D04"/>
    <w:rsid w:val="00997D13"/>
    <w:rsid w:val="009A3394"/>
    <w:rsid w:val="009A38E5"/>
    <w:rsid w:val="009A3F76"/>
    <w:rsid w:val="009A4B00"/>
    <w:rsid w:val="009A6331"/>
    <w:rsid w:val="009A77E8"/>
    <w:rsid w:val="009B122A"/>
    <w:rsid w:val="009B1A77"/>
    <w:rsid w:val="009B2544"/>
    <w:rsid w:val="009B2EBC"/>
    <w:rsid w:val="009B567A"/>
    <w:rsid w:val="009B6687"/>
    <w:rsid w:val="009B6900"/>
    <w:rsid w:val="009B6EAF"/>
    <w:rsid w:val="009B7169"/>
    <w:rsid w:val="009B736E"/>
    <w:rsid w:val="009C0A26"/>
    <w:rsid w:val="009C3895"/>
    <w:rsid w:val="009C570B"/>
    <w:rsid w:val="009C5F84"/>
    <w:rsid w:val="009C6D4B"/>
    <w:rsid w:val="009D1E26"/>
    <w:rsid w:val="009D325A"/>
    <w:rsid w:val="009D37B7"/>
    <w:rsid w:val="009D415E"/>
    <w:rsid w:val="009D6A8F"/>
    <w:rsid w:val="009D7799"/>
    <w:rsid w:val="009D7B1A"/>
    <w:rsid w:val="009E14AD"/>
    <w:rsid w:val="009E1BCB"/>
    <w:rsid w:val="009E265A"/>
    <w:rsid w:val="009E2CF0"/>
    <w:rsid w:val="009E3221"/>
    <w:rsid w:val="009E3DA0"/>
    <w:rsid w:val="009E3E5F"/>
    <w:rsid w:val="009E58B1"/>
    <w:rsid w:val="009E6E03"/>
    <w:rsid w:val="009E7380"/>
    <w:rsid w:val="009E7E71"/>
    <w:rsid w:val="009F0882"/>
    <w:rsid w:val="009F0CB6"/>
    <w:rsid w:val="009F13B3"/>
    <w:rsid w:val="009F18D2"/>
    <w:rsid w:val="009F1D09"/>
    <w:rsid w:val="009F2EB1"/>
    <w:rsid w:val="009F37EC"/>
    <w:rsid w:val="009F4106"/>
    <w:rsid w:val="009F4625"/>
    <w:rsid w:val="009F60CC"/>
    <w:rsid w:val="009F6E98"/>
    <w:rsid w:val="009F7506"/>
    <w:rsid w:val="009F7A77"/>
    <w:rsid w:val="00A01056"/>
    <w:rsid w:val="00A0151D"/>
    <w:rsid w:val="00A01943"/>
    <w:rsid w:val="00A01F00"/>
    <w:rsid w:val="00A021FF"/>
    <w:rsid w:val="00A03F10"/>
    <w:rsid w:val="00A04206"/>
    <w:rsid w:val="00A04842"/>
    <w:rsid w:val="00A107BB"/>
    <w:rsid w:val="00A10F40"/>
    <w:rsid w:val="00A11F01"/>
    <w:rsid w:val="00A14D3F"/>
    <w:rsid w:val="00A15A73"/>
    <w:rsid w:val="00A16D45"/>
    <w:rsid w:val="00A171D9"/>
    <w:rsid w:val="00A175BA"/>
    <w:rsid w:val="00A20138"/>
    <w:rsid w:val="00A21202"/>
    <w:rsid w:val="00A2236D"/>
    <w:rsid w:val="00A236D8"/>
    <w:rsid w:val="00A23D85"/>
    <w:rsid w:val="00A270B9"/>
    <w:rsid w:val="00A308EA"/>
    <w:rsid w:val="00A30EA4"/>
    <w:rsid w:val="00A30FF4"/>
    <w:rsid w:val="00A3168A"/>
    <w:rsid w:val="00A31DE7"/>
    <w:rsid w:val="00A323FD"/>
    <w:rsid w:val="00A33858"/>
    <w:rsid w:val="00A35732"/>
    <w:rsid w:val="00A40842"/>
    <w:rsid w:val="00A4115F"/>
    <w:rsid w:val="00A41807"/>
    <w:rsid w:val="00A446C0"/>
    <w:rsid w:val="00A50D3F"/>
    <w:rsid w:val="00A52DA7"/>
    <w:rsid w:val="00A54526"/>
    <w:rsid w:val="00A56AEC"/>
    <w:rsid w:val="00A647EB"/>
    <w:rsid w:val="00A64FFE"/>
    <w:rsid w:val="00A67A11"/>
    <w:rsid w:val="00A70194"/>
    <w:rsid w:val="00A704D2"/>
    <w:rsid w:val="00A71269"/>
    <w:rsid w:val="00A71397"/>
    <w:rsid w:val="00A72742"/>
    <w:rsid w:val="00A7321D"/>
    <w:rsid w:val="00A74C97"/>
    <w:rsid w:val="00A755CB"/>
    <w:rsid w:val="00A76C6A"/>
    <w:rsid w:val="00A76FBE"/>
    <w:rsid w:val="00A77A89"/>
    <w:rsid w:val="00A832A5"/>
    <w:rsid w:val="00A83A0A"/>
    <w:rsid w:val="00A8451D"/>
    <w:rsid w:val="00A84F47"/>
    <w:rsid w:val="00A86796"/>
    <w:rsid w:val="00A87CF7"/>
    <w:rsid w:val="00A9299E"/>
    <w:rsid w:val="00A936B9"/>
    <w:rsid w:val="00A953D5"/>
    <w:rsid w:val="00A959FB"/>
    <w:rsid w:val="00A95A20"/>
    <w:rsid w:val="00A96D01"/>
    <w:rsid w:val="00A96E26"/>
    <w:rsid w:val="00A96E51"/>
    <w:rsid w:val="00A977DD"/>
    <w:rsid w:val="00AA007C"/>
    <w:rsid w:val="00AA43E7"/>
    <w:rsid w:val="00AA45BF"/>
    <w:rsid w:val="00AA765C"/>
    <w:rsid w:val="00AA79AE"/>
    <w:rsid w:val="00AB031A"/>
    <w:rsid w:val="00AB21CF"/>
    <w:rsid w:val="00AB49CD"/>
    <w:rsid w:val="00AB6275"/>
    <w:rsid w:val="00AC0C28"/>
    <w:rsid w:val="00AC0ECF"/>
    <w:rsid w:val="00AC186C"/>
    <w:rsid w:val="00AC32EC"/>
    <w:rsid w:val="00AC3F98"/>
    <w:rsid w:val="00AC43DA"/>
    <w:rsid w:val="00AC512D"/>
    <w:rsid w:val="00AC65FC"/>
    <w:rsid w:val="00AD03E3"/>
    <w:rsid w:val="00AD22CC"/>
    <w:rsid w:val="00AD2852"/>
    <w:rsid w:val="00AD381F"/>
    <w:rsid w:val="00AD65B3"/>
    <w:rsid w:val="00AD6D49"/>
    <w:rsid w:val="00AE0537"/>
    <w:rsid w:val="00AE05FF"/>
    <w:rsid w:val="00AE0690"/>
    <w:rsid w:val="00AE10CE"/>
    <w:rsid w:val="00AE123C"/>
    <w:rsid w:val="00AE19BC"/>
    <w:rsid w:val="00AE200E"/>
    <w:rsid w:val="00AE3578"/>
    <w:rsid w:val="00AE4F24"/>
    <w:rsid w:val="00AE7904"/>
    <w:rsid w:val="00AF24CC"/>
    <w:rsid w:val="00AF3A5E"/>
    <w:rsid w:val="00AF3C74"/>
    <w:rsid w:val="00AF6870"/>
    <w:rsid w:val="00AF6989"/>
    <w:rsid w:val="00AF7252"/>
    <w:rsid w:val="00B072CD"/>
    <w:rsid w:val="00B076FD"/>
    <w:rsid w:val="00B07A75"/>
    <w:rsid w:val="00B07F51"/>
    <w:rsid w:val="00B111C4"/>
    <w:rsid w:val="00B11D26"/>
    <w:rsid w:val="00B13C8A"/>
    <w:rsid w:val="00B14B36"/>
    <w:rsid w:val="00B154D1"/>
    <w:rsid w:val="00B160C7"/>
    <w:rsid w:val="00B16646"/>
    <w:rsid w:val="00B16A18"/>
    <w:rsid w:val="00B17C27"/>
    <w:rsid w:val="00B202A7"/>
    <w:rsid w:val="00B203F7"/>
    <w:rsid w:val="00B20A19"/>
    <w:rsid w:val="00B20BD7"/>
    <w:rsid w:val="00B21219"/>
    <w:rsid w:val="00B217E7"/>
    <w:rsid w:val="00B21B60"/>
    <w:rsid w:val="00B2233B"/>
    <w:rsid w:val="00B23F02"/>
    <w:rsid w:val="00B23FDE"/>
    <w:rsid w:val="00B24725"/>
    <w:rsid w:val="00B26925"/>
    <w:rsid w:val="00B26C17"/>
    <w:rsid w:val="00B275C8"/>
    <w:rsid w:val="00B300DF"/>
    <w:rsid w:val="00B300F1"/>
    <w:rsid w:val="00B30DC0"/>
    <w:rsid w:val="00B314C6"/>
    <w:rsid w:val="00B32FD4"/>
    <w:rsid w:val="00B348CD"/>
    <w:rsid w:val="00B353A4"/>
    <w:rsid w:val="00B370DC"/>
    <w:rsid w:val="00B401A9"/>
    <w:rsid w:val="00B401D8"/>
    <w:rsid w:val="00B40643"/>
    <w:rsid w:val="00B4137A"/>
    <w:rsid w:val="00B424D1"/>
    <w:rsid w:val="00B425E4"/>
    <w:rsid w:val="00B429F4"/>
    <w:rsid w:val="00B4314F"/>
    <w:rsid w:val="00B4349F"/>
    <w:rsid w:val="00B45793"/>
    <w:rsid w:val="00B47731"/>
    <w:rsid w:val="00B50A92"/>
    <w:rsid w:val="00B51D2A"/>
    <w:rsid w:val="00B53B8A"/>
    <w:rsid w:val="00B55E12"/>
    <w:rsid w:val="00B56CFB"/>
    <w:rsid w:val="00B57B91"/>
    <w:rsid w:val="00B57E25"/>
    <w:rsid w:val="00B61969"/>
    <w:rsid w:val="00B6371F"/>
    <w:rsid w:val="00B65E15"/>
    <w:rsid w:val="00B67F22"/>
    <w:rsid w:val="00B70D8B"/>
    <w:rsid w:val="00B71F29"/>
    <w:rsid w:val="00B72D39"/>
    <w:rsid w:val="00B749BC"/>
    <w:rsid w:val="00B7536B"/>
    <w:rsid w:val="00B7612A"/>
    <w:rsid w:val="00B778A2"/>
    <w:rsid w:val="00B77F59"/>
    <w:rsid w:val="00B811B3"/>
    <w:rsid w:val="00B812EE"/>
    <w:rsid w:val="00B863E6"/>
    <w:rsid w:val="00B872BC"/>
    <w:rsid w:val="00B87BEF"/>
    <w:rsid w:val="00B906C8"/>
    <w:rsid w:val="00B91ED6"/>
    <w:rsid w:val="00B92934"/>
    <w:rsid w:val="00B9376A"/>
    <w:rsid w:val="00B94875"/>
    <w:rsid w:val="00B9501C"/>
    <w:rsid w:val="00B950D7"/>
    <w:rsid w:val="00B95197"/>
    <w:rsid w:val="00B95333"/>
    <w:rsid w:val="00B95924"/>
    <w:rsid w:val="00B95B9F"/>
    <w:rsid w:val="00B97721"/>
    <w:rsid w:val="00B977DD"/>
    <w:rsid w:val="00BA002B"/>
    <w:rsid w:val="00BA05D2"/>
    <w:rsid w:val="00BA0795"/>
    <w:rsid w:val="00BA2F68"/>
    <w:rsid w:val="00BA4835"/>
    <w:rsid w:val="00BA65E2"/>
    <w:rsid w:val="00BA7EAC"/>
    <w:rsid w:val="00BB1565"/>
    <w:rsid w:val="00BB390A"/>
    <w:rsid w:val="00BB57A8"/>
    <w:rsid w:val="00BB6E95"/>
    <w:rsid w:val="00BB6F20"/>
    <w:rsid w:val="00BC06F3"/>
    <w:rsid w:val="00BC1122"/>
    <w:rsid w:val="00BC272F"/>
    <w:rsid w:val="00BC36E0"/>
    <w:rsid w:val="00BD1698"/>
    <w:rsid w:val="00BD1CA7"/>
    <w:rsid w:val="00BD2468"/>
    <w:rsid w:val="00BD2F0F"/>
    <w:rsid w:val="00BD34EC"/>
    <w:rsid w:val="00BD4AD7"/>
    <w:rsid w:val="00BD6906"/>
    <w:rsid w:val="00BD70FC"/>
    <w:rsid w:val="00BD79A0"/>
    <w:rsid w:val="00BE0465"/>
    <w:rsid w:val="00BE0DB7"/>
    <w:rsid w:val="00BE22DF"/>
    <w:rsid w:val="00BE3879"/>
    <w:rsid w:val="00BE38A4"/>
    <w:rsid w:val="00BE4721"/>
    <w:rsid w:val="00BF05F7"/>
    <w:rsid w:val="00BF2017"/>
    <w:rsid w:val="00BF52EE"/>
    <w:rsid w:val="00C03009"/>
    <w:rsid w:val="00C03F10"/>
    <w:rsid w:val="00C041DF"/>
    <w:rsid w:val="00C05201"/>
    <w:rsid w:val="00C0527A"/>
    <w:rsid w:val="00C0569B"/>
    <w:rsid w:val="00C06FC2"/>
    <w:rsid w:val="00C1009B"/>
    <w:rsid w:val="00C110F4"/>
    <w:rsid w:val="00C12B0D"/>
    <w:rsid w:val="00C149C2"/>
    <w:rsid w:val="00C15FF4"/>
    <w:rsid w:val="00C168E2"/>
    <w:rsid w:val="00C203B6"/>
    <w:rsid w:val="00C2052E"/>
    <w:rsid w:val="00C22438"/>
    <w:rsid w:val="00C224A5"/>
    <w:rsid w:val="00C25FF2"/>
    <w:rsid w:val="00C26945"/>
    <w:rsid w:val="00C27992"/>
    <w:rsid w:val="00C31BEB"/>
    <w:rsid w:val="00C33560"/>
    <w:rsid w:val="00C34690"/>
    <w:rsid w:val="00C353F1"/>
    <w:rsid w:val="00C3599B"/>
    <w:rsid w:val="00C359FC"/>
    <w:rsid w:val="00C35F60"/>
    <w:rsid w:val="00C3718F"/>
    <w:rsid w:val="00C37428"/>
    <w:rsid w:val="00C4077A"/>
    <w:rsid w:val="00C433EB"/>
    <w:rsid w:val="00C43461"/>
    <w:rsid w:val="00C475B0"/>
    <w:rsid w:val="00C4777C"/>
    <w:rsid w:val="00C47F1F"/>
    <w:rsid w:val="00C5314C"/>
    <w:rsid w:val="00C54E69"/>
    <w:rsid w:val="00C561BC"/>
    <w:rsid w:val="00C5676A"/>
    <w:rsid w:val="00C56BCC"/>
    <w:rsid w:val="00C57BCE"/>
    <w:rsid w:val="00C57DCD"/>
    <w:rsid w:val="00C60290"/>
    <w:rsid w:val="00C62C0B"/>
    <w:rsid w:val="00C6443F"/>
    <w:rsid w:val="00C66377"/>
    <w:rsid w:val="00C66415"/>
    <w:rsid w:val="00C66658"/>
    <w:rsid w:val="00C67F68"/>
    <w:rsid w:val="00C72AC3"/>
    <w:rsid w:val="00C7340C"/>
    <w:rsid w:val="00C744BD"/>
    <w:rsid w:val="00C7636C"/>
    <w:rsid w:val="00C76A95"/>
    <w:rsid w:val="00C76BA3"/>
    <w:rsid w:val="00C80769"/>
    <w:rsid w:val="00C81986"/>
    <w:rsid w:val="00C82910"/>
    <w:rsid w:val="00C82912"/>
    <w:rsid w:val="00C8332E"/>
    <w:rsid w:val="00C861C7"/>
    <w:rsid w:val="00C8727A"/>
    <w:rsid w:val="00C90706"/>
    <w:rsid w:val="00C9202D"/>
    <w:rsid w:val="00C97111"/>
    <w:rsid w:val="00C97824"/>
    <w:rsid w:val="00CA0EC6"/>
    <w:rsid w:val="00CA13D1"/>
    <w:rsid w:val="00CA2B32"/>
    <w:rsid w:val="00CA31C7"/>
    <w:rsid w:val="00CA702F"/>
    <w:rsid w:val="00CB2856"/>
    <w:rsid w:val="00CB493B"/>
    <w:rsid w:val="00CB6217"/>
    <w:rsid w:val="00CB6311"/>
    <w:rsid w:val="00CB6D09"/>
    <w:rsid w:val="00CC099F"/>
    <w:rsid w:val="00CC1664"/>
    <w:rsid w:val="00CC2550"/>
    <w:rsid w:val="00CC35A9"/>
    <w:rsid w:val="00CD040E"/>
    <w:rsid w:val="00CD1917"/>
    <w:rsid w:val="00CD468D"/>
    <w:rsid w:val="00CD4749"/>
    <w:rsid w:val="00CD5541"/>
    <w:rsid w:val="00CD5A6A"/>
    <w:rsid w:val="00CD6E4B"/>
    <w:rsid w:val="00CD7D57"/>
    <w:rsid w:val="00CE101C"/>
    <w:rsid w:val="00CE1B45"/>
    <w:rsid w:val="00CE4783"/>
    <w:rsid w:val="00CE587E"/>
    <w:rsid w:val="00CF06B6"/>
    <w:rsid w:val="00CF0945"/>
    <w:rsid w:val="00CF0D8B"/>
    <w:rsid w:val="00CF13E2"/>
    <w:rsid w:val="00CF1E77"/>
    <w:rsid w:val="00CF2284"/>
    <w:rsid w:val="00CF5D90"/>
    <w:rsid w:val="00CF699B"/>
    <w:rsid w:val="00CF6F62"/>
    <w:rsid w:val="00CF7ABB"/>
    <w:rsid w:val="00CF7C0A"/>
    <w:rsid w:val="00D009DE"/>
    <w:rsid w:val="00D02208"/>
    <w:rsid w:val="00D02521"/>
    <w:rsid w:val="00D064A1"/>
    <w:rsid w:val="00D065B8"/>
    <w:rsid w:val="00D06F9E"/>
    <w:rsid w:val="00D07979"/>
    <w:rsid w:val="00D1003F"/>
    <w:rsid w:val="00D10E5A"/>
    <w:rsid w:val="00D13A91"/>
    <w:rsid w:val="00D140A2"/>
    <w:rsid w:val="00D157E9"/>
    <w:rsid w:val="00D20B34"/>
    <w:rsid w:val="00D211A1"/>
    <w:rsid w:val="00D218D3"/>
    <w:rsid w:val="00D22AF2"/>
    <w:rsid w:val="00D246CC"/>
    <w:rsid w:val="00D31EF1"/>
    <w:rsid w:val="00D34507"/>
    <w:rsid w:val="00D35672"/>
    <w:rsid w:val="00D36106"/>
    <w:rsid w:val="00D40538"/>
    <w:rsid w:val="00D40F20"/>
    <w:rsid w:val="00D42C28"/>
    <w:rsid w:val="00D431DA"/>
    <w:rsid w:val="00D44AF0"/>
    <w:rsid w:val="00D44B1F"/>
    <w:rsid w:val="00D450DF"/>
    <w:rsid w:val="00D45BBD"/>
    <w:rsid w:val="00D51322"/>
    <w:rsid w:val="00D525AD"/>
    <w:rsid w:val="00D53ADC"/>
    <w:rsid w:val="00D61085"/>
    <w:rsid w:val="00D625BD"/>
    <w:rsid w:val="00D629FA"/>
    <w:rsid w:val="00D640DD"/>
    <w:rsid w:val="00D65A27"/>
    <w:rsid w:val="00D713DC"/>
    <w:rsid w:val="00D71917"/>
    <w:rsid w:val="00D72326"/>
    <w:rsid w:val="00D74FA2"/>
    <w:rsid w:val="00D75A46"/>
    <w:rsid w:val="00D77B1E"/>
    <w:rsid w:val="00D8153A"/>
    <w:rsid w:val="00D828F4"/>
    <w:rsid w:val="00D82ECC"/>
    <w:rsid w:val="00D83075"/>
    <w:rsid w:val="00D842DC"/>
    <w:rsid w:val="00D8495E"/>
    <w:rsid w:val="00D85936"/>
    <w:rsid w:val="00D8749D"/>
    <w:rsid w:val="00D902B4"/>
    <w:rsid w:val="00D9271A"/>
    <w:rsid w:val="00D93B07"/>
    <w:rsid w:val="00D9507A"/>
    <w:rsid w:val="00D95B80"/>
    <w:rsid w:val="00D96D55"/>
    <w:rsid w:val="00DA21B3"/>
    <w:rsid w:val="00DA2DEA"/>
    <w:rsid w:val="00DA48B5"/>
    <w:rsid w:val="00DA695D"/>
    <w:rsid w:val="00DB1824"/>
    <w:rsid w:val="00DB2CFC"/>
    <w:rsid w:val="00DB3822"/>
    <w:rsid w:val="00DB3B87"/>
    <w:rsid w:val="00DB4054"/>
    <w:rsid w:val="00DB471B"/>
    <w:rsid w:val="00DB4B80"/>
    <w:rsid w:val="00DB627C"/>
    <w:rsid w:val="00DB6290"/>
    <w:rsid w:val="00DB7A4D"/>
    <w:rsid w:val="00DC012F"/>
    <w:rsid w:val="00DC15DF"/>
    <w:rsid w:val="00DC1C06"/>
    <w:rsid w:val="00DC591E"/>
    <w:rsid w:val="00DC5E4D"/>
    <w:rsid w:val="00DD0FB2"/>
    <w:rsid w:val="00DD112E"/>
    <w:rsid w:val="00DD11E7"/>
    <w:rsid w:val="00DD1C33"/>
    <w:rsid w:val="00DD435B"/>
    <w:rsid w:val="00DD47E3"/>
    <w:rsid w:val="00DD4B6D"/>
    <w:rsid w:val="00DD57B8"/>
    <w:rsid w:val="00DD5DB3"/>
    <w:rsid w:val="00DD7EDC"/>
    <w:rsid w:val="00DE0F6D"/>
    <w:rsid w:val="00DE6589"/>
    <w:rsid w:val="00DF427A"/>
    <w:rsid w:val="00DF45D0"/>
    <w:rsid w:val="00DF57FD"/>
    <w:rsid w:val="00DF5877"/>
    <w:rsid w:val="00DF789C"/>
    <w:rsid w:val="00DF7949"/>
    <w:rsid w:val="00DF7FD2"/>
    <w:rsid w:val="00E02930"/>
    <w:rsid w:val="00E0393E"/>
    <w:rsid w:val="00E05C44"/>
    <w:rsid w:val="00E102BD"/>
    <w:rsid w:val="00E1345E"/>
    <w:rsid w:val="00E156E7"/>
    <w:rsid w:val="00E15BA6"/>
    <w:rsid w:val="00E162A4"/>
    <w:rsid w:val="00E1669C"/>
    <w:rsid w:val="00E169AE"/>
    <w:rsid w:val="00E16E47"/>
    <w:rsid w:val="00E201D4"/>
    <w:rsid w:val="00E21133"/>
    <w:rsid w:val="00E23A1D"/>
    <w:rsid w:val="00E23AE7"/>
    <w:rsid w:val="00E25308"/>
    <w:rsid w:val="00E262A9"/>
    <w:rsid w:val="00E2729D"/>
    <w:rsid w:val="00E3001F"/>
    <w:rsid w:val="00E3269A"/>
    <w:rsid w:val="00E32FD4"/>
    <w:rsid w:val="00E3375E"/>
    <w:rsid w:val="00E36ED9"/>
    <w:rsid w:val="00E37A7D"/>
    <w:rsid w:val="00E37B05"/>
    <w:rsid w:val="00E40C4F"/>
    <w:rsid w:val="00E41E16"/>
    <w:rsid w:val="00E4433F"/>
    <w:rsid w:val="00E44CBE"/>
    <w:rsid w:val="00E45C16"/>
    <w:rsid w:val="00E46882"/>
    <w:rsid w:val="00E477E1"/>
    <w:rsid w:val="00E50130"/>
    <w:rsid w:val="00E50DFE"/>
    <w:rsid w:val="00E540D1"/>
    <w:rsid w:val="00E5495E"/>
    <w:rsid w:val="00E54F18"/>
    <w:rsid w:val="00E55504"/>
    <w:rsid w:val="00E55995"/>
    <w:rsid w:val="00E603CD"/>
    <w:rsid w:val="00E618FA"/>
    <w:rsid w:val="00E62F11"/>
    <w:rsid w:val="00E63D9D"/>
    <w:rsid w:val="00E64F89"/>
    <w:rsid w:val="00E66485"/>
    <w:rsid w:val="00E668B2"/>
    <w:rsid w:val="00E66ED9"/>
    <w:rsid w:val="00E704A3"/>
    <w:rsid w:val="00E7093D"/>
    <w:rsid w:val="00E71E06"/>
    <w:rsid w:val="00E729B0"/>
    <w:rsid w:val="00E72F7F"/>
    <w:rsid w:val="00E76587"/>
    <w:rsid w:val="00E77698"/>
    <w:rsid w:val="00E77CAD"/>
    <w:rsid w:val="00E80343"/>
    <w:rsid w:val="00E80E31"/>
    <w:rsid w:val="00E81760"/>
    <w:rsid w:val="00E8273C"/>
    <w:rsid w:val="00E83987"/>
    <w:rsid w:val="00E84987"/>
    <w:rsid w:val="00E85122"/>
    <w:rsid w:val="00E85B37"/>
    <w:rsid w:val="00E85CD1"/>
    <w:rsid w:val="00E860F9"/>
    <w:rsid w:val="00E8682E"/>
    <w:rsid w:val="00E86E7E"/>
    <w:rsid w:val="00E92013"/>
    <w:rsid w:val="00E92B5E"/>
    <w:rsid w:val="00E93ADF"/>
    <w:rsid w:val="00E94603"/>
    <w:rsid w:val="00EA0410"/>
    <w:rsid w:val="00EA0A97"/>
    <w:rsid w:val="00EA2B2D"/>
    <w:rsid w:val="00EA2C39"/>
    <w:rsid w:val="00EA2E5E"/>
    <w:rsid w:val="00EA42A2"/>
    <w:rsid w:val="00EA4525"/>
    <w:rsid w:val="00EA46CC"/>
    <w:rsid w:val="00EA5C11"/>
    <w:rsid w:val="00EB0575"/>
    <w:rsid w:val="00EB0CFB"/>
    <w:rsid w:val="00EB0FE3"/>
    <w:rsid w:val="00EB10C5"/>
    <w:rsid w:val="00EB138E"/>
    <w:rsid w:val="00EB1527"/>
    <w:rsid w:val="00EB19F2"/>
    <w:rsid w:val="00EB26C8"/>
    <w:rsid w:val="00EB31C2"/>
    <w:rsid w:val="00EB43C1"/>
    <w:rsid w:val="00EB71FF"/>
    <w:rsid w:val="00EC21A5"/>
    <w:rsid w:val="00EC2F50"/>
    <w:rsid w:val="00EC3C78"/>
    <w:rsid w:val="00EC3EB2"/>
    <w:rsid w:val="00EC5F00"/>
    <w:rsid w:val="00EC658D"/>
    <w:rsid w:val="00EC7E72"/>
    <w:rsid w:val="00ED0657"/>
    <w:rsid w:val="00ED1331"/>
    <w:rsid w:val="00ED275B"/>
    <w:rsid w:val="00ED2917"/>
    <w:rsid w:val="00ED3266"/>
    <w:rsid w:val="00ED4ADD"/>
    <w:rsid w:val="00ED712C"/>
    <w:rsid w:val="00EE1087"/>
    <w:rsid w:val="00EE1217"/>
    <w:rsid w:val="00EE42BF"/>
    <w:rsid w:val="00EE6E33"/>
    <w:rsid w:val="00EE7607"/>
    <w:rsid w:val="00EE774B"/>
    <w:rsid w:val="00EF1E60"/>
    <w:rsid w:val="00EF2737"/>
    <w:rsid w:val="00EF2832"/>
    <w:rsid w:val="00EF297A"/>
    <w:rsid w:val="00EF335B"/>
    <w:rsid w:val="00EF6DDF"/>
    <w:rsid w:val="00EF7DCF"/>
    <w:rsid w:val="00F00C8F"/>
    <w:rsid w:val="00F04502"/>
    <w:rsid w:val="00F047E7"/>
    <w:rsid w:val="00F1075C"/>
    <w:rsid w:val="00F11DF6"/>
    <w:rsid w:val="00F124C7"/>
    <w:rsid w:val="00F13789"/>
    <w:rsid w:val="00F143FC"/>
    <w:rsid w:val="00F16AB9"/>
    <w:rsid w:val="00F17432"/>
    <w:rsid w:val="00F205A3"/>
    <w:rsid w:val="00F2262F"/>
    <w:rsid w:val="00F22F01"/>
    <w:rsid w:val="00F2368D"/>
    <w:rsid w:val="00F24578"/>
    <w:rsid w:val="00F247FB"/>
    <w:rsid w:val="00F2495B"/>
    <w:rsid w:val="00F261E6"/>
    <w:rsid w:val="00F26A25"/>
    <w:rsid w:val="00F274A7"/>
    <w:rsid w:val="00F34993"/>
    <w:rsid w:val="00F34CE4"/>
    <w:rsid w:val="00F365AC"/>
    <w:rsid w:val="00F375D2"/>
    <w:rsid w:val="00F37849"/>
    <w:rsid w:val="00F37989"/>
    <w:rsid w:val="00F40290"/>
    <w:rsid w:val="00F415AE"/>
    <w:rsid w:val="00F41FCE"/>
    <w:rsid w:val="00F42917"/>
    <w:rsid w:val="00F42E9E"/>
    <w:rsid w:val="00F42FA0"/>
    <w:rsid w:val="00F472F3"/>
    <w:rsid w:val="00F472FB"/>
    <w:rsid w:val="00F47F01"/>
    <w:rsid w:val="00F500C3"/>
    <w:rsid w:val="00F52A16"/>
    <w:rsid w:val="00F53133"/>
    <w:rsid w:val="00F541DB"/>
    <w:rsid w:val="00F54B96"/>
    <w:rsid w:val="00F5551D"/>
    <w:rsid w:val="00F55D2F"/>
    <w:rsid w:val="00F609CC"/>
    <w:rsid w:val="00F63722"/>
    <w:rsid w:val="00F64D63"/>
    <w:rsid w:val="00F64ED9"/>
    <w:rsid w:val="00F668F2"/>
    <w:rsid w:val="00F6698E"/>
    <w:rsid w:val="00F675C8"/>
    <w:rsid w:val="00F677F4"/>
    <w:rsid w:val="00F70FD9"/>
    <w:rsid w:val="00F71B60"/>
    <w:rsid w:val="00F72DD6"/>
    <w:rsid w:val="00F742CF"/>
    <w:rsid w:val="00F76896"/>
    <w:rsid w:val="00F7784C"/>
    <w:rsid w:val="00F82D0B"/>
    <w:rsid w:val="00F839C5"/>
    <w:rsid w:val="00F83C69"/>
    <w:rsid w:val="00F84F16"/>
    <w:rsid w:val="00F84F8E"/>
    <w:rsid w:val="00F854FF"/>
    <w:rsid w:val="00F86ADC"/>
    <w:rsid w:val="00F87B23"/>
    <w:rsid w:val="00F94443"/>
    <w:rsid w:val="00F94FC7"/>
    <w:rsid w:val="00F95C8B"/>
    <w:rsid w:val="00F972E6"/>
    <w:rsid w:val="00FA1325"/>
    <w:rsid w:val="00FA1490"/>
    <w:rsid w:val="00FA3600"/>
    <w:rsid w:val="00FA3F99"/>
    <w:rsid w:val="00FA47F0"/>
    <w:rsid w:val="00FA64BB"/>
    <w:rsid w:val="00FB2950"/>
    <w:rsid w:val="00FB2CA3"/>
    <w:rsid w:val="00FB2CB7"/>
    <w:rsid w:val="00FB3141"/>
    <w:rsid w:val="00FB4758"/>
    <w:rsid w:val="00FB48CB"/>
    <w:rsid w:val="00FB520D"/>
    <w:rsid w:val="00FB61E7"/>
    <w:rsid w:val="00FB67D8"/>
    <w:rsid w:val="00FC053E"/>
    <w:rsid w:val="00FC0E13"/>
    <w:rsid w:val="00FC2CA7"/>
    <w:rsid w:val="00FC4242"/>
    <w:rsid w:val="00FC648B"/>
    <w:rsid w:val="00FC7222"/>
    <w:rsid w:val="00FD0402"/>
    <w:rsid w:val="00FD0628"/>
    <w:rsid w:val="00FD168B"/>
    <w:rsid w:val="00FD2813"/>
    <w:rsid w:val="00FD3905"/>
    <w:rsid w:val="00FD3EE0"/>
    <w:rsid w:val="00FD49A7"/>
    <w:rsid w:val="00FD5F4A"/>
    <w:rsid w:val="00FD64C7"/>
    <w:rsid w:val="00FD6E58"/>
    <w:rsid w:val="00FE01A6"/>
    <w:rsid w:val="00FE099D"/>
    <w:rsid w:val="00FE26E2"/>
    <w:rsid w:val="00FE2E42"/>
    <w:rsid w:val="00FE4141"/>
    <w:rsid w:val="00FE47B0"/>
    <w:rsid w:val="00FE4929"/>
    <w:rsid w:val="00FE5249"/>
    <w:rsid w:val="00FE7CE4"/>
    <w:rsid w:val="00FF065E"/>
    <w:rsid w:val="00FF2AE4"/>
    <w:rsid w:val="00FF300D"/>
    <w:rsid w:val="00FF3F96"/>
    <w:rsid w:val="00FF52CD"/>
    <w:rsid w:val="00FF614A"/>
    <w:rsid w:val="00FF6EAB"/>
    <w:rsid w:val="00FF769D"/>
    <w:rsid w:val="00FF7A45"/>
    <w:rsid w:val="0101642B"/>
    <w:rsid w:val="014B38A5"/>
    <w:rsid w:val="016A347B"/>
    <w:rsid w:val="02753E85"/>
    <w:rsid w:val="02CC3F80"/>
    <w:rsid w:val="042E0790"/>
    <w:rsid w:val="060E4278"/>
    <w:rsid w:val="06B07B82"/>
    <w:rsid w:val="06DF2215"/>
    <w:rsid w:val="07493558"/>
    <w:rsid w:val="07707231"/>
    <w:rsid w:val="07BC5DA1"/>
    <w:rsid w:val="07D23B28"/>
    <w:rsid w:val="08253C58"/>
    <w:rsid w:val="08A96637"/>
    <w:rsid w:val="09C02629"/>
    <w:rsid w:val="0A5627EE"/>
    <w:rsid w:val="0AA7129C"/>
    <w:rsid w:val="0B50723E"/>
    <w:rsid w:val="0BF958B8"/>
    <w:rsid w:val="0C637445"/>
    <w:rsid w:val="0E225F44"/>
    <w:rsid w:val="0E3A5F83"/>
    <w:rsid w:val="0FC71A98"/>
    <w:rsid w:val="11561326"/>
    <w:rsid w:val="11AD1ABA"/>
    <w:rsid w:val="12913BB7"/>
    <w:rsid w:val="12A762DD"/>
    <w:rsid w:val="13307389"/>
    <w:rsid w:val="135D699C"/>
    <w:rsid w:val="14465682"/>
    <w:rsid w:val="144E4CA0"/>
    <w:rsid w:val="154716B1"/>
    <w:rsid w:val="154C4F1A"/>
    <w:rsid w:val="15755FA6"/>
    <w:rsid w:val="1638114C"/>
    <w:rsid w:val="16A668AC"/>
    <w:rsid w:val="16D90A2F"/>
    <w:rsid w:val="17546308"/>
    <w:rsid w:val="17DE3E23"/>
    <w:rsid w:val="18493992"/>
    <w:rsid w:val="193630C5"/>
    <w:rsid w:val="194A1770"/>
    <w:rsid w:val="19810F0A"/>
    <w:rsid w:val="19C239FC"/>
    <w:rsid w:val="1A475CB0"/>
    <w:rsid w:val="1AC11F06"/>
    <w:rsid w:val="1B555762"/>
    <w:rsid w:val="1BD23C9F"/>
    <w:rsid w:val="1C694603"/>
    <w:rsid w:val="1CEE4B08"/>
    <w:rsid w:val="1D6152DA"/>
    <w:rsid w:val="1E556CA9"/>
    <w:rsid w:val="1E617257"/>
    <w:rsid w:val="1E7D45CD"/>
    <w:rsid w:val="1EBA7398"/>
    <w:rsid w:val="1FA252D0"/>
    <w:rsid w:val="1FF94191"/>
    <w:rsid w:val="20684DD7"/>
    <w:rsid w:val="2092466C"/>
    <w:rsid w:val="20994D8B"/>
    <w:rsid w:val="20D912DF"/>
    <w:rsid w:val="20F546B7"/>
    <w:rsid w:val="251F57E3"/>
    <w:rsid w:val="25A16BBC"/>
    <w:rsid w:val="26832765"/>
    <w:rsid w:val="268A3AF4"/>
    <w:rsid w:val="26D63F03"/>
    <w:rsid w:val="26E74AA2"/>
    <w:rsid w:val="27280C17"/>
    <w:rsid w:val="280E605F"/>
    <w:rsid w:val="289522DC"/>
    <w:rsid w:val="28BF4345"/>
    <w:rsid w:val="28C02A73"/>
    <w:rsid w:val="2A5E32CD"/>
    <w:rsid w:val="2A798E91"/>
    <w:rsid w:val="2AC86999"/>
    <w:rsid w:val="2B1C2A88"/>
    <w:rsid w:val="2BB37649"/>
    <w:rsid w:val="2D3E73E6"/>
    <w:rsid w:val="2E304F81"/>
    <w:rsid w:val="2E6115DE"/>
    <w:rsid w:val="2F2F1D03"/>
    <w:rsid w:val="309061AB"/>
    <w:rsid w:val="30A8270F"/>
    <w:rsid w:val="3152520E"/>
    <w:rsid w:val="31BB7257"/>
    <w:rsid w:val="31CD2AE7"/>
    <w:rsid w:val="328F5FEE"/>
    <w:rsid w:val="331C7060"/>
    <w:rsid w:val="332E3848"/>
    <w:rsid w:val="33C323F3"/>
    <w:rsid w:val="33EF143A"/>
    <w:rsid w:val="34AE6BFF"/>
    <w:rsid w:val="352716A0"/>
    <w:rsid w:val="35DD2AFA"/>
    <w:rsid w:val="37490E61"/>
    <w:rsid w:val="37F30DCD"/>
    <w:rsid w:val="381C0324"/>
    <w:rsid w:val="386C12AB"/>
    <w:rsid w:val="38FB618B"/>
    <w:rsid w:val="398B5761"/>
    <w:rsid w:val="3B253993"/>
    <w:rsid w:val="3B8D7772"/>
    <w:rsid w:val="3BC401C6"/>
    <w:rsid w:val="3C247732"/>
    <w:rsid w:val="3CAF1767"/>
    <w:rsid w:val="3D097B26"/>
    <w:rsid w:val="3D0C6BB9"/>
    <w:rsid w:val="3D281519"/>
    <w:rsid w:val="3D6E2B00"/>
    <w:rsid w:val="3DDA6CB7"/>
    <w:rsid w:val="3F5D7BA0"/>
    <w:rsid w:val="3FC25C55"/>
    <w:rsid w:val="4007616B"/>
    <w:rsid w:val="4024421A"/>
    <w:rsid w:val="40FE2CBD"/>
    <w:rsid w:val="42334BE8"/>
    <w:rsid w:val="43244531"/>
    <w:rsid w:val="43747266"/>
    <w:rsid w:val="43A96511"/>
    <w:rsid w:val="44044A8E"/>
    <w:rsid w:val="44466E54"/>
    <w:rsid w:val="44BB380A"/>
    <w:rsid w:val="456A4DC4"/>
    <w:rsid w:val="46F51CAF"/>
    <w:rsid w:val="487D4E0F"/>
    <w:rsid w:val="48A44149"/>
    <w:rsid w:val="4A9621B8"/>
    <w:rsid w:val="4B05076D"/>
    <w:rsid w:val="4BD061D0"/>
    <w:rsid w:val="4CBA03DF"/>
    <w:rsid w:val="4CFD207A"/>
    <w:rsid w:val="4D0A4797"/>
    <w:rsid w:val="4D1D44CA"/>
    <w:rsid w:val="4DAB1A24"/>
    <w:rsid w:val="4DF96CE5"/>
    <w:rsid w:val="4E7B76FB"/>
    <w:rsid w:val="4F302BDB"/>
    <w:rsid w:val="50CF1F80"/>
    <w:rsid w:val="51A21442"/>
    <w:rsid w:val="51AB6549"/>
    <w:rsid w:val="51DF61F2"/>
    <w:rsid w:val="523919CF"/>
    <w:rsid w:val="52765F6B"/>
    <w:rsid w:val="536B275A"/>
    <w:rsid w:val="53C41B44"/>
    <w:rsid w:val="53E977FC"/>
    <w:rsid w:val="544E58B1"/>
    <w:rsid w:val="5454111A"/>
    <w:rsid w:val="54BC6CBF"/>
    <w:rsid w:val="5570385F"/>
    <w:rsid w:val="55B55BE8"/>
    <w:rsid w:val="55D02A22"/>
    <w:rsid w:val="55DD28E5"/>
    <w:rsid w:val="55F10BEA"/>
    <w:rsid w:val="565C42B5"/>
    <w:rsid w:val="56B714EC"/>
    <w:rsid w:val="56CF2CD9"/>
    <w:rsid w:val="58AB1524"/>
    <w:rsid w:val="5AC75083"/>
    <w:rsid w:val="5B2630E4"/>
    <w:rsid w:val="5B4A5024"/>
    <w:rsid w:val="5BC36B85"/>
    <w:rsid w:val="5C25514A"/>
    <w:rsid w:val="5D525626"/>
    <w:rsid w:val="5E14191A"/>
    <w:rsid w:val="5E912F6A"/>
    <w:rsid w:val="61043970"/>
    <w:rsid w:val="619012B7"/>
    <w:rsid w:val="62516C98"/>
    <w:rsid w:val="62966DA1"/>
    <w:rsid w:val="62F6525B"/>
    <w:rsid w:val="631416F0"/>
    <w:rsid w:val="63B773AF"/>
    <w:rsid w:val="648C7EFE"/>
    <w:rsid w:val="651D2E62"/>
    <w:rsid w:val="65387C9C"/>
    <w:rsid w:val="65F31E15"/>
    <w:rsid w:val="66410DD2"/>
    <w:rsid w:val="66A852F5"/>
    <w:rsid w:val="66B94E0C"/>
    <w:rsid w:val="66DC1E93"/>
    <w:rsid w:val="674A63AC"/>
    <w:rsid w:val="68161876"/>
    <w:rsid w:val="685F19E3"/>
    <w:rsid w:val="68723AE7"/>
    <w:rsid w:val="68FA0C7A"/>
    <w:rsid w:val="69B144C0"/>
    <w:rsid w:val="69B55D5F"/>
    <w:rsid w:val="6A6D03E7"/>
    <w:rsid w:val="6AE83F12"/>
    <w:rsid w:val="6B0C76DF"/>
    <w:rsid w:val="6B5B191B"/>
    <w:rsid w:val="6B923E7E"/>
    <w:rsid w:val="6C9277A6"/>
    <w:rsid w:val="6C975BF0"/>
    <w:rsid w:val="6CB95B66"/>
    <w:rsid w:val="6CD62F24"/>
    <w:rsid w:val="6EE862ED"/>
    <w:rsid w:val="6F8F0E00"/>
    <w:rsid w:val="6F936B31"/>
    <w:rsid w:val="7036571F"/>
    <w:rsid w:val="71325EE7"/>
    <w:rsid w:val="71573B9F"/>
    <w:rsid w:val="71C11019"/>
    <w:rsid w:val="73AB1B34"/>
    <w:rsid w:val="74A94712"/>
    <w:rsid w:val="7530273D"/>
    <w:rsid w:val="75A35605"/>
    <w:rsid w:val="75BE41ED"/>
    <w:rsid w:val="75C07904"/>
    <w:rsid w:val="75DC4D0C"/>
    <w:rsid w:val="75E579CC"/>
    <w:rsid w:val="7601057E"/>
    <w:rsid w:val="764510FA"/>
    <w:rsid w:val="766A77DA"/>
    <w:rsid w:val="76B64EC4"/>
    <w:rsid w:val="76CB0842"/>
    <w:rsid w:val="77147E3D"/>
    <w:rsid w:val="7725204A"/>
    <w:rsid w:val="7750356B"/>
    <w:rsid w:val="77B238DE"/>
    <w:rsid w:val="782F13D2"/>
    <w:rsid w:val="79181E66"/>
    <w:rsid w:val="7A0F14BB"/>
    <w:rsid w:val="7A3F3423"/>
    <w:rsid w:val="7B036915"/>
    <w:rsid w:val="7B851309"/>
    <w:rsid w:val="7C6F6241"/>
    <w:rsid w:val="7CFE5817"/>
    <w:rsid w:val="7DF53C39"/>
    <w:rsid w:val="7E3C285D"/>
    <w:rsid w:val="7E886109"/>
    <w:rsid w:val="7EB268B9"/>
    <w:rsid w:val="7EC62364"/>
    <w:rsid w:val="7F511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19DD5E1"/>
  <w15:docId w15:val="{AAA87489-A2A3-40FF-98CB-759EE4F04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qFormat/>
    <w:pPr>
      <w:widowControl/>
      <w:spacing w:before="100" w:beforeAutospacing="1" w:after="100" w:afterAutospacing="1"/>
      <w:jc w:val="left"/>
    </w:pPr>
    <w:rPr>
      <w:rFonts w:ascii="宋体" w:hAnsi="宋体" w:cs="宋体"/>
      <w:kern w:val="0"/>
      <w:sz w:val="24"/>
    </w:rPr>
  </w:style>
  <w:style w:type="paragraph" w:styleId="ac">
    <w:name w:val="annotation subject"/>
    <w:basedOn w:val="a3"/>
    <w:next w:val="a3"/>
    <w:link w:val="ad"/>
    <w:uiPriority w:val="99"/>
    <w:semiHidden/>
    <w:unhideWhenUsed/>
    <w:qFormat/>
    <w:rPr>
      <w:b/>
      <w:bCs/>
    </w:rPr>
  </w:style>
  <w:style w:type="table" w:styleId="ae">
    <w:name w:val="Table Grid"/>
    <w:basedOn w:val="a1"/>
    <w:qFormat/>
    <w:pPr>
      <w:widowControl w:val="0"/>
      <w:jc w:val="both"/>
    </w:pPr>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rPr>
  </w:style>
  <w:style w:type="character" w:styleId="af0">
    <w:name w:val="Emphasis"/>
    <w:basedOn w:val="a0"/>
    <w:uiPriority w:val="20"/>
    <w:qFormat/>
    <w:rPr>
      <w:i/>
      <w:iCs/>
    </w:rPr>
  </w:style>
  <w:style w:type="character" w:styleId="af1">
    <w:name w:val="annotation reference"/>
    <w:basedOn w:val="a0"/>
    <w:uiPriority w:val="99"/>
    <w:semiHidden/>
    <w:unhideWhenUsed/>
    <w:qFormat/>
    <w:rPr>
      <w:sz w:val="21"/>
      <w:szCs w:val="21"/>
    </w:rPr>
  </w:style>
  <w:style w:type="character" w:customStyle="1" w:styleId="a8">
    <w:name w:val="页脚 字符"/>
    <w:basedOn w:val="a0"/>
    <w:link w:val="a7"/>
    <w:qFormat/>
    <w:rPr>
      <w:rFonts w:ascii="Times New Roman" w:eastAsia="宋体" w:hAnsi="Times New Roman" w:cs="Times New Roman"/>
      <w:sz w:val="18"/>
      <w:szCs w:val="18"/>
    </w:rPr>
  </w:style>
  <w:style w:type="character" w:customStyle="1" w:styleId="aa">
    <w:name w:val="页眉 字符"/>
    <w:basedOn w:val="a0"/>
    <w:link w:val="a9"/>
    <w:qFormat/>
    <w:rPr>
      <w:rFonts w:ascii="Times New Roman" w:eastAsia="宋体" w:hAnsi="Times New Roman" w:cs="Times New Roman"/>
      <w:sz w:val="18"/>
      <w:szCs w:val="18"/>
    </w:rPr>
  </w:style>
  <w:style w:type="paragraph" w:customStyle="1" w:styleId="Style6">
    <w:name w:val="_Style 6"/>
    <w:basedOn w:val="a"/>
    <w:uiPriority w:val="34"/>
    <w:qFormat/>
    <w:pPr>
      <w:ind w:firstLineChars="200" w:firstLine="420"/>
    </w:pPr>
    <w:rPr>
      <w:rFonts w:ascii="Calibri" w:hAnsi="Calibri"/>
      <w:szCs w:val="22"/>
    </w:rPr>
  </w:style>
  <w:style w:type="character" w:customStyle="1" w:styleId="a4">
    <w:name w:val="批注文字 字符"/>
    <w:basedOn w:val="a0"/>
    <w:link w:val="a3"/>
    <w:uiPriority w:val="99"/>
    <w:qFormat/>
    <w:rPr>
      <w:rFonts w:ascii="Times New Roman" w:eastAsia="宋体" w:hAnsi="Times New Roman" w:cs="Times New Roman"/>
      <w:szCs w:val="24"/>
    </w:rPr>
  </w:style>
  <w:style w:type="character" w:customStyle="1" w:styleId="ad">
    <w:name w:val="批注主题 字符"/>
    <w:basedOn w:val="a4"/>
    <w:link w:val="ac"/>
    <w:uiPriority w:val="99"/>
    <w:semiHidden/>
    <w:qFormat/>
    <w:rPr>
      <w:rFonts w:ascii="Times New Roman" w:eastAsia="宋体" w:hAnsi="Times New Roman" w:cs="Times New Roman"/>
      <w:b/>
      <w:bCs/>
      <w:szCs w:val="24"/>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1">
    <w:name w:val="修订1"/>
    <w:hidden/>
    <w:uiPriority w:val="99"/>
    <w:semiHidden/>
    <w:qFormat/>
    <w:rPr>
      <w:kern w:val="2"/>
      <w:sz w:val="21"/>
      <w:szCs w:val="24"/>
    </w:rPr>
  </w:style>
  <w:style w:type="paragraph" w:customStyle="1" w:styleId="55">
    <w:name w:val="55"/>
    <w:qFormat/>
    <w:rPr>
      <w:rFonts w:ascii="宋体" w:hAnsi="宋体" w:cs="宋体"/>
      <w:sz w:val="21"/>
      <w:szCs w:val="24"/>
    </w:rPr>
  </w:style>
  <w:style w:type="paragraph" w:styleId="af2">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B3A302AF-A5D8-41AC-8FA6-453698A2E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6</Pages>
  <Words>673</Words>
  <Characters>3842</Characters>
  <Application>Microsoft Office Word</Application>
  <DocSecurity>0</DocSecurity>
  <Lines>32</Lines>
  <Paragraphs>9</Paragraphs>
  <ScaleCrop>false</ScaleCrop>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ZQ-毛佳红</dc:creator>
  <cp:lastModifiedBy>ZQ-王俊颖1</cp:lastModifiedBy>
  <cp:revision>45</cp:revision>
  <dcterms:created xsi:type="dcterms:W3CDTF">2026-10-28T14:48:00Z</dcterms:created>
  <dcterms:modified xsi:type="dcterms:W3CDTF">2026-10-29T10:34:00Z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B2EB7FCE62D911A29DA72467212A40AB_43</vt:lpwstr>
  </property>
  <property fmtid="{D5CDD505-2E9C-101B-9397-08002B2CF9AE}" pid="4" name="KSOTemplateDocerSaveRecord">
    <vt:lpwstr>eyJoZGlkIjoiNmViMWYwNmIwNDdhNWE4NWJiNDAzODFlNWY1OTQzMmQiLCJ1c2VySWQiOiI1OTM4NjMzNTEifQ==</vt:lpwstr>
  </property>
</Properties>
</file>