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6D2" w:rsidRDefault="00684BCD">
      <w:pPr>
        <w:spacing w:beforeLines="50" w:before="156" w:afterLines="50" w:after="156" w:line="400" w:lineRule="exact"/>
        <w:jc w:val="center"/>
        <w:rPr>
          <w:rFonts w:ascii="Times New Roman" w:eastAsia="宋体" w:hAnsi="Times New Roman" w:cs="Times New Roman"/>
          <w:b/>
          <w:bCs/>
          <w:iCs/>
          <w:sz w:val="32"/>
          <w:szCs w:val="32"/>
        </w:rPr>
      </w:pPr>
      <w:r>
        <w:rPr>
          <w:rFonts w:ascii="Times New Roman" w:eastAsia="宋体" w:hAnsi="Times New Roman" w:cs="Times New Roman" w:hint="eastAsia"/>
          <w:b/>
          <w:bCs/>
          <w:iCs/>
          <w:sz w:val="32"/>
          <w:szCs w:val="32"/>
        </w:rPr>
        <w:t>中国核电</w:t>
      </w:r>
      <w:r>
        <w:rPr>
          <w:rFonts w:ascii="Times New Roman" w:eastAsia="宋体" w:hAnsi="Times New Roman" w:cs="Times New Roman"/>
          <w:b/>
          <w:bCs/>
          <w:iCs/>
          <w:sz w:val="32"/>
          <w:szCs w:val="32"/>
        </w:rPr>
        <w:t>2026</w:t>
      </w:r>
      <w:r>
        <w:rPr>
          <w:rFonts w:ascii="Times New Roman" w:eastAsia="宋体" w:hAnsi="Times New Roman" w:cs="Times New Roman" w:hint="eastAsia"/>
          <w:b/>
          <w:bCs/>
          <w:iCs/>
          <w:sz w:val="32"/>
          <w:szCs w:val="32"/>
        </w:rPr>
        <w:t>年三季度报告业绩说明会会议记录表</w:t>
      </w:r>
    </w:p>
    <w:p w:rsidR="001D06D2" w:rsidRDefault="00684BCD">
      <w:pPr>
        <w:spacing w:line="400" w:lineRule="exact"/>
        <w:rPr>
          <w:rFonts w:ascii="Times New Roman" w:eastAsia="宋体" w:hAnsi="Times New Roman" w:cs="Times New Roman"/>
          <w:bCs/>
          <w:iCs/>
          <w:sz w:val="24"/>
          <w:szCs w:val="24"/>
        </w:rPr>
      </w:pPr>
      <w:r>
        <w:rPr>
          <w:rFonts w:ascii="Times New Roman" w:eastAsia="宋体" w:hAnsi="Times New Roman" w:cs="Times New Roman"/>
          <w:bCs/>
          <w:iCs/>
          <w:sz w:val="24"/>
          <w:szCs w:val="24"/>
        </w:rPr>
        <w:t xml:space="preserve">                                                       </w:t>
      </w:r>
      <w:r>
        <w:rPr>
          <w:rFonts w:ascii="Times New Roman" w:eastAsia="宋体" w:hAnsi="Times New Roman" w:cs="Times New Roman"/>
          <w:bCs/>
          <w:iCs/>
          <w:sz w:val="24"/>
          <w:szCs w:val="24"/>
        </w:rPr>
        <w:t>编号：</w:t>
      </w:r>
      <w:r>
        <w:rPr>
          <w:rFonts w:ascii="Times New Roman" w:eastAsia="宋体" w:hAnsi="Times New Roman" w:cs="Times New Roman"/>
          <w:bCs/>
          <w:iCs/>
          <w:sz w:val="24"/>
          <w:szCs w:val="24"/>
        </w:rPr>
        <w:t>2026-03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741"/>
      </w:tblGrid>
      <w:tr w:rsidR="001D06D2">
        <w:tc>
          <w:tcPr>
            <w:tcW w:w="1555"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投资者关系活动类别</w:t>
            </w:r>
          </w:p>
        </w:tc>
        <w:tc>
          <w:tcPr>
            <w:tcW w:w="6741"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特定对象调研</w:t>
            </w:r>
            <w:r>
              <w:rPr>
                <w:rFonts w:ascii="Times New Roman" w:eastAsia="宋体" w:hAnsi="Times New Roman" w:cs="Times New Roman"/>
                <w:sz w:val="24"/>
                <w:szCs w:val="24"/>
              </w:rPr>
              <w:t xml:space="preserve">        </w:t>
            </w:r>
            <w:r>
              <w:rPr>
                <w:rFonts w:ascii="Times New Roman" w:eastAsia="宋体" w:hAnsi="Times New Roman" w:cs="Times New Roman"/>
                <w:bCs/>
                <w:iCs/>
                <w:sz w:val="24"/>
                <w:szCs w:val="24"/>
              </w:rPr>
              <w:t>□</w:t>
            </w:r>
            <w:r>
              <w:rPr>
                <w:rFonts w:ascii="Times New Roman" w:eastAsia="宋体" w:hAnsi="Times New Roman" w:cs="Times New Roman"/>
                <w:sz w:val="24"/>
                <w:szCs w:val="24"/>
              </w:rPr>
              <w:t>分析师会议</w:t>
            </w:r>
          </w:p>
          <w:p w:rsidR="001D06D2" w:rsidRDefault="00684BCD">
            <w:pPr>
              <w:spacing w:line="480" w:lineRule="atLeast"/>
              <w:rPr>
                <w:rFonts w:ascii="Times New Roman" w:eastAsia="宋体" w:hAnsi="Times New Roman" w:cs="Times New Roman"/>
                <w:bCs/>
                <w:iCs/>
                <w:sz w:val="24"/>
                <w:szCs w:val="24"/>
              </w:rPr>
            </w:pPr>
            <w:bookmarkStart w:id="0" w:name="OLE_LINK3"/>
            <w:bookmarkStart w:id="1" w:name="OLE_LINK2"/>
            <w:r>
              <w:rPr>
                <w:rFonts w:ascii="Times New Roman" w:eastAsia="宋体" w:hAnsi="Times New Roman" w:cs="Times New Roman"/>
                <w:bCs/>
                <w:iCs/>
                <w:sz w:val="24"/>
                <w:szCs w:val="24"/>
              </w:rPr>
              <w:t>□</w:t>
            </w:r>
            <w:bookmarkEnd w:id="0"/>
            <w:bookmarkEnd w:id="1"/>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Pr>
                <w:rFonts w:ascii="Times New Roman" w:eastAsia="宋体" w:hAnsi="Times New Roman" w:cs="Times New Roman"/>
                <w:bCs/>
                <w:iCs/>
                <w:sz w:val="24"/>
                <w:szCs w:val="24"/>
              </w:rPr>
              <w:t>√</w:t>
            </w:r>
            <w:r>
              <w:rPr>
                <w:rFonts w:ascii="Times New Roman" w:eastAsia="宋体" w:hAnsi="Times New Roman" w:cs="Times New Roman"/>
                <w:sz w:val="24"/>
                <w:szCs w:val="24"/>
              </w:rPr>
              <w:t>业绩发布会</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新闻发布会</w:t>
            </w:r>
            <w:r>
              <w:rPr>
                <w:rFonts w:ascii="Times New Roman" w:eastAsia="宋体" w:hAnsi="Times New Roman" w:cs="Times New Roman"/>
                <w:sz w:val="24"/>
                <w:szCs w:val="24"/>
              </w:rPr>
              <w:t xml:space="preserve">          </w:t>
            </w:r>
            <w:r>
              <w:rPr>
                <w:rFonts w:ascii="Times New Roman" w:eastAsia="宋体" w:hAnsi="Times New Roman" w:cs="Times New Roman"/>
                <w:bCs/>
                <w:iCs/>
                <w:sz w:val="24"/>
                <w:szCs w:val="24"/>
              </w:rPr>
              <w:t>□</w:t>
            </w:r>
            <w:r>
              <w:rPr>
                <w:rFonts w:ascii="Times New Roman" w:eastAsia="宋体" w:hAnsi="Times New Roman" w:cs="Times New Roman"/>
                <w:sz w:val="24"/>
                <w:szCs w:val="24"/>
              </w:rPr>
              <w:t>路演活动</w:t>
            </w:r>
          </w:p>
          <w:p w:rsidR="001D06D2" w:rsidRDefault="00684BCD">
            <w:pPr>
              <w:tabs>
                <w:tab w:val="left" w:pos="3045"/>
                <w:tab w:val="center" w:pos="3199"/>
              </w:tabs>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现场参观</w:t>
            </w:r>
          </w:p>
          <w:p w:rsidR="001D06D2" w:rsidRDefault="00684BCD">
            <w:pPr>
              <w:tabs>
                <w:tab w:val="center" w:pos="3199"/>
              </w:tabs>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其他</w:t>
            </w:r>
            <w:r>
              <w:rPr>
                <w:rFonts w:ascii="Times New Roman" w:eastAsia="宋体" w:hAnsi="Times New Roman" w:cs="Times New Roman"/>
                <w:sz w:val="24"/>
                <w:szCs w:val="24"/>
              </w:rPr>
              <w:t xml:space="preserve"> </w:t>
            </w:r>
          </w:p>
        </w:tc>
      </w:tr>
      <w:tr w:rsidR="001D06D2">
        <w:tc>
          <w:tcPr>
            <w:tcW w:w="1555"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活动时间</w:t>
            </w:r>
          </w:p>
        </w:tc>
        <w:tc>
          <w:tcPr>
            <w:tcW w:w="6741"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2</w:t>
            </w:r>
            <w:r>
              <w:rPr>
                <w:rFonts w:ascii="Times New Roman" w:eastAsia="宋体" w:hAnsi="Times New Roman" w:cs="Times New Roman"/>
                <w:bCs/>
                <w:iCs/>
                <w:sz w:val="24"/>
                <w:szCs w:val="24"/>
              </w:rPr>
              <w:t>026</w:t>
            </w:r>
            <w:r>
              <w:rPr>
                <w:rFonts w:ascii="Times New Roman" w:eastAsia="宋体" w:hAnsi="Times New Roman" w:cs="Times New Roman" w:hint="eastAsia"/>
                <w:bCs/>
                <w:iCs/>
                <w:sz w:val="24"/>
                <w:szCs w:val="24"/>
              </w:rPr>
              <w:t>年</w:t>
            </w:r>
            <w:r>
              <w:rPr>
                <w:rFonts w:ascii="Times New Roman" w:eastAsia="宋体" w:hAnsi="Times New Roman" w:cs="Times New Roman"/>
                <w:bCs/>
                <w:iCs/>
                <w:sz w:val="24"/>
                <w:szCs w:val="24"/>
              </w:rPr>
              <w:t>10</w:t>
            </w:r>
            <w:r>
              <w:rPr>
                <w:rFonts w:ascii="Times New Roman" w:eastAsia="宋体" w:hAnsi="Times New Roman" w:cs="Times New Roman" w:hint="eastAsia"/>
                <w:bCs/>
                <w:iCs/>
                <w:sz w:val="24"/>
                <w:szCs w:val="24"/>
              </w:rPr>
              <w:t>月</w:t>
            </w:r>
            <w:r>
              <w:rPr>
                <w:rFonts w:ascii="Times New Roman" w:eastAsia="宋体" w:hAnsi="Times New Roman" w:cs="Times New Roman"/>
                <w:bCs/>
                <w:iCs/>
                <w:sz w:val="24"/>
                <w:szCs w:val="24"/>
              </w:rPr>
              <w:t>29</w:t>
            </w:r>
            <w:r>
              <w:rPr>
                <w:rFonts w:ascii="Times New Roman" w:eastAsia="宋体" w:hAnsi="Times New Roman" w:cs="Times New Roman" w:hint="eastAsia"/>
                <w:bCs/>
                <w:iCs/>
                <w:sz w:val="24"/>
                <w:szCs w:val="24"/>
              </w:rPr>
              <w:t>日</w:t>
            </w:r>
          </w:p>
        </w:tc>
      </w:tr>
      <w:tr w:rsidR="001D06D2">
        <w:tc>
          <w:tcPr>
            <w:tcW w:w="1555"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方式</w:t>
            </w:r>
          </w:p>
        </w:tc>
        <w:tc>
          <w:tcPr>
            <w:tcW w:w="6741" w:type="dxa"/>
            <w:tcBorders>
              <w:top w:val="single" w:sz="4" w:space="0" w:color="auto"/>
              <w:left w:val="single" w:sz="4" w:space="0" w:color="auto"/>
              <w:bottom w:val="single" w:sz="4" w:space="0" w:color="auto"/>
              <w:right w:val="single" w:sz="4" w:space="0" w:color="auto"/>
            </w:tcBorders>
          </w:tcPr>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举办电话</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网络业绩交流会</w:t>
            </w:r>
          </w:p>
        </w:tc>
      </w:tr>
      <w:tr w:rsidR="001D06D2">
        <w:tc>
          <w:tcPr>
            <w:tcW w:w="1555" w:type="dxa"/>
            <w:tcBorders>
              <w:top w:val="single" w:sz="4" w:space="0" w:color="auto"/>
              <w:left w:val="single" w:sz="4" w:space="0" w:color="auto"/>
              <w:bottom w:val="single" w:sz="4" w:space="0" w:color="auto"/>
              <w:right w:val="single" w:sz="4" w:space="0" w:color="auto"/>
            </w:tcBorders>
            <w:vAlign w:val="center"/>
          </w:tcPr>
          <w:p w:rsidR="001D06D2" w:rsidRDefault="00684BCD">
            <w:pPr>
              <w:spacing w:line="480" w:lineRule="atLeast"/>
              <w:jc w:val="center"/>
              <w:rPr>
                <w:rFonts w:ascii="Times New Roman" w:eastAsia="宋体" w:hAnsi="Times New Roman" w:cs="Times New Roman"/>
                <w:b/>
                <w:bCs/>
                <w:iCs/>
                <w:sz w:val="24"/>
                <w:szCs w:val="24"/>
              </w:rPr>
            </w:pPr>
            <w:r>
              <w:rPr>
                <w:rFonts w:ascii="Times New Roman" w:eastAsia="宋体" w:hAnsi="Times New Roman" w:cs="Times New Roman"/>
                <w:b/>
                <w:bCs/>
                <w:iCs/>
                <w:sz w:val="24"/>
                <w:szCs w:val="24"/>
              </w:rPr>
              <w:t>上市公司</w:t>
            </w:r>
            <w:r>
              <w:rPr>
                <w:rFonts w:ascii="Times New Roman" w:eastAsia="宋体" w:hAnsi="Times New Roman" w:cs="Times New Roman" w:hint="eastAsia"/>
                <w:b/>
                <w:bCs/>
                <w:iCs/>
                <w:sz w:val="24"/>
                <w:szCs w:val="24"/>
              </w:rPr>
              <w:t>参会人员</w:t>
            </w:r>
          </w:p>
        </w:tc>
        <w:tc>
          <w:tcPr>
            <w:tcW w:w="6741" w:type="dxa"/>
            <w:tcBorders>
              <w:top w:val="single" w:sz="4" w:space="0" w:color="auto"/>
              <w:left w:val="single" w:sz="4" w:space="0" w:color="auto"/>
              <w:bottom w:val="single" w:sz="4" w:space="0" w:color="auto"/>
              <w:right w:val="single" w:sz="4" w:space="0" w:color="auto"/>
            </w:tcBorders>
            <w:vAlign w:val="center"/>
          </w:tcPr>
          <w:p w:rsidR="001D06D2" w:rsidRDefault="00684BCD">
            <w:pPr>
              <w:spacing w:line="480" w:lineRule="atLeast"/>
              <w:rPr>
                <w:rFonts w:ascii="Times New Roman" w:eastAsia="宋体" w:hAnsi="Times New Roman" w:cs="Times New Roman"/>
                <w:b/>
                <w:bCs/>
                <w:iCs/>
                <w:sz w:val="24"/>
                <w:szCs w:val="24"/>
              </w:rPr>
            </w:pPr>
            <w:r>
              <w:rPr>
                <w:rFonts w:ascii="Times New Roman" w:eastAsia="宋体" w:hAnsi="Times New Roman" w:cs="Times New Roman"/>
                <w:b/>
                <w:bCs/>
                <w:iCs/>
                <w:sz w:val="24"/>
                <w:szCs w:val="24"/>
              </w:rPr>
              <w:t>中国核能电力股份有限公司</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董事会秘书</w:t>
            </w:r>
            <w:r>
              <w:rPr>
                <w:rFonts w:ascii="Times New Roman" w:eastAsia="宋体" w:hAnsi="Times New Roman" w:cs="Times New Roman"/>
                <w:bCs/>
                <w:iCs/>
                <w:sz w:val="24"/>
                <w:szCs w:val="24"/>
              </w:rPr>
              <w:t xml:space="preserve">                  </w:t>
            </w:r>
            <w:r>
              <w:rPr>
                <w:rFonts w:ascii="Times New Roman" w:eastAsia="宋体" w:hAnsi="Times New Roman" w:cs="Times New Roman"/>
                <w:bCs/>
                <w:iCs/>
                <w:sz w:val="24"/>
                <w:szCs w:val="24"/>
              </w:rPr>
              <w:t>张红军</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证</w:t>
            </w:r>
            <w:r>
              <w:rPr>
                <w:rFonts w:ascii="Times New Roman" w:eastAsia="宋体" w:hAnsi="Times New Roman" w:cs="Times New Roman" w:hint="eastAsia"/>
                <w:bCs/>
                <w:iCs/>
                <w:sz w:val="24"/>
                <w:szCs w:val="24"/>
              </w:rPr>
              <w:t>券及资本运营</w:t>
            </w:r>
            <w:r>
              <w:rPr>
                <w:rFonts w:ascii="Times New Roman" w:eastAsia="宋体" w:hAnsi="Times New Roman" w:cs="Times New Roman"/>
                <w:bCs/>
                <w:iCs/>
                <w:sz w:val="24"/>
                <w:szCs w:val="24"/>
              </w:rPr>
              <w:t>部主任</w:t>
            </w:r>
            <w:r>
              <w:rPr>
                <w:rFonts w:ascii="Times New Roman" w:eastAsia="宋体" w:hAnsi="Times New Roman" w:cs="Times New Roman"/>
                <w:bCs/>
                <w:iCs/>
                <w:sz w:val="24"/>
                <w:szCs w:val="24"/>
              </w:rPr>
              <w:t xml:space="preserve">        </w:t>
            </w:r>
            <w:r>
              <w:rPr>
                <w:rFonts w:ascii="Times New Roman" w:eastAsia="宋体" w:hAnsi="Times New Roman" w:cs="Times New Roman"/>
                <w:bCs/>
                <w:iCs/>
                <w:sz w:val="24"/>
                <w:szCs w:val="24"/>
              </w:rPr>
              <w:t>李兴雷</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财资部主任</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施</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庆</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核能开发事业部副主任</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顾</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健</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战略发展部业务经理</w:t>
            </w:r>
            <w:r>
              <w:rPr>
                <w:rFonts w:ascii="Times New Roman" w:eastAsia="宋体" w:hAnsi="Times New Roman" w:cs="Times New Roman" w:hint="eastAsia"/>
                <w:bCs/>
                <w:iCs/>
                <w:sz w:val="24"/>
                <w:szCs w:val="24"/>
              </w:rPr>
              <w:t xml:space="preserve"> </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刘义明</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电力营销部主管</w:t>
            </w:r>
            <w:r>
              <w:rPr>
                <w:rFonts w:ascii="Times New Roman" w:eastAsia="宋体" w:hAnsi="Times New Roman" w:cs="Times New Roman"/>
                <w:bCs/>
                <w:iCs/>
                <w:sz w:val="24"/>
                <w:szCs w:val="24"/>
              </w:rPr>
              <w:t xml:space="preserve">              </w:t>
            </w:r>
            <w:r>
              <w:rPr>
                <w:rFonts w:ascii="Times New Roman" w:eastAsia="宋体" w:hAnsi="Times New Roman" w:cs="Times New Roman" w:hint="eastAsia"/>
                <w:bCs/>
                <w:iCs/>
                <w:sz w:val="24"/>
                <w:szCs w:val="24"/>
              </w:rPr>
              <w:t>李嘉驹</w:t>
            </w:r>
          </w:p>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bCs/>
                <w:iCs/>
                <w:sz w:val="24"/>
                <w:szCs w:val="24"/>
              </w:rPr>
              <w:t>证券事务代表</w:t>
            </w:r>
            <w:r>
              <w:rPr>
                <w:rFonts w:ascii="Times New Roman" w:eastAsia="宋体" w:hAnsi="Times New Roman" w:cs="Times New Roman"/>
                <w:bCs/>
                <w:iCs/>
                <w:sz w:val="24"/>
                <w:szCs w:val="24"/>
              </w:rPr>
              <w:t xml:space="preserve">                </w:t>
            </w:r>
            <w:r>
              <w:rPr>
                <w:rFonts w:ascii="Times New Roman" w:eastAsia="宋体" w:hAnsi="Times New Roman" w:cs="Times New Roman"/>
                <w:bCs/>
                <w:iCs/>
                <w:sz w:val="24"/>
                <w:szCs w:val="24"/>
              </w:rPr>
              <w:t>姜</w:t>
            </w:r>
            <w:r>
              <w:rPr>
                <w:rFonts w:ascii="Times New Roman" w:eastAsia="宋体" w:hAnsi="Times New Roman" w:cs="Times New Roman"/>
                <w:bCs/>
                <w:iCs/>
                <w:sz w:val="24"/>
                <w:szCs w:val="24"/>
              </w:rPr>
              <w:t xml:space="preserve">  </w:t>
            </w:r>
            <w:r>
              <w:rPr>
                <w:rFonts w:ascii="Times New Roman" w:eastAsia="宋体" w:hAnsi="Times New Roman" w:cs="Times New Roman"/>
                <w:bCs/>
                <w:iCs/>
                <w:sz w:val="24"/>
                <w:szCs w:val="24"/>
              </w:rPr>
              <w:t>静</w:t>
            </w:r>
          </w:p>
        </w:tc>
      </w:tr>
      <w:tr w:rsidR="001D06D2">
        <w:tc>
          <w:tcPr>
            <w:tcW w:w="1555" w:type="dxa"/>
            <w:tcBorders>
              <w:top w:val="single" w:sz="4" w:space="0" w:color="auto"/>
              <w:left w:val="single" w:sz="4" w:space="0" w:color="auto"/>
              <w:bottom w:val="single" w:sz="4" w:space="0" w:color="auto"/>
              <w:right w:val="single" w:sz="4" w:space="0" w:color="auto"/>
            </w:tcBorders>
            <w:vAlign w:val="center"/>
          </w:tcPr>
          <w:p w:rsidR="001D06D2" w:rsidRDefault="00684BCD">
            <w:pPr>
              <w:spacing w:line="480" w:lineRule="atLeast"/>
              <w:jc w:val="center"/>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参会投资者</w:t>
            </w:r>
          </w:p>
        </w:tc>
        <w:tc>
          <w:tcPr>
            <w:tcW w:w="6741" w:type="dxa"/>
            <w:tcBorders>
              <w:top w:val="single" w:sz="4" w:space="0" w:color="auto"/>
              <w:left w:val="single" w:sz="4" w:space="0" w:color="auto"/>
              <w:bottom w:val="single" w:sz="4" w:space="0" w:color="auto"/>
              <w:right w:val="single" w:sz="4" w:space="0" w:color="auto"/>
            </w:tcBorders>
            <w:vAlign w:val="center"/>
          </w:tcPr>
          <w:p w:rsidR="001D06D2" w:rsidRDefault="00684BCD">
            <w:pPr>
              <w:spacing w:line="480" w:lineRule="atLeast"/>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长江证券、中信证券、华宝基金、理成资产、嘉实基金、泰康资产、华富基金、国泰海通、天风证券、建信基金、宏利基金、国金证券、招商证券、交银施罗德基金、汇丰晋信基金、中意资产、泰康基金、华泰证券、兴华基金等</w:t>
            </w:r>
            <w:r>
              <w:rPr>
                <w:rFonts w:ascii="Times New Roman" w:eastAsia="宋体" w:hAnsi="Times New Roman" w:cs="Times New Roman"/>
                <w:bCs/>
                <w:iCs/>
                <w:sz w:val="24"/>
                <w:szCs w:val="24"/>
              </w:rPr>
              <w:t>223</w:t>
            </w:r>
            <w:r>
              <w:rPr>
                <w:rFonts w:ascii="Times New Roman" w:eastAsia="宋体" w:hAnsi="Times New Roman" w:cs="Times New Roman" w:hint="eastAsia"/>
                <w:bCs/>
                <w:iCs/>
                <w:sz w:val="24"/>
                <w:szCs w:val="24"/>
              </w:rPr>
              <w:t>人</w:t>
            </w:r>
          </w:p>
        </w:tc>
      </w:tr>
      <w:tr w:rsidR="001D06D2">
        <w:trPr>
          <w:trHeight w:val="1757"/>
        </w:trPr>
        <w:tc>
          <w:tcPr>
            <w:tcW w:w="1555" w:type="dxa"/>
            <w:tcBorders>
              <w:top w:val="single" w:sz="4" w:space="0" w:color="auto"/>
              <w:left w:val="single" w:sz="4" w:space="0" w:color="auto"/>
              <w:bottom w:val="single" w:sz="4" w:space="0" w:color="auto"/>
              <w:right w:val="single" w:sz="4" w:space="0" w:color="auto"/>
            </w:tcBorders>
            <w:vAlign w:val="center"/>
          </w:tcPr>
          <w:p w:rsidR="001D06D2" w:rsidRDefault="00684BCD">
            <w:pPr>
              <w:spacing w:line="480" w:lineRule="atLeast"/>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投资者关系活动主要内容介绍</w:t>
            </w:r>
          </w:p>
        </w:tc>
        <w:tc>
          <w:tcPr>
            <w:tcW w:w="6741" w:type="dxa"/>
            <w:tcBorders>
              <w:top w:val="single" w:sz="4" w:space="0" w:color="auto"/>
              <w:left w:val="single" w:sz="4" w:space="0" w:color="auto"/>
              <w:bottom w:val="single" w:sz="4" w:space="0" w:color="auto"/>
              <w:right w:val="single" w:sz="4" w:space="0" w:color="auto"/>
            </w:tcBorders>
          </w:tcPr>
          <w:p w:rsidR="001D06D2" w:rsidRDefault="00684BCD">
            <w:pPr>
              <w:widowControl/>
              <w:spacing w:line="276" w:lineRule="auto"/>
              <w:jc w:val="left"/>
              <w:rPr>
                <w:rFonts w:ascii="Times New Roman" w:hAnsi="Times New Roman" w:cs="Times New Roman"/>
                <w:b/>
                <w:sz w:val="24"/>
                <w:szCs w:val="24"/>
              </w:rPr>
            </w:pPr>
            <w:r>
              <w:rPr>
                <w:rFonts w:ascii="Times New Roman" w:hAnsi="Times New Roman" w:cs="Times New Roman"/>
                <w:b/>
                <w:sz w:val="24"/>
                <w:szCs w:val="24"/>
              </w:rPr>
              <w:t>公司主要情况介绍：</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202</w:t>
            </w:r>
            <w:r>
              <w:rPr>
                <w:rFonts w:ascii="Times New Roman" w:hAnsi="Times New Roman" w:cs="Times New Roman"/>
                <w:bCs/>
                <w:color w:val="000000" w:themeColor="text1"/>
                <w:sz w:val="24"/>
                <w:szCs w:val="24"/>
              </w:rPr>
              <w:t>6</w:t>
            </w:r>
            <w:r>
              <w:rPr>
                <w:rFonts w:ascii="Times New Roman" w:hAnsi="Times New Roman" w:cs="Times New Roman" w:hint="eastAsia"/>
                <w:bCs/>
                <w:color w:val="000000" w:themeColor="text1"/>
                <w:sz w:val="24"/>
                <w:szCs w:val="24"/>
              </w:rPr>
              <w:t>年前三季度，公司坚守安全底线，持续开展设备可靠性提升，全面推进运行生产可视化建设，确保机组安全稳定运行，实现上网电量</w:t>
            </w:r>
            <w:r>
              <w:rPr>
                <w:rFonts w:ascii="Times New Roman" w:hAnsi="Times New Roman" w:cs="Times New Roman"/>
                <w:bCs/>
                <w:color w:val="000000" w:themeColor="text1"/>
                <w:sz w:val="24"/>
                <w:szCs w:val="24"/>
              </w:rPr>
              <w:t>1,740.95</w:t>
            </w:r>
            <w:r>
              <w:rPr>
                <w:rFonts w:ascii="Times New Roman" w:hAnsi="Times New Roman" w:cs="Times New Roman" w:hint="eastAsia"/>
                <w:bCs/>
                <w:color w:val="000000" w:themeColor="text1"/>
                <w:sz w:val="24"/>
                <w:szCs w:val="24"/>
              </w:rPr>
              <w:t>亿度；核电运行业绩继续保持行业领先，前三季度预测</w:t>
            </w:r>
            <w:r>
              <w:rPr>
                <w:rFonts w:ascii="Times New Roman" w:hAnsi="Times New Roman" w:cs="Times New Roman" w:hint="eastAsia"/>
                <w:bCs/>
                <w:color w:val="000000" w:themeColor="text1"/>
                <w:sz w:val="24"/>
                <w:szCs w:val="24"/>
              </w:rPr>
              <w:t>18</w:t>
            </w:r>
            <w:r>
              <w:rPr>
                <w:rFonts w:ascii="Times New Roman" w:hAnsi="Times New Roman" w:cs="Times New Roman" w:hint="eastAsia"/>
                <w:bCs/>
                <w:color w:val="000000" w:themeColor="text1"/>
                <w:sz w:val="24"/>
                <w:szCs w:val="24"/>
              </w:rPr>
              <w:t>台机组</w:t>
            </w:r>
            <w:r>
              <w:rPr>
                <w:rFonts w:ascii="Times New Roman" w:hAnsi="Times New Roman" w:cs="Times New Roman" w:hint="eastAsia"/>
                <w:bCs/>
                <w:color w:val="000000" w:themeColor="text1"/>
                <w:sz w:val="24"/>
                <w:szCs w:val="24"/>
              </w:rPr>
              <w:t>WANO</w:t>
            </w:r>
            <w:r>
              <w:rPr>
                <w:rFonts w:ascii="Times New Roman" w:hAnsi="Times New Roman" w:cs="Times New Roman" w:hint="eastAsia"/>
                <w:bCs/>
                <w:color w:val="000000" w:themeColor="text1"/>
                <w:sz w:val="24"/>
                <w:szCs w:val="24"/>
              </w:rPr>
              <w:t>综合指数满分，圆满完成</w:t>
            </w:r>
            <w:r>
              <w:rPr>
                <w:rFonts w:ascii="Times New Roman" w:hAnsi="Times New Roman" w:cs="Times New Roman" w:hint="eastAsia"/>
                <w:bCs/>
                <w:color w:val="000000" w:themeColor="text1"/>
                <w:sz w:val="24"/>
                <w:szCs w:val="24"/>
              </w:rPr>
              <w:t>1</w:t>
            </w:r>
            <w:r>
              <w:rPr>
                <w:rFonts w:ascii="Times New Roman" w:hAnsi="Times New Roman" w:cs="Times New Roman"/>
                <w:bCs/>
                <w:color w:val="000000" w:themeColor="text1"/>
                <w:sz w:val="24"/>
                <w:szCs w:val="24"/>
              </w:rPr>
              <w:t>1</w:t>
            </w:r>
            <w:r>
              <w:rPr>
                <w:rFonts w:ascii="Times New Roman" w:hAnsi="Times New Roman" w:cs="Times New Roman" w:hint="eastAsia"/>
                <w:bCs/>
                <w:color w:val="000000" w:themeColor="text1"/>
                <w:sz w:val="24"/>
                <w:szCs w:val="24"/>
              </w:rPr>
              <w:t>次大修。</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2026</w:t>
            </w:r>
            <w:r>
              <w:rPr>
                <w:rFonts w:ascii="Times New Roman" w:hAnsi="Times New Roman" w:cs="Times New Roman" w:hint="eastAsia"/>
                <w:bCs/>
                <w:color w:val="000000" w:themeColor="text1"/>
                <w:sz w:val="24"/>
                <w:szCs w:val="24"/>
              </w:rPr>
              <w:t>年前三季度，公司实现营业收入</w:t>
            </w:r>
            <w:r>
              <w:rPr>
                <w:rFonts w:ascii="Times New Roman" w:hAnsi="Times New Roman" w:cs="Times New Roman" w:hint="eastAsia"/>
                <w:bCs/>
                <w:color w:val="000000" w:themeColor="text1"/>
                <w:sz w:val="24"/>
                <w:szCs w:val="24"/>
              </w:rPr>
              <w:t>598.48</w:t>
            </w:r>
            <w:r>
              <w:rPr>
                <w:rFonts w:ascii="Times New Roman" w:hAnsi="Times New Roman" w:cs="Times New Roman" w:hint="eastAsia"/>
                <w:bCs/>
                <w:color w:val="000000" w:themeColor="text1"/>
                <w:sz w:val="24"/>
                <w:szCs w:val="24"/>
              </w:rPr>
              <w:t>亿元，归母净利润</w:t>
            </w:r>
            <w:r>
              <w:rPr>
                <w:rFonts w:ascii="Times New Roman" w:hAnsi="Times New Roman" w:cs="Times New Roman" w:hint="eastAsia"/>
                <w:bCs/>
                <w:color w:val="000000" w:themeColor="text1"/>
                <w:sz w:val="24"/>
                <w:szCs w:val="24"/>
              </w:rPr>
              <w:t>60.66</w:t>
            </w:r>
            <w:r>
              <w:rPr>
                <w:rFonts w:ascii="Times New Roman" w:hAnsi="Times New Roman" w:cs="Times New Roman" w:hint="eastAsia"/>
                <w:bCs/>
                <w:color w:val="000000" w:themeColor="text1"/>
                <w:sz w:val="24"/>
                <w:szCs w:val="24"/>
              </w:rPr>
              <w:t>亿元。</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lastRenderedPageBreak/>
              <w:t>其中核电实现归母净利润</w:t>
            </w:r>
            <w:r>
              <w:rPr>
                <w:rFonts w:ascii="Times New Roman" w:hAnsi="Times New Roman" w:cs="Times New Roman" w:hint="eastAsia"/>
                <w:bCs/>
                <w:color w:val="000000" w:themeColor="text1"/>
                <w:sz w:val="24"/>
                <w:szCs w:val="24"/>
              </w:rPr>
              <w:t>65.08</w:t>
            </w:r>
            <w:r>
              <w:rPr>
                <w:rFonts w:ascii="Times New Roman" w:hAnsi="Times New Roman" w:cs="Times New Roman" w:hint="eastAsia"/>
                <w:bCs/>
                <w:color w:val="000000" w:themeColor="text1"/>
                <w:sz w:val="24"/>
                <w:szCs w:val="24"/>
              </w:rPr>
              <w:t>亿元，同比下降约</w:t>
            </w:r>
            <w:r>
              <w:rPr>
                <w:rFonts w:ascii="Times New Roman" w:hAnsi="Times New Roman" w:cs="Times New Roman" w:hint="eastAsia"/>
                <w:bCs/>
                <w:color w:val="000000" w:themeColor="text1"/>
                <w:sz w:val="24"/>
                <w:szCs w:val="24"/>
              </w:rPr>
              <w:t>12.84%</w:t>
            </w:r>
            <w:r>
              <w:rPr>
                <w:rFonts w:ascii="Times New Roman" w:hAnsi="Times New Roman" w:cs="Times New Roman" w:hint="eastAsia"/>
                <w:bCs/>
                <w:color w:val="000000" w:themeColor="text1"/>
                <w:sz w:val="24"/>
                <w:szCs w:val="24"/>
              </w:rPr>
              <w:t>，主要原因为市场化电价下降、大修同比增加、增值税返还减少等方面；</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1</w:t>
            </w:r>
            <w:r>
              <w:rPr>
                <w:rFonts w:ascii="Times New Roman" w:hAnsi="Times New Roman" w:cs="Times New Roman"/>
                <w:bCs/>
                <w:color w:val="000000" w:themeColor="text1"/>
                <w:sz w:val="24"/>
                <w:szCs w:val="24"/>
              </w:rPr>
              <w:t>.</w:t>
            </w:r>
            <w:r>
              <w:rPr>
                <w:rFonts w:ascii="Times New Roman" w:hAnsi="Times New Roman" w:cs="Times New Roman" w:hint="eastAsia"/>
                <w:bCs/>
                <w:color w:val="000000" w:themeColor="text1"/>
                <w:sz w:val="24"/>
                <w:szCs w:val="24"/>
              </w:rPr>
              <w:t>电价方面：前三季度核电综合结算电价为约</w:t>
            </w:r>
            <w:r>
              <w:rPr>
                <w:rFonts w:ascii="Times New Roman" w:hAnsi="Times New Roman" w:cs="Times New Roman" w:hint="eastAsia"/>
                <w:bCs/>
                <w:color w:val="000000" w:themeColor="text1"/>
                <w:sz w:val="24"/>
                <w:szCs w:val="24"/>
              </w:rPr>
              <w:t>0</w:t>
            </w:r>
            <w:r>
              <w:rPr>
                <w:rFonts w:ascii="Times New Roman" w:hAnsi="Times New Roman" w:cs="Times New Roman"/>
                <w:bCs/>
                <w:color w:val="000000" w:themeColor="text1"/>
                <w:sz w:val="24"/>
                <w:szCs w:val="24"/>
              </w:rPr>
              <w:t>.38</w:t>
            </w:r>
            <w:r>
              <w:rPr>
                <w:rFonts w:ascii="Times New Roman" w:hAnsi="Times New Roman" w:cs="Times New Roman" w:hint="eastAsia"/>
                <w:bCs/>
                <w:color w:val="000000" w:themeColor="text1"/>
                <w:sz w:val="24"/>
                <w:szCs w:val="24"/>
              </w:rPr>
              <w:t>元</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度，其中市场电交易电量</w:t>
            </w:r>
            <w:r>
              <w:rPr>
                <w:rFonts w:ascii="Times New Roman" w:hAnsi="Times New Roman" w:cs="Times New Roman" w:hint="eastAsia"/>
                <w:bCs/>
                <w:color w:val="000000" w:themeColor="text1"/>
                <w:sz w:val="24"/>
                <w:szCs w:val="24"/>
              </w:rPr>
              <w:t>1,015</w:t>
            </w:r>
            <w:r>
              <w:rPr>
                <w:rFonts w:ascii="Times New Roman" w:hAnsi="Times New Roman" w:cs="Times New Roman" w:hint="eastAsia"/>
                <w:bCs/>
                <w:color w:val="000000" w:themeColor="text1"/>
                <w:sz w:val="24"/>
                <w:szCs w:val="24"/>
              </w:rPr>
              <w:t>亿度，约占上网电量的</w:t>
            </w:r>
            <w:r>
              <w:rPr>
                <w:rFonts w:ascii="Times New Roman" w:hAnsi="Times New Roman" w:cs="Times New Roman" w:hint="eastAsia"/>
                <w:bCs/>
                <w:color w:val="000000" w:themeColor="text1"/>
                <w:sz w:val="24"/>
                <w:szCs w:val="24"/>
              </w:rPr>
              <w:t>71%</w:t>
            </w:r>
            <w:r>
              <w:rPr>
                <w:rFonts w:ascii="Times New Roman" w:hAnsi="Times New Roman" w:cs="Times New Roman" w:hint="eastAsia"/>
                <w:bCs/>
                <w:color w:val="000000" w:themeColor="text1"/>
                <w:sz w:val="24"/>
                <w:szCs w:val="24"/>
              </w:rPr>
              <w:t>，平均市场电价约</w:t>
            </w:r>
            <w:r>
              <w:rPr>
                <w:rFonts w:ascii="Times New Roman" w:hAnsi="Times New Roman" w:cs="Times New Roman" w:hint="eastAsia"/>
                <w:bCs/>
                <w:color w:val="000000" w:themeColor="text1"/>
                <w:sz w:val="24"/>
                <w:szCs w:val="24"/>
              </w:rPr>
              <w:t>0.37</w:t>
            </w:r>
            <w:r>
              <w:rPr>
                <w:rFonts w:ascii="Times New Roman" w:hAnsi="Times New Roman" w:cs="Times New Roman" w:hint="eastAsia"/>
                <w:bCs/>
                <w:color w:val="000000" w:themeColor="text1"/>
                <w:sz w:val="24"/>
                <w:szCs w:val="24"/>
              </w:rPr>
              <w:t>元</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度，第三季度环比第二季度有所回暖，涨幅约</w:t>
            </w:r>
            <w:r>
              <w:rPr>
                <w:rFonts w:ascii="Times New Roman" w:hAnsi="Times New Roman" w:cs="Times New Roman" w:hint="eastAsia"/>
                <w:bCs/>
                <w:color w:val="000000" w:themeColor="text1"/>
                <w:sz w:val="24"/>
                <w:szCs w:val="24"/>
              </w:rPr>
              <w:t>2%</w:t>
            </w:r>
            <w:r>
              <w:rPr>
                <w:rFonts w:ascii="Times New Roman" w:hAnsi="Times New Roman" w:cs="Times New Roman" w:hint="eastAsia"/>
                <w:bCs/>
                <w:color w:val="000000" w:themeColor="text1"/>
                <w:sz w:val="24"/>
                <w:szCs w:val="24"/>
              </w:rPr>
              <w:t>。</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2</w:t>
            </w:r>
            <w:r>
              <w:rPr>
                <w:rFonts w:ascii="Times New Roman" w:hAnsi="Times New Roman" w:cs="Times New Roman"/>
                <w:bCs/>
                <w:color w:val="000000" w:themeColor="text1"/>
                <w:sz w:val="24"/>
                <w:szCs w:val="24"/>
              </w:rPr>
              <w:t>.</w:t>
            </w:r>
            <w:r>
              <w:rPr>
                <w:rFonts w:ascii="Times New Roman" w:hAnsi="Times New Roman" w:cs="Times New Roman" w:hint="eastAsia"/>
                <w:bCs/>
                <w:color w:val="000000" w:themeColor="text1"/>
                <w:sz w:val="24"/>
                <w:szCs w:val="24"/>
              </w:rPr>
              <w:t>营业成本方面：同比增加</w:t>
            </w:r>
            <w:r>
              <w:rPr>
                <w:rFonts w:ascii="Times New Roman" w:hAnsi="Times New Roman" w:cs="Times New Roman" w:hint="eastAsia"/>
                <w:bCs/>
                <w:color w:val="000000" w:themeColor="text1"/>
                <w:sz w:val="24"/>
                <w:szCs w:val="24"/>
              </w:rPr>
              <w:t>17.42</w:t>
            </w:r>
            <w:r>
              <w:rPr>
                <w:rFonts w:ascii="Times New Roman" w:hAnsi="Times New Roman" w:cs="Times New Roman" w:hint="eastAsia"/>
                <w:bCs/>
                <w:color w:val="000000" w:themeColor="text1"/>
                <w:sz w:val="24"/>
                <w:szCs w:val="24"/>
              </w:rPr>
              <w:t>亿元，增长约</w:t>
            </w:r>
            <w:r>
              <w:rPr>
                <w:rFonts w:ascii="Times New Roman" w:hAnsi="Times New Roman" w:cs="Times New Roman" w:hint="eastAsia"/>
                <w:bCs/>
                <w:color w:val="000000" w:themeColor="text1"/>
                <w:sz w:val="24"/>
                <w:szCs w:val="24"/>
              </w:rPr>
              <w:t>6.28%</w:t>
            </w:r>
            <w:r>
              <w:rPr>
                <w:rFonts w:ascii="Times New Roman" w:hAnsi="Times New Roman" w:cs="Times New Roman" w:hint="eastAsia"/>
                <w:bCs/>
                <w:color w:val="000000" w:themeColor="text1"/>
                <w:sz w:val="24"/>
                <w:szCs w:val="24"/>
              </w:rPr>
              <w:t>。主要系检修天数增多导致费用增加（同比增加</w:t>
            </w:r>
            <w:r>
              <w:rPr>
                <w:rFonts w:ascii="Times New Roman" w:hAnsi="Times New Roman" w:cs="Times New Roman" w:hint="eastAsia"/>
                <w:bCs/>
                <w:color w:val="000000" w:themeColor="text1"/>
                <w:sz w:val="24"/>
                <w:szCs w:val="24"/>
              </w:rPr>
              <w:t>157</w:t>
            </w:r>
            <w:r>
              <w:rPr>
                <w:rFonts w:ascii="Times New Roman" w:hAnsi="Times New Roman" w:cs="Times New Roman" w:hint="eastAsia"/>
                <w:bCs/>
                <w:color w:val="000000" w:themeColor="text1"/>
                <w:sz w:val="24"/>
                <w:szCs w:val="24"/>
              </w:rPr>
              <w:t>天，</w:t>
            </w:r>
            <w:r>
              <w:rPr>
                <w:rFonts w:ascii="Times New Roman" w:hAnsi="Times New Roman" w:cs="Times New Roman" w:hint="eastAsia"/>
                <w:bCs/>
                <w:color w:val="000000" w:themeColor="text1"/>
                <w:sz w:val="24"/>
                <w:szCs w:val="24"/>
              </w:rPr>
              <w:t>3.72</w:t>
            </w:r>
            <w:r>
              <w:rPr>
                <w:rFonts w:ascii="Times New Roman" w:hAnsi="Times New Roman" w:cs="Times New Roman" w:hint="eastAsia"/>
                <w:bCs/>
                <w:color w:val="000000" w:themeColor="text1"/>
                <w:sz w:val="24"/>
                <w:szCs w:val="24"/>
              </w:rPr>
              <w:t>亿元，本期</w:t>
            </w:r>
            <w:r>
              <w:rPr>
                <w:rFonts w:ascii="Times New Roman" w:hAnsi="Times New Roman" w:cs="Times New Roman" w:hint="eastAsia"/>
                <w:bCs/>
                <w:color w:val="000000" w:themeColor="text1"/>
                <w:sz w:val="24"/>
                <w:szCs w:val="24"/>
              </w:rPr>
              <w:t>11</w:t>
            </w:r>
            <w:r>
              <w:rPr>
                <w:rFonts w:ascii="Times New Roman" w:hAnsi="Times New Roman" w:cs="Times New Roman" w:hint="eastAsia"/>
                <w:bCs/>
                <w:color w:val="000000" w:themeColor="text1"/>
                <w:sz w:val="24"/>
                <w:szCs w:val="24"/>
              </w:rPr>
              <w:t>台机组大修、大修</w:t>
            </w:r>
            <w:r>
              <w:rPr>
                <w:rFonts w:ascii="Times New Roman" w:hAnsi="Times New Roman" w:cs="Times New Roman" w:hint="eastAsia"/>
                <w:bCs/>
                <w:color w:val="000000" w:themeColor="text1"/>
                <w:sz w:val="24"/>
                <w:szCs w:val="24"/>
              </w:rPr>
              <w:t>419.04</w:t>
            </w:r>
            <w:r>
              <w:rPr>
                <w:rFonts w:ascii="Times New Roman" w:hAnsi="Times New Roman" w:cs="Times New Roman" w:hint="eastAsia"/>
                <w:bCs/>
                <w:color w:val="000000" w:themeColor="text1"/>
                <w:sz w:val="24"/>
                <w:szCs w:val="24"/>
              </w:rPr>
              <w:t>天、上期</w:t>
            </w:r>
            <w:r>
              <w:rPr>
                <w:rFonts w:ascii="Times New Roman" w:hAnsi="Times New Roman" w:cs="Times New Roman" w:hint="eastAsia"/>
                <w:bCs/>
                <w:color w:val="000000" w:themeColor="text1"/>
                <w:sz w:val="24"/>
                <w:szCs w:val="24"/>
              </w:rPr>
              <w:t>10</w:t>
            </w:r>
            <w:r>
              <w:rPr>
                <w:rFonts w:ascii="Times New Roman" w:hAnsi="Times New Roman" w:cs="Times New Roman" w:hint="eastAsia"/>
                <w:bCs/>
                <w:color w:val="000000" w:themeColor="text1"/>
                <w:sz w:val="24"/>
                <w:szCs w:val="24"/>
              </w:rPr>
              <w:t>台机组大修、大修</w:t>
            </w:r>
            <w:r>
              <w:rPr>
                <w:rFonts w:ascii="Times New Roman" w:hAnsi="Times New Roman" w:cs="Times New Roman" w:hint="eastAsia"/>
                <w:bCs/>
                <w:color w:val="000000" w:themeColor="text1"/>
                <w:sz w:val="24"/>
                <w:szCs w:val="24"/>
              </w:rPr>
              <w:t>262.41</w:t>
            </w:r>
            <w:r>
              <w:rPr>
                <w:rFonts w:ascii="Times New Roman" w:hAnsi="Times New Roman" w:cs="Times New Roman" w:hint="eastAsia"/>
                <w:bCs/>
                <w:color w:val="000000" w:themeColor="text1"/>
                <w:sz w:val="24"/>
                <w:szCs w:val="24"/>
              </w:rPr>
              <w:t>天），乏燃料处置费增加（同比新增江苏</w:t>
            </w:r>
            <w:r>
              <w:rPr>
                <w:rFonts w:ascii="Times New Roman" w:hAnsi="Times New Roman" w:cs="Times New Roman" w:hint="eastAsia"/>
                <w:bCs/>
                <w:color w:val="000000" w:themeColor="text1"/>
                <w:sz w:val="24"/>
                <w:szCs w:val="24"/>
              </w:rPr>
              <w:t>5</w:t>
            </w:r>
            <w:r>
              <w:rPr>
                <w:rFonts w:ascii="Times New Roman" w:hAnsi="Times New Roman" w:cs="Times New Roman" w:hint="eastAsia"/>
                <w:bCs/>
                <w:color w:val="000000" w:themeColor="text1"/>
                <w:sz w:val="24"/>
                <w:szCs w:val="24"/>
              </w:rPr>
              <w:t>号和福清</w:t>
            </w:r>
            <w:r>
              <w:rPr>
                <w:rFonts w:ascii="Times New Roman" w:hAnsi="Times New Roman" w:cs="Times New Roman" w:hint="eastAsia"/>
                <w:bCs/>
                <w:color w:val="000000" w:themeColor="text1"/>
                <w:sz w:val="24"/>
                <w:szCs w:val="24"/>
              </w:rPr>
              <w:t>5</w:t>
            </w:r>
            <w:r>
              <w:rPr>
                <w:rFonts w:ascii="Times New Roman" w:hAnsi="Times New Roman" w:cs="Times New Roman" w:hint="eastAsia"/>
                <w:bCs/>
                <w:color w:val="000000" w:themeColor="text1"/>
                <w:sz w:val="24"/>
                <w:szCs w:val="24"/>
              </w:rPr>
              <w:t>号机组乏燃料处置基金计提）以及核燃料成本增加等方面（同比增加</w:t>
            </w:r>
            <w:r>
              <w:rPr>
                <w:rFonts w:ascii="Times New Roman" w:hAnsi="Times New Roman" w:cs="Times New Roman" w:hint="eastAsia"/>
                <w:bCs/>
                <w:color w:val="000000" w:themeColor="text1"/>
                <w:sz w:val="24"/>
                <w:szCs w:val="24"/>
              </w:rPr>
              <w:t>4.40</w:t>
            </w:r>
            <w:r>
              <w:rPr>
                <w:rFonts w:ascii="Times New Roman" w:hAnsi="Times New Roman" w:cs="Times New Roman" w:hint="eastAsia"/>
                <w:bCs/>
                <w:color w:val="000000" w:themeColor="text1"/>
                <w:sz w:val="24"/>
                <w:szCs w:val="24"/>
              </w:rPr>
              <w:t>亿元，增长</w:t>
            </w:r>
            <w:r>
              <w:rPr>
                <w:rFonts w:ascii="Times New Roman" w:hAnsi="Times New Roman" w:cs="Times New Roman" w:hint="eastAsia"/>
                <w:bCs/>
                <w:color w:val="000000" w:themeColor="text1"/>
                <w:sz w:val="24"/>
                <w:szCs w:val="24"/>
              </w:rPr>
              <w:t>6.83%</w:t>
            </w:r>
            <w:r>
              <w:rPr>
                <w:rFonts w:ascii="Times New Roman" w:hAnsi="Times New Roman" w:cs="Times New Roman" w:hint="eastAsia"/>
                <w:bCs/>
                <w:color w:val="000000" w:themeColor="text1"/>
                <w:sz w:val="24"/>
                <w:szCs w:val="24"/>
              </w:rPr>
              <w:t>）。</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3</w:t>
            </w:r>
            <w:r>
              <w:rPr>
                <w:rFonts w:ascii="Times New Roman" w:hAnsi="Times New Roman" w:cs="Times New Roman"/>
                <w:bCs/>
                <w:color w:val="000000" w:themeColor="text1"/>
                <w:sz w:val="24"/>
                <w:szCs w:val="24"/>
              </w:rPr>
              <w:t>.</w:t>
            </w:r>
            <w:r>
              <w:rPr>
                <w:rFonts w:ascii="Times New Roman" w:hAnsi="Times New Roman" w:cs="Times New Roman" w:hint="eastAsia"/>
                <w:bCs/>
                <w:color w:val="000000" w:themeColor="text1"/>
                <w:sz w:val="24"/>
                <w:szCs w:val="24"/>
              </w:rPr>
              <w:t>其他收益方面：同比减少</w:t>
            </w:r>
            <w:r>
              <w:rPr>
                <w:rFonts w:ascii="Times New Roman" w:hAnsi="Times New Roman" w:cs="Times New Roman" w:hint="eastAsia"/>
                <w:bCs/>
                <w:color w:val="000000" w:themeColor="text1"/>
                <w:sz w:val="24"/>
                <w:szCs w:val="24"/>
              </w:rPr>
              <w:t>2.01</w:t>
            </w:r>
            <w:r>
              <w:rPr>
                <w:rFonts w:ascii="Times New Roman" w:hAnsi="Times New Roman" w:cs="Times New Roman" w:hint="eastAsia"/>
                <w:bCs/>
                <w:color w:val="000000" w:themeColor="text1"/>
                <w:sz w:val="24"/>
                <w:szCs w:val="24"/>
              </w:rPr>
              <w:t>亿元，下降</w:t>
            </w:r>
            <w:r>
              <w:rPr>
                <w:rFonts w:ascii="Times New Roman" w:hAnsi="Times New Roman" w:cs="Times New Roman" w:hint="eastAsia"/>
                <w:bCs/>
                <w:color w:val="000000" w:themeColor="text1"/>
                <w:sz w:val="24"/>
                <w:szCs w:val="24"/>
              </w:rPr>
              <w:t>9.30%</w:t>
            </w:r>
            <w:r>
              <w:rPr>
                <w:rFonts w:ascii="Times New Roman" w:hAnsi="Times New Roman" w:cs="Times New Roman" w:hint="eastAsia"/>
                <w:bCs/>
                <w:color w:val="000000" w:themeColor="text1"/>
                <w:sz w:val="24"/>
                <w:szCs w:val="24"/>
              </w:rPr>
              <w:t>，主要系福清和江苏增值税返还减少。</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新能源方面，公司前三季度实现归母净利润为</w:t>
            </w:r>
            <w:r>
              <w:rPr>
                <w:rFonts w:ascii="Times New Roman" w:hAnsi="Times New Roman" w:cs="Times New Roman" w:hint="eastAsia"/>
                <w:bCs/>
                <w:color w:val="000000" w:themeColor="text1"/>
                <w:sz w:val="24"/>
                <w:szCs w:val="24"/>
              </w:rPr>
              <w:t>-4.42</w:t>
            </w:r>
            <w:r>
              <w:rPr>
                <w:rFonts w:ascii="Times New Roman" w:hAnsi="Times New Roman" w:cs="Times New Roman" w:hint="eastAsia"/>
                <w:bCs/>
                <w:color w:val="000000" w:themeColor="text1"/>
                <w:sz w:val="24"/>
                <w:szCs w:val="24"/>
              </w:rPr>
              <w:t>亿元，主要原因为电价下行与限电率提升、营业成本增加、汇能归母利润减少等多方面；前三季度公司新能源综合电价约</w:t>
            </w:r>
            <w:r>
              <w:rPr>
                <w:rFonts w:ascii="Times New Roman" w:hAnsi="Times New Roman" w:cs="Times New Roman" w:hint="eastAsia"/>
                <w:bCs/>
                <w:color w:val="000000" w:themeColor="text1"/>
                <w:sz w:val="24"/>
                <w:szCs w:val="24"/>
              </w:rPr>
              <w:t>0.33</w:t>
            </w:r>
            <w:r>
              <w:rPr>
                <w:rFonts w:ascii="Times New Roman" w:hAnsi="Times New Roman" w:cs="Times New Roman" w:hint="eastAsia"/>
                <w:bCs/>
                <w:color w:val="000000" w:themeColor="text1"/>
                <w:sz w:val="24"/>
                <w:szCs w:val="24"/>
              </w:rPr>
              <w:t>元</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度，同比下降约</w:t>
            </w:r>
            <w:r>
              <w:rPr>
                <w:rFonts w:ascii="Times New Roman" w:hAnsi="Times New Roman" w:cs="Times New Roman" w:hint="eastAsia"/>
                <w:bCs/>
                <w:color w:val="000000" w:themeColor="text1"/>
                <w:sz w:val="24"/>
                <w:szCs w:val="24"/>
              </w:rPr>
              <w:t>10.10%</w:t>
            </w:r>
            <w:r>
              <w:rPr>
                <w:rFonts w:ascii="Times New Roman" w:hAnsi="Times New Roman" w:cs="Times New Roman" w:hint="eastAsia"/>
                <w:bCs/>
                <w:color w:val="000000" w:themeColor="text1"/>
                <w:sz w:val="24"/>
                <w:szCs w:val="24"/>
              </w:rPr>
              <w:t>，平均限电率约</w:t>
            </w:r>
            <w:r>
              <w:rPr>
                <w:rFonts w:ascii="Times New Roman" w:hAnsi="Times New Roman" w:cs="Times New Roman" w:hint="eastAsia"/>
                <w:bCs/>
                <w:color w:val="000000" w:themeColor="text1"/>
                <w:sz w:val="24"/>
                <w:szCs w:val="24"/>
              </w:rPr>
              <w:t>22.44%</w:t>
            </w:r>
            <w:r>
              <w:rPr>
                <w:rFonts w:ascii="Times New Roman" w:hAnsi="Times New Roman" w:cs="Times New Roman" w:hint="eastAsia"/>
                <w:bCs/>
                <w:color w:val="000000" w:themeColor="text1"/>
                <w:sz w:val="24"/>
                <w:szCs w:val="24"/>
              </w:rPr>
              <w:t>，同比增加</w:t>
            </w:r>
            <w:r>
              <w:rPr>
                <w:rFonts w:ascii="Times New Roman" w:hAnsi="Times New Roman" w:cs="Times New Roman" w:hint="eastAsia"/>
                <w:bCs/>
                <w:color w:val="000000" w:themeColor="text1"/>
                <w:sz w:val="24"/>
                <w:szCs w:val="24"/>
              </w:rPr>
              <w:t>6</w:t>
            </w:r>
            <w:r>
              <w:rPr>
                <w:rFonts w:ascii="Times New Roman" w:hAnsi="Times New Roman" w:cs="Times New Roman" w:hint="eastAsia"/>
                <w:bCs/>
                <w:color w:val="000000" w:themeColor="text1"/>
                <w:sz w:val="24"/>
                <w:szCs w:val="24"/>
              </w:rPr>
              <w:t>个百分点；营业成本约</w:t>
            </w:r>
            <w:r>
              <w:rPr>
                <w:rFonts w:ascii="Times New Roman" w:hAnsi="Times New Roman" w:cs="Times New Roman" w:hint="eastAsia"/>
                <w:bCs/>
                <w:color w:val="000000" w:themeColor="text1"/>
                <w:sz w:val="24"/>
                <w:szCs w:val="24"/>
              </w:rPr>
              <w:t>78</w:t>
            </w:r>
            <w:r>
              <w:rPr>
                <w:rFonts w:ascii="Times New Roman" w:hAnsi="Times New Roman" w:cs="Times New Roman" w:hint="eastAsia"/>
                <w:bCs/>
                <w:color w:val="000000" w:themeColor="text1"/>
                <w:sz w:val="24"/>
                <w:szCs w:val="24"/>
              </w:rPr>
              <w:t>亿元，同比增加超</w:t>
            </w:r>
            <w:r>
              <w:rPr>
                <w:rFonts w:ascii="Times New Roman" w:hAnsi="Times New Roman" w:cs="Times New Roman" w:hint="eastAsia"/>
                <w:bCs/>
                <w:color w:val="000000" w:themeColor="text1"/>
                <w:sz w:val="24"/>
                <w:szCs w:val="24"/>
              </w:rPr>
              <w:t>10</w:t>
            </w:r>
            <w:r>
              <w:rPr>
                <w:rFonts w:ascii="Times New Roman" w:hAnsi="Times New Roman" w:cs="Times New Roman" w:hint="eastAsia"/>
                <w:bCs/>
                <w:color w:val="000000" w:themeColor="text1"/>
                <w:sz w:val="24"/>
                <w:szCs w:val="24"/>
              </w:rPr>
              <w:t>亿元，增长约</w:t>
            </w:r>
            <w:r>
              <w:rPr>
                <w:rFonts w:ascii="Times New Roman" w:hAnsi="Times New Roman" w:cs="Times New Roman" w:hint="eastAsia"/>
                <w:bCs/>
                <w:color w:val="000000" w:themeColor="text1"/>
                <w:sz w:val="24"/>
                <w:szCs w:val="24"/>
              </w:rPr>
              <w:t>15%</w:t>
            </w:r>
            <w:r>
              <w:rPr>
                <w:rFonts w:ascii="Times New Roman" w:hAnsi="Times New Roman" w:cs="Times New Roman" w:hint="eastAsia"/>
                <w:bCs/>
                <w:color w:val="000000" w:themeColor="text1"/>
                <w:sz w:val="24"/>
                <w:szCs w:val="24"/>
              </w:rPr>
              <w:t>，其中固定资产折旧费用同比增长超</w:t>
            </w:r>
            <w:r>
              <w:rPr>
                <w:rFonts w:ascii="Times New Roman" w:hAnsi="Times New Roman" w:cs="Times New Roman" w:hint="eastAsia"/>
                <w:bCs/>
                <w:color w:val="000000" w:themeColor="text1"/>
                <w:sz w:val="24"/>
                <w:szCs w:val="24"/>
              </w:rPr>
              <w:t>9</w:t>
            </w:r>
            <w:r>
              <w:rPr>
                <w:rFonts w:ascii="Times New Roman" w:hAnsi="Times New Roman" w:cs="Times New Roman" w:hint="eastAsia"/>
                <w:bCs/>
                <w:color w:val="000000" w:themeColor="text1"/>
                <w:sz w:val="24"/>
                <w:szCs w:val="24"/>
              </w:rPr>
              <w:t>亿元，增幅约</w:t>
            </w:r>
            <w:r>
              <w:rPr>
                <w:rFonts w:ascii="Times New Roman" w:hAnsi="Times New Roman" w:cs="Times New Roman" w:hint="eastAsia"/>
                <w:bCs/>
                <w:color w:val="000000" w:themeColor="text1"/>
                <w:sz w:val="24"/>
                <w:szCs w:val="24"/>
              </w:rPr>
              <w:t>16%</w:t>
            </w:r>
            <w:r>
              <w:rPr>
                <w:rFonts w:ascii="Times New Roman" w:hAnsi="Times New Roman" w:cs="Times New Roman" w:hint="eastAsia"/>
                <w:bCs/>
                <w:color w:val="000000" w:themeColor="text1"/>
                <w:sz w:val="24"/>
                <w:szCs w:val="24"/>
              </w:rPr>
              <w:t>；此外中核汇能于</w:t>
            </w:r>
            <w:r>
              <w:rPr>
                <w:rFonts w:ascii="Times New Roman" w:hAnsi="Times New Roman" w:cs="Times New Roman" w:hint="eastAsia"/>
                <w:bCs/>
                <w:color w:val="000000" w:themeColor="text1"/>
                <w:sz w:val="24"/>
                <w:szCs w:val="24"/>
              </w:rPr>
              <w:t>2025</w:t>
            </w:r>
            <w:r>
              <w:rPr>
                <w:rFonts w:ascii="Times New Roman" w:hAnsi="Times New Roman" w:cs="Times New Roman" w:hint="eastAsia"/>
                <w:bCs/>
                <w:color w:val="000000" w:themeColor="text1"/>
                <w:sz w:val="24"/>
                <w:szCs w:val="24"/>
              </w:rPr>
              <w:t>年末发行三期类</w:t>
            </w:r>
            <w:r>
              <w:rPr>
                <w:rFonts w:ascii="Times New Roman" w:hAnsi="Times New Roman" w:cs="Times New Roman" w:hint="eastAsia"/>
                <w:bCs/>
                <w:color w:val="000000" w:themeColor="text1"/>
                <w:sz w:val="24"/>
                <w:szCs w:val="24"/>
              </w:rPr>
              <w:t>REITs</w:t>
            </w:r>
            <w:r>
              <w:rPr>
                <w:rFonts w:ascii="Times New Roman" w:hAnsi="Times New Roman" w:cs="Times New Roman" w:hint="eastAsia"/>
                <w:bCs/>
                <w:color w:val="000000" w:themeColor="text1"/>
                <w:sz w:val="24"/>
                <w:szCs w:val="24"/>
              </w:rPr>
              <w:t>产品，同时</w:t>
            </w:r>
            <w:r>
              <w:rPr>
                <w:rFonts w:ascii="Times New Roman" w:hAnsi="Times New Roman" w:cs="Times New Roman" w:hint="eastAsia"/>
                <w:bCs/>
                <w:color w:val="000000" w:themeColor="text1"/>
                <w:sz w:val="24"/>
                <w:szCs w:val="24"/>
              </w:rPr>
              <w:t>26</w:t>
            </w:r>
            <w:r>
              <w:rPr>
                <w:rFonts w:ascii="Times New Roman" w:hAnsi="Times New Roman" w:cs="Times New Roman" w:hint="eastAsia"/>
                <w:bCs/>
                <w:color w:val="000000" w:themeColor="text1"/>
                <w:sz w:val="24"/>
                <w:szCs w:val="24"/>
              </w:rPr>
              <w:t>年发行公募</w:t>
            </w:r>
            <w:r>
              <w:rPr>
                <w:rFonts w:ascii="Times New Roman" w:hAnsi="Times New Roman" w:cs="Times New Roman" w:hint="eastAsia"/>
                <w:bCs/>
                <w:color w:val="000000" w:themeColor="text1"/>
                <w:sz w:val="24"/>
                <w:szCs w:val="24"/>
              </w:rPr>
              <w:t>REITs</w:t>
            </w:r>
            <w:r>
              <w:rPr>
                <w:rFonts w:ascii="Times New Roman" w:hAnsi="Times New Roman" w:cs="Times New Roman" w:hint="eastAsia"/>
                <w:bCs/>
                <w:color w:val="000000" w:themeColor="text1"/>
                <w:sz w:val="24"/>
                <w:szCs w:val="24"/>
              </w:rPr>
              <w:t>，少数股东占比增加，中核汇能归属于股东利润进一步下降。</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新能源</w:t>
            </w:r>
            <w:r>
              <w:rPr>
                <w:rFonts w:ascii="Times New Roman" w:hAnsi="Times New Roman" w:cs="Times New Roman" w:hint="eastAsia"/>
                <w:bCs/>
                <w:color w:val="000000" w:themeColor="text1"/>
                <w:sz w:val="24"/>
                <w:szCs w:val="24"/>
              </w:rPr>
              <w:t>7</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8</w:t>
            </w:r>
            <w:r>
              <w:rPr>
                <w:rFonts w:ascii="Times New Roman" w:hAnsi="Times New Roman" w:cs="Times New Roman" w:hint="eastAsia"/>
                <w:bCs/>
                <w:color w:val="000000" w:themeColor="text1"/>
                <w:sz w:val="24"/>
                <w:szCs w:val="24"/>
              </w:rPr>
              <w:t>月份市场化电价有所回暖，平均约</w:t>
            </w:r>
            <w:r>
              <w:rPr>
                <w:rFonts w:ascii="Times New Roman" w:hAnsi="Times New Roman" w:cs="Times New Roman" w:hint="eastAsia"/>
                <w:bCs/>
                <w:color w:val="000000" w:themeColor="text1"/>
                <w:sz w:val="24"/>
                <w:szCs w:val="24"/>
              </w:rPr>
              <w:t>0.27</w:t>
            </w:r>
            <w:r>
              <w:rPr>
                <w:rFonts w:ascii="Times New Roman" w:hAnsi="Times New Roman" w:cs="Times New Roman" w:hint="eastAsia"/>
                <w:bCs/>
                <w:color w:val="000000" w:themeColor="text1"/>
                <w:sz w:val="24"/>
                <w:szCs w:val="24"/>
              </w:rPr>
              <w:t>元</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度，环比第二季度上涨超</w:t>
            </w:r>
            <w:r>
              <w:rPr>
                <w:rFonts w:ascii="Times New Roman" w:hAnsi="Times New Roman" w:cs="Times New Roman" w:hint="eastAsia"/>
                <w:bCs/>
                <w:color w:val="000000" w:themeColor="text1"/>
                <w:sz w:val="24"/>
                <w:szCs w:val="24"/>
              </w:rPr>
              <w:t>4%</w:t>
            </w:r>
            <w:r>
              <w:rPr>
                <w:rFonts w:ascii="Times New Roman" w:hAnsi="Times New Roman" w:cs="Times New Roman" w:hint="eastAsia"/>
                <w:bCs/>
                <w:color w:val="000000" w:themeColor="text1"/>
                <w:sz w:val="24"/>
                <w:szCs w:val="24"/>
              </w:rPr>
              <w:t>；平均限电率约</w:t>
            </w:r>
            <w:r>
              <w:rPr>
                <w:rFonts w:ascii="Times New Roman" w:hAnsi="Times New Roman" w:cs="Times New Roman" w:hint="eastAsia"/>
                <w:bCs/>
                <w:color w:val="000000" w:themeColor="text1"/>
                <w:sz w:val="24"/>
                <w:szCs w:val="24"/>
              </w:rPr>
              <w:t>22.44%</w:t>
            </w:r>
            <w:r>
              <w:rPr>
                <w:rFonts w:ascii="Times New Roman" w:hAnsi="Times New Roman" w:cs="Times New Roman" w:hint="eastAsia"/>
                <w:bCs/>
                <w:color w:val="000000" w:themeColor="text1"/>
                <w:sz w:val="24"/>
                <w:szCs w:val="24"/>
              </w:rPr>
              <w:t>，较二季度回落</w:t>
            </w:r>
            <w:r>
              <w:rPr>
                <w:rFonts w:ascii="Times New Roman" w:hAnsi="Times New Roman" w:cs="Times New Roman" w:hint="eastAsia"/>
                <w:bCs/>
                <w:color w:val="000000" w:themeColor="text1"/>
                <w:sz w:val="24"/>
                <w:szCs w:val="24"/>
              </w:rPr>
              <w:t>3</w:t>
            </w:r>
            <w:r>
              <w:rPr>
                <w:rFonts w:ascii="Times New Roman" w:hAnsi="Times New Roman" w:cs="Times New Roman" w:hint="eastAsia"/>
                <w:bCs/>
                <w:color w:val="000000" w:themeColor="text1"/>
                <w:sz w:val="24"/>
                <w:szCs w:val="24"/>
              </w:rPr>
              <w:t>个百分点，综合下来公司新能源第三季度亏损较第二季度有所缩窄。</w:t>
            </w:r>
          </w:p>
          <w:p w:rsidR="001D06D2" w:rsidRDefault="00684BCD">
            <w:pPr>
              <w:widowControl/>
              <w:spacing w:line="276" w:lineRule="auto"/>
              <w:ind w:firstLineChars="200" w:firstLine="480"/>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公司一直高度重视股东回报。公司于</w:t>
            </w:r>
            <w:r>
              <w:rPr>
                <w:rFonts w:ascii="Times New Roman" w:hAnsi="Times New Roman" w:cs="Times New Roman" w:hint="eastAsia"/>
                <w:bCs/>
                <w:color w:val="000000" w:themeColor="text1"/>
                <w:sz w:val="24"/>
                <w:szCs w:val="24"/>
              </w:rPr>
              <w:t>2</w:t>
            </w:r>
            <w:r>
              <w:rPr>
                <w:rFonts w:ascii="Times New Roman" w:hAnsi="Times New Roman" w:cs="Times New Roman"/>
                <w:bCs/>
                <w:color w:val="000000" w:themeColor="text1"/>
                <w:sz w:val="24"/>
                <w:szCs w:val="24"/>
              </w:rPr>
              <w:t>026</w:t>
            </w:r>
            <w:r>
              <w:rPr>
                <w:rFonts w:ascii="Times New Roman" w:hAnsi="Times New Roman" w:cs="Times New Roman" w:hint="eastAsia"/>
                <w:bCs/>
                <w:color w:val="000000" w:themeColor="text1"/>
                <w:sz w:val="24"/>
                <w:szCs w:val="24"/>
              </w:rPr>
              <w:t>年</w:t>
            </w:r>
            <w:r>
              <w:rPr>
                <w:rFonts w:ascii="Times New Roman" w:hAnsi="Times New Roman" w:cs="Times New Roman" w:hint="eastAsia"/>
                <w:bCs/>
                <w:color w:val="000000" w:themeColor="text1"/>
                <w:sz w:val="24"/>
                <w:szCs w:val="24"/>
              </w:rPr>
              <w:t>1</w:t>
            </w:r>
            <w:r>
              <w:rPr>
                <w:rFonts w:ascii="Times New Roman" w:hAnsi="Times New Roman" w:cs="Times New Roman"/>
                <w:bCs/>
                <w:color w:val="000000" w:themeColor="text1"/>
                <w:sz w:val="24"/>
                <w:szCs w:val="24"/>
              </w:rPr>
              <w:t>0</w:t>
            </w:r>
            <w:r>
              <w:rPr>
                <w:rFonts w:ascii="Times New Roman" w:hAnsi="Times New Roman" w:cs="Times New Roman" w:hint="eastAsia"/>
                <w:bCs/>
                <w:color w:val="000000" w:themeColor="text1"/>
                <w:sz w:val="24"/>
                <w:szCs w:val="24"/>
              </w:rPr>
              <w:t>月</w:t>
            </w:r>
            <w:r>
              <w:rPr>
                <w:rFonts w:ascii="Times New Roman" w:hAnsi="Times New Roman" w:cs="Times New Roman" w:hint="eastAsia"/>
                <w:bCs/>
                <w:color w:val="000000" w:themeColor="text1"/>
                <w:sz w:val="24"/>
                <w:szCs w:val="24"/>
              </w:rPr>
              <w:t>2</w:t>
            </w:r>
            <w:r>
              <w:rPr>
                <w:rFonts w:ascii="Times New Roman" w:hAnsi="Times New Roman" w:cs="Times New Roman"/>
                <w:bCs/>
                <w:color w:val="000000" w:themeColor="text1"/>
                <w:sz w:val="24"/>
                <w:szCs w:val="24"/>
              </w:rPr>
              <w:t>3</w:t>
            </w:r>
            <w:r>
              <w:rPr>
                <w:rFonts w:ascii="Times New Roman" w:hAnsi="Times New Roman" w:cs="Times New Roman" w:hint="eastAsia"/>
                <w:bCs/>
                <w:color w:val="000000" w:themeColor="text1"/>
                <w:sz w:val="24"/>
                <w:szCs w:val="24"/>
              </w:rPr>
              <w:t>日实施中期现金分红每股</w:t>
            </w:r>
            <w:r>
              <w:rPr>
                <w:rFonts w:ascii="Times New Roman" w:hAnsi="Times New Roman" w:cs="Times New Roman" w:hint="eastAsia"/>
                <w:bCs/>
                <w:color w:val="000000" w:themeColor="text1"/>
                <w:sz w:val="24"/>
                <w:szCs w:val="24"/>
              </w:rPr>
              <w:t>0.</w:t>
            </w:r>
            <w:r>
              <w:rPr>
                <w:rFonts w:ascii="Times New Roman" w:hAnsi="Times New Roman" w:cs="Times New Roman"/>
                <w:bCs/>
                <w:color w:val="000000" w:themeColor="text1"/>
                <w:sz w:val="24"/>
                <w:szCs w:val="24"/>
              </w:rPr>
              <w:t>02</w:t>
            </w:r>
            <w:r>
              <w:rPr>
                <w:rFonts w:ascii="Times New Roman" w:hAnsi="Times New Roman" w:cs="Times New Roman" w:hint="eastAsia"/>
                <w:bCs/>
                <w:color w:val="000000" w:themeColor="text1"/>
                <w:sz w:val="24"/>
                <w:szCs w:val="24"/>
              </w:rPr>
              <w:t>元；同时，公司计划自</w:t>
            </w:r>
            <w:r>
              <w:rPr>
                <w:rFonts w:ascii="Times New Roman" w:hAnsi="Times New Roman" w:cs="Times New Roman" w:hint="eastAsia"/>
                <w:bCs/>
                <w:color w:val="000000" w:themeColor="text1"/>
                <w:sz w:val="24"/>
                <w:szCs w:val="24"/>
              </w:rPr>
              <w:t>2</w:t>
            </w:r>
            <w:r>
              <w:rPr>
                <w:rFonts w:ascii="Times New Roman" w:hAnsi="Times New Roman" w:cs="Times New Roman"/>
                <w:bCs/>
                <w:color w:val="000000" w:themeColor="text1"/>
                <w:sz w:val="24"/>
                <w:szCs w:val="24"/>
              </w:rPr>
              <w:t>026</w:t>
            </w:r>
            <w:r>
              <w:rPr>
                <w:rFonts w:ascii="Times New Roman" w:hAnsi="Times New Roman" w:cs="Times New Roman" w:hint="eastAsia"/>
                <w:bCs/>
                <w:color w:val="000000" w:themeColor="text1"/>
                <w:sz w:val="24"/>
                <w:szCs w:val="24"/>
              </w:rPr>
              <w:t>年</w:t>
            </w:r>
            <w:r>
              <w:rPr>
                <w:rFonts w:ascii="Times New Roman" w:hAnsi="Times New Roman" w:cs="Times New Roman" w:hint="eastAsia"/>
                <w:bCs/>
                <w:color w:val="000000" w:themeColor="text1"/>
                <w:sz w:val="24"/>
                <w:szCs w:val="24"/>
              </w:rPr>
              <w:t>8</w:t>
            </w:r>
            <w:r>
              <w:rPr>
                <w:rFonts w:ascii="Times New Roman" w:hAnsi="Times New Roman" w:cs="Times New Roman" w:hint="eastAsia"/>
                <w:bCs/>
                <w:color w:val="000000" w:themeColor="text1"/>
                <w:sz w:val="24"/>
                <w:szCs w:val="24"/>
              </w:rPr>
              <w:t>月</w:t>
            </w:r>
            <w:r>
              <w:rPr>
                <w:rFonts w:ascii="Times New Roman" w:hAnsi="Times New Roman" w:cs="Times New Roman" w:hint="eastAsia"/>
                <w:bCs/>
                <w:color w:val="000000" w:themeColor="text1"/>
                <w:sz w:val="24"/>
                <w:szCs w:val="24"/>
              </w:rPr>
              <w:t>2</w:t>
            </w:r>
            <w:r>
              <w:rPr>
                <w:rFonts w:ascii="Times New Roman" w:hAnsi="Times New Roman" w:cs="Times New Roman"/>
                <w:bCs/>
                <w:color w:val="000000" w:themeColor="text1"/>
                <w:sz w:val="24"/>
                <w:szCs w:val="24"/>
              </w:rPr>
              <w:t>9</w:t>
            </w:r>
            <w:r>
              <w:rPr>
                <w:rFonts w:ascii="Times New Roman" w:hAnsi="Times New Roman" w:cs="Times New Roman" w:hint="eastAsia"/>
                <w:bCs/>
                <w:color w:val="000000" w:themeColor="text1"/>
                <w:sz w:val="24"/>
                <w:szCs w:val="24"/>
              </w:rPr>
              <w:t>日起，</w:t>
            </w:r>
            <w:r>
              <w:rPr>
                <w:rFonts w:ascii="Times New Roman" w:hAnsi="Times New Roman" w:cs="Times New Roman" w:hint="eastAsia"/>
                <w:bCs/>
                <w:color w:val="000000" w:themeColor="text1"/>
                <w:sz w:val="24"/>
                <w:szCs w:val="24"/>
              </w:rPr>
              <w:t>1</w:t>
            </w:r>
            <w:r>
              <w:rPr>
                <w:rFonts w:ascii="Times New Roman" w:hAnsi="Times New Roman" w:cs="Times New Roman"/>
                <w:bCs/>
                <w:color w:val="000000" w:themeColor="text1"/>
                <w:sz w:val="24"/>
                <w:szCs w:val="24"/>
              </w:rPr>
              <w:t>2</w:t>
            </w:r>
            <w:r>
              <w:rPr>
                <w:rFonts w:ascii="Times New Roman" w:hAnsi="Times New Roman" w:cs="Times New Roman" w:hint="eastAsia"/>
                <w:bCs/>
                <w:color w:val="000000" w:themeColor="text1"/>
                <w:sz w:val="24"/>
                <w:szCs w:val="24"/>
              </w:rPr>
              <w:t>个月内进行股份回购，拟回购金额</w:t>
            </w:r>
            <w:r>
              <w:rPr>
                <w:rFonts w:ascii="Times New Roman" w:hAnsi="Times New Roman" w:cs="Times New Roman" w:hint="eastAsia"/>
                <w:bCs/>
                <w:color w:val="000000" w:themeColor="text1"/>
                <w:sz w:val="24"/>
                <w:szCs w:val="24"/>
              </w:rPr>
              <w:t>1</w:t>
            </w:r>
            <w:r>
              <w:rPr>
                <w:rFonts w:ascii="Times New Roman" w:hAnsi="Times New Roman" w:cs="Times New Roman" w:hint="eastAsia"/>
                <w:bCs/>
                <w:color w:val="000000" w:themeColor="text1"/>
                <w:sz w:val="24"/>
                <w:szCs w:val="24"/>
              </w:rPr>
              <w:t>至</w:t>
            </w:r>
            <w:r>
              <w:rPr>
                <w:rFonts w:ascii="Times New Roman" w:hAnsi="Times New Roman" w:cs="Times New Roman" w:hint="eastAsia"/>
                <w:bCs/>
                <w:color w:val="000000" w:themeColor="text1"/>
                <w:sz w:val="24"/>
                <w:szCs w:val="24"/>
              </w:rPr>
              <w:t>2</w:t>
            </w:r>
            <w:r>
              <w:rPr>
                <w:rFonts w:ascii="Times New Roman" w:hAnsi="Times New Roman" w:cs="Times New Roman" w:hint="eastAsia"/>
                <w:bCs/>
                <w:color w:val="000000" w:themeColor="text1"/>
                <w:sz w:val="24"/>
                <w:szCs w:val="24"/>
              </w:rPr>
              <w:t>亿元。未来，公司将持续通过股份回购、现金分红等多种方式，切实增强投资者回报。</w:t>
            </w:r>
          </w:p>
          <w:p w:rsidR="001D06D2" w:rsidRDefault="00684BCD">
            <w:pPr>
              <w:widowControl/>
              <w:spacing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问答环节：</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1</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公司第三季度核电市场化交易分省情况如何？</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答：公司</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年第三季度核电市场电交易电量</w:t>
            </w:r>
            <w:r>
              <w:rPr>
                <w:rFonts w:ascii="Times New Roman" w:eastAsia="宋体" w:hAnsi="Times New Roman" w:cs="Times New Roman" w:hint="eastAsia"/>
                <w:bCs/>
                <w:iCs/>
                <w:sz w:val="24"/>
                <w:szCs w:val="24"/>
              </w:rPr>
              <w:t>364.93</w:t>
            </w:r>
            <w:r>
              <w:rPr>
                <w:rFonts w:ascii="Times New Roman" w:eastAsia="宋体" w:hAnsi="Times New Roman" w:cs="Times New Roman" w:hint="eastAsia"/>
                <w:bCs/>
                <w:iCs/>
                <w:sz w:val="24"/>
                <w:szCs w:val="24"/>
              </w:rPr>
              <w:t>亿度，约占上网电量的</w:t>
            </w:r>
            <w:r>
              <w:rPr>
                <w:rFonts w:ascii="Times New Roman" w:eastAsia="宋体" w:hAnsi="Times New Roman" w:cs="Times New Roman" w:hint="eastAsia"/>
                <w:bCs/>
                <w:iCs/>
                <w:sz w:val="24"/>
                <w:szCs w:val="24"/>
              </w:rPr>
              <w:t>71%</w:t>
            </w:r>
            <w:r>
              <w:rPr>
                <w:rFonts w:ascii="Times New Roman" w:eastAsia="宋体" w:hAnsi="Times New Roman" w:cs="Times New Roman" w:hint="eastAsia"/>
                <w:bCs/>
                <w:iCs/>
                <w:sz w:val="24"/>
                <w:szCs w:val="24"/>
              </w:rPr>
              <w:t>；平均市场电价约</w:t>
            </w:r>
            <w:r>
              <w:rPr>
                <w:rFonts w:ascii="Times New Roman" w:eastAsia="宋体" w:hAnsi="Times New Roman" w:cs="Times New Roman" w:hint="eastAsia"/>
                <w:bCs/>
                <w:iCs/>
                <w:sz w:val="24"/>
                <w:szCs w:val="24"/>
              </w:rPr>
              <w:t>0.37</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度。分省来看：</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lastRenderedPageBreak/>
              <w:t>秦山核电市场化电量占比</w:t>
            </w:r>
            <w:r>
              <w:rPr>
                <w:rFonts w:ascii="Times New Roman" w:eastAsia="宋体" w:hAnsi="Times New Roman" w:cs="Times New Roman" w:hint="eastAsia"/>
                <w:bCs/>
                <w:iCs/>
                <w:sz w:val="24"/>
                <w:szCs w:val="24"/>
              </w:rPr>
              <w:t>42.60%</w:t>
            </w:r>
            <w:r>
              <w:rPr>
                <w:rFonts w:ascii="Times New Roman" w:eastAsia="宋体" w:hAnsi="Times New Roman" w:cs="Times New Roman" w:hint="eastAsia"/>
                <w:bCs/>
                <w:iCs/>
                <w:sz w:val="24"/>
                <w:szCs w:val="24"/>
              </w:rPr>
              <w:t>，平均电价约</w:t>
            </w:r>
            <w:r>
              <w:rPr>
                <w:rFonts w:ascii="Times New Roman" w:eastAsia="宋体" w:hAnsi="Times New Roman" w:cs="Times New Roman" w:hint="eastAsia"/>
                <w:bCs/>
                <w:iCs/>
                <w:sz w:val="24"/>
                <w:szCs w:val="24"/>
              </w:rPr>
              <w:t>0.40</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三门核电市场化电量占比</w:t>
            </w:r>
            <w:r>
              <w:rPr>
                <w:rFonts w:ascii="Times New Roman" w:eastAsia="宋体" w:hAnsi="Times New Roman" w:cs="Times New Roman" w:hint="eastAsia"/>
                <w:bCs/>
                <w:iCs/>
                <w:sz w:val="24"/>
                <w:szCs w:val="24"/>
              </w:rPr>
              <w:t>100%</w:t>
            </w:r>
            <w:r>
              <w:rPr>
                <w:rFonts w:ascii="Times New Roman" w:eastAsia="宋体" w:hAnsi="Times New Roman" w:cs="Times New Roman" w:hint="eastAsia"/>
                <w:bCs/>
                <w:iCs/>
                <w:sz w:val="24"/>
                <w:szCs w:val="24"/>
              </w:rPr>
              <w:t>，平均电价约</w:t>
            </w:r>
            <w:r>
              <w:rPr>
                <w:rFonts w:ascii="Times New Roman" w:eastAsia="宋体" w:hAnsi="Times New Roman" w:cs="Times New Roman" w:hint="eastAsia"/>
                <w:bCs/>
                <w:iCs/>
                <w:sz w:val="24"/>
                <w:szCs w:val="24"/>
              </w:rPr>
              <w:t>0.38</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江苏核电市场化电量占比</w:t>
            </w:r>
            <w:r>
              <w:rPr>
                <w:rFonts w:ascii="Times New Roman" w:eastAsia="宋体" w:hAnsi="Times New Roman" w:cs="Times New Roman" w:hint="eastAsia"/>
                <w:bCs/>
                <w:iCs/>
                <w:sz w:val="24"/>
                <w:szCs w:val="24"/>
              </w:rPr>
              <w:t>53.50%</w:t>
            </w:r>
            <w:r>
              <w:rPr>
                <w:rFonts w:ascii="Times New Roman" w:eastAsia="宋体" w:hAnsi="Times New Roman" w:cs="Times New Roman" w:hint="eastAsia"/>
                <w:bCs/>
                <w:iCs/>
                <w:sz w:val="24"/>
                <w:szCs w:val="24"/>
              </w:rPr>
              <w:t>，平均电价约</w:t>
            </w:r>
            <w:r>
              <w:rPr>
                <w:rFonts w:ascii="Times New Roman" w:eastAsia="宋体" w:hAnsi="Times New Roman" w:cs="Times New Roman" w:hint="eastAsia"/>
                <w:bCs/>
                <w:iCs/>
                <w:sz w:val="24"/>
                <w:szCs w:val="24"/>
              </w:rPr>
              <w:t>0.34</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福清核电与漳州能源市场化电量占比</w:t>
            </w:r>
            <w:r>
              <w:rPr>
                <w:rFonts w:ascii="Times New Roman" w:eastAsia="宋体" w:hAnsi="Times New Roman" w:cs="Times New Roman" w:hint="eastAsia"/>
                <w:bCs/>
                <w:iCs/>
                <w:sz w:val="24"/>
                <w:szCs w:val="24"/>
              </w:rPr>
              <w:t>100%</w:t>
            </w:r>
            <w:r>
              <w:rPr>
                <w:rFonts w:ascii="Times New Roman" w:eastAsia="宋体" w:hAnsi="Times New Roman" w:cs="Times New Roman" w:hint="eastAsia"/>
                <w:bCs/>
                <w:iCs/>
                <w:sz w:val="24"/>
                <w:szCs w:val="24"/>
              </w:rPr>
              <w:t>，平均电价约</w:t>
            </w:r>
            <w:r>
              <w:rPr>
                <w:rFonts w:ascii="Times New Roman" w:eastAsia="宋体" w:hAnsi="Times New Roman" w:cs="Times New Roman" w:hint="eastAsia"/>
                <w:bCs/>
                <w:iCs/>
                <w:sz w:val="24"/>
                <w:szCs w:val="24"/>
              </w:rPr>
              <w:t>0.37</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海南核电市场化电量占比</w:t>
            </w:r>
            <w:r>
              <w:rPr>
                <w:rFonts w:ascii="Times New Roman" w:eastAsia="宋体" w:hAnsi="Times New Roman" w:cs="Times New Roman" w:hint="eastAsia"/>
                <w:bCs/>
                <w:iCs/>
                <w:sz w:val="24"/>
                <w:szCs w:val="24"/>
              </w:rPr>
              <w:t>32.38%</w:t>
            </w:r>
            <w:r>
              <w:rPr>
                <w:rFonts w:ascii="Times New Roman" w:eastAsia="宋体" w:hAnsi="Times New Roman" w:cs="Times New Roman" w:hint="eastAsia"/>
                <w:bCs/>
                <w:iCs/>
                <w:sz w:val="24"/>
                <w:szCs w:val="24"/>
              </w:rPr>
              <w:t>，平均电价约</w:t>
            </w:r>
            <w:r>
              <w:rPr>
                <w:rFonts w:ascii="Times New Roman" w:eastAsia="宋体" w:hAnsi="Times New Roman" w:cs="Times New Roman" w:hint="eastAsia"/>
                <w:bCs/>
                <w:iCs/>
                <w:sz w:val="24"/>
                <w:szCs w:val="24"/>
              </w:rPr>
              <w:t>0.36</w:t>
            </w:r>
            <w:r>
              <w:rPr>
                <w:rFonts w:ascii="Times New Roman" w:eastAsia="宋体" w:hAnsi="Times New Roman" w:cs="Times New Roman" w:hint="eastAsia"/>
                <w:bCs/>
                <w:iCs/>
                <w:sz w:val="24"/>
                <w:szCs w:val="24"/>
              </w:rPr>
              <w:t>元</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度。</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b/>
                <w:bCs/>
                <w:iCs/>
                <w:sz w:val="24"/>
                <w:szCs w:val="24"/>
              </w:rPr>
              <w:t>2.</w:t>
            </w:r>
            <w:r>
              <w:rPr>
                <w:rFonts w:ascii="Times New Roman" w:eastAsia="宋体" w:hAnsi="Times New Roman" w:cs="Times New Roman" w:hint="eastAsia"/>
                <w:b/>
                <w:bCs/>
                <w:iCs/>
                <w:sz w:val="24"/>
                <w:szCs w:val="24"/>
              </w:rPr>
              <w:t>公司新能源项目</w:t>
            </w:r>
            <w:r>
              <w:rPr>
                <w:rFonts w:ascii="Times New Roman" w:eastAsia="宋体" w:hAnsi="Times New Roman" w:cs="Times New Roman" w:hint="eastAsia"/>
                <w:b/>
                <w:bCs/>
                <w:iCs/>
                <w:sz w:val="24"/>
                <w:szCs w:val="24"/>
              </w:rPr>
              <w:t>2026</w:t>
            </w:r>
            <w:r>
              <w:rPr>
                <w:rFonts w:ascii="Times New Roman" w:eastAsia="宋体" w:hAnsi="Times New Roman" w:cs="Times New Roman" w:hint="eastAsia"/>
                <w:b/>
                <w:bCs/>
                <w:iCs/>
                <w:sz w:val="24"/>
                <w:szCs w:val="24"/>
              </w:rPr>
              <w:t>年前三季度消纳情况如何？</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答：公司</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年前三季度新能源平均限电率为</w:t>
            </w:r>
            <w:r>
              <w:rPr>
                <w:rFonts w:ascii="Times New Roman" w:eastAsia="宋体" w:hAnsi="Times New Roman" w:cs="Times New Roman" w:hint="eastAsia"/>
                <w:bCs/>
                <w:iCs/>
                <w:sz w:val="24"/>
                <w:szCs w:val="24"/>
              </w:rPr>
              <w:t>22.44%</w:t>
            </w:r>
            <w:r>
              <w:rPr>
                <w:rFonts w:ascii="Times New Roman" w:eastAsia="宋体" w:hAnsi="Times New Roman" w:cs="Times New Roman" w:hint="eastAsia"/>
                <w:bCs/>
                <w:iCs/>
                <w:sz w:val="24"/>
                <w:szCs w:val="24"/>
              </w:rPr>
              <w:t>，其中风电</w:t>
            </w:r>
            <w:r>
              <w:rPr>
                <w:rFonts w:ascii="Times New Roman" w:eastAsia="宋体" w:hAnsi="Times New Roman" w:cs="Times New Roman" w:hint="eastAsia"/>
                <w:bCs/>
                <w:iCs/>
                <w:sz w:val="24"/>
                <w:szCs w:val="24"/>
              </w:rPr>
              <w:t>19.43%</w:t>
            </w:r>
            <w:r>
              <w:rPr>
                <w:rFonts w:ascii="Times New Roman" w:eastAsia="宋体" w:hAnsi="Times New Roman" w:cs="Times New Roman" w:hint="eastAsia"/>
                <w:bCs/>
                <w:iCs/>
                <w:sz w:val="24"/>
                <w:szCs w:val="24"/>
              </w:rPr>
              <w:t>、光伏</w:t>
            </w:r>
            <w:r>
              <w:rPr>
                <w:rFonts w:ascii="Times New Roman" w:eastAsia="宋体" w:hAnsi="Times New Roman" w:cs="Times New Roman" w:hint="eastAsia"/>
                <w:bCs/>
                <w:iCs/>
                <w:sz w:val="24"/>
                <w:szCs w:val="24"/>
              </w:rPr>
              <w:t>24.46%</w:t>
            </w:r>
            <w:r>
              <w:rPr>
                <w:rFonts w:ascii="Times New Roman" w:eastAsia="宋体" w:hAnsi="Times New Roman" w:cs="Times New Roman" w:hint="eastAsia"/>
                <w:bCs/>
                <w:iCs/>
                <w:sz w:val="24"/>
                <w:szCs w:val="24"/>
              </w:rPr>
              <w:t>。</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分季度看：一季度平均</w:t>
            </w:r>
            <w:r>
              <w:rPr>
                <w:rFonts w:ascii="Times New Roman" w:eastAsia="宋体" w:hAnsi="Times New Roman" w:cs="Times New Roman" w:hint="eastAsia"/>
                <w:bCs/>
                <w:iCs/>
                <w:sz w:val="24"/>
                <w:szCs w:val="24"/>
              </w:rPr>
              <w:t>21.34%</w:t>
            </w:r>
            <w:r>
              <w:rPr>
                <w:rFonts w:ascii="Times New Roman" w:eastAsia="宋体" w:hAnsi="Times New Roman" w:cs="Times New Roman" w:hint="eastAsia"/>
                <w:bCs/>
                <w:iCs/>
                <w:sz w:val="24"/>
                <w:szCs w:val="24"/>
              </w:rPr>
              <w:t>，二季度平均</w:t>
            </w:r>
            <w:r>
              <w:rPr>
                <w:rFonts w:ascii="Times New Roman" w:eastAsia="宋体" w:hAnsi="Times New Roman" w:cs="Times New Roman" w:hint="eastAsia"/>
                <w:bCs/>
                <w:iCs/>
                <w:sz w:val="24"/>
                <w:szCs w:val="24"/>
              </w:rPr>
              <w:t>25.37%</w:t>
            </w:r>
            <w:r>
              <w:rPr>
                <w:rFonts w:ascii="Times New Roman" w:eastAsia="宋体" w:hAnsi="Times New Roman" w:cs="Times New Roman" w:hint="eastAsia"/>
                <w:bCs/>
                <w:iCs/>
                <w:sz w:val="24"/>
                <w:szCs w:val="24"/>
              </w:rPr>
              <w:t>，三季度平均</w:t>
            </w:r>
            <w:r>
              <w:rPr>
                <w:rFonts w:ascii="Times New Roman" w:eastAsia="宋体" w:hAnsi="Times New Roman" w:cs="Times New Roman" w:hint="eastAsia"/>
                <w:bCs/>
                <w:iCs/>
                <w:sz w:val="24"/>
                <w:szCs w:val="24"/>
              </w:rPr>
              <w:t>20.36%</w:t>
            </w:r>
            <w:r>
              <w:rPr>
                <w:rFonts w:ascii="Times New Roman" w:eastAsia="宋体" w:hAnsi="Times New Roman" w:cs="Times New Roman" w:hint="eastAsia"/>
                <w:bCs/>
                <w:iCs/>
                <w:sz w:val="24"/>
                <w:szCs w:val="24"/>
              </w:rPr>
              <w:t>。二季度压力最大，三季度有所回落，但光伏限电率始终高于风电；</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分区域看：高限电省份集中在甘肃、新疆、青海等“三北”地区，由于光伏比例较高，受影响最大；山东改善明显，三季度光伏限电率降至</w:t>
            </w:r>
            <w:r>
              <w:rPr>
                <w:rFonts w:ascii="Times New Roman" w:eastAsia="宋体" w:hAnsi="Times New Roman" w:cs="Times New Roman" w:hint="eastAsia"/>
                <w:bCs/>
                <w:iCs/>
                <w:sz w:val="24"/>
                <w:szCs w:val="24"/>
              </w:rPr>
              <w:t>6.92%</w:t>
            </w:r>
            <w:r>
              <w:rPr>
                <w:rFonts w:ascii="Times New Roman" w:eastAsia="宋体" w:hAnsi="Times New Roman" w:cs="Times New Roman" w:hint="eastAsia"/>
                <w:bCs/>
                <w:iCs/>
                <w:sz w:val="24"/>
                <w:szCs w:val="24"/>
              </w:rPr>
              <w:t>。</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3</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公司新能源补贴到位情况如何？</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答：截至</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w:t>
            </w:r>
            <w:r>
              <w:rPr>
                <w:rFonts w:ascii="Times New Roman" w:eastAsia="宋体" w:hAnsi="Times New Roman" w:cs="Times New Roman" w:hint="eastAsia"/>
                <w:bCs/>
                <w:iCs/>
                <w:sz w:val="24"/>
                <w:szCs w:val="24"/>
              </w:rPr>
              <w:t>9</w:t>
            </w:r>
            <w:r>
              <w:rPr>
                <w:rFonts w:ascii="Times New Roman" w:eastAsia="宋体" w:hAnsi="Times New Roman" w:cs="Times New Roman" w:hint="eastAsia"/>
                <w:bCs/>
                <w:iCs/>
                <w:sz w:val="24"/>
                <w:szCs w:val="24"/>
              </w:rPr>
              <w:t>月</w:t>
            </w:r>
            <w:r>
              <w:rPr>
                <w:rFonts w:ascii="Times New Roman" w:eastAsia="宋体" w:hAnsi="Times New Roman" w:cs="Times New Roman" w:hint="eastAsia"/>
                <w:bCs/>
                <w:iCs/>
                <w:sz w:val="24"/>
                <w:szCs w:val="24"/>
              </w:rPr>
              <w:t>30</w:t>
            </w:r>
            <w:r>
              <w:rPr>
                <w:rFonts w:ascii="Times New Roman" w:eastAsia="宋体" w:hAnsi="Times New Roman" w:cs="Times New Roman" w:hint="eastAsia"/>
                <w:bCs/>
                <w:iCs/>
                <w:sz w:val="24"/>
                <w:szCs w:val="24"/>
              </w:rPr>
              <w:t>日，公司控股子公司中核汇能有限公司所属带补贴新能源项目累计产生应收补贴金额为</w:t>
            </w:r>
            <w:r>
              <w:rPr>
                <w:rFonts w:ascii="Times New Roman" w:eastAsia="宋体" w:hAnsi="Times New Roman" w:cs="Times New Roman" w:hint="eastAsia"/>
                <w:bCs/>
                <w:iCs/>
                <w:sz w:val="24"/>
                <w:szCs w:val="24"/>
              </w:rPr>
              <w:t>454.99</w:t>
            </w:r>
            <w:r>
              <w:rPr>
                <w:rFonts w:ascii="Times New Roman" w:eastAsia="宋体" w:hAnsi="Times New Roman" w:cs="Times New Roman" w:hint="eastAsia"/>
                <w:bCs/>
                <w:iCs/>
                <w:sz w:val="24"/>
                <w:szCs w:val="24"/>
              </w:rPr>
              <w:t>亿元，已收到金额为</w:t>
            </w:r>
            <w:r>
              <w:rPr>
                <w:rFonts w:ascii="Times New Roman" w:eastAsia="宋体" w:hAnsi="Times New Roman" w:cs="Times New Roman" w:hint="eastAsia"/>
                <w:bCs/>
                <w:iCs/>
                <w:sz w:val="24"/>
                <w:szCs w:val="24"/>
              </w:rPr>
              <w:t>269.85</w:t>
            </w:r>
            <w:r>
              <w:rPr>
                <w:rFonts w:ascii="Times New Roman" w:eastAsia="宋体" w:hAnsi="Times New Roman" w:cs="Times New Roman" w:hint="eastAsia"/>
                <w:bCs/>
                <w:iCs/>
                <w:sz w:val="24"/>
                <w:szCs w:val="24"/>
              </w:rPr>
              <w:t>亿元，尚未收到金额为</w:t>
            </w:r>
            <w:r>
              <w:rPr>
                <w:rFonts w:ascii="Times New Roman" w:eastAsia="宋体" w:hAnsi="Times New Roman" w:cs="Times New Roman" w:hint="eastAsia"/>
                <w:bCs/>
                <w:iCs/>
                <w:sz w:val="24"/>
                <w:szCs w:val="24"/>
              </w:rPr>
              <w:t>185.14</w:t>
            </w:r>
            <w:r>
              <w:rPr>
                <w:rFonts w:ascii="Times New Roman" w:eastAsia="宋体" w:hAnsi="Times New Roman" w:cs="Times New Roman" w:hint="eastAsia"/>
                <w:bCs/>
                <w:iCs/>
                <w:sz w:val="24"/>
                <w:szCs w:val="24"/>
              </w:rPr>
              <w:t>亿元，按公司会计政策按</w:t>
            </w:r>
            <w:r>
              <w:rPr>
                <w:rFonts w:ascii="Times New Roman" w:eastAsia="宋体" w:hAnsi="Times New Roman" w:cs="Times New Roman" w:hint="eastAsia"/>
                <w:bCs/>
                <w:iCs/>
                <w:sz w:val="24"/>
                <w:szCs w:val="24"/>
              </w:rPr>
              <w:t>3%</w:t>
            </w:r>
            <w:r>
              <w:rPr>
                <w:rFonts w:ascii="Times New Roman" w:eastAsia="宋体" w:hAnsi="Times New Roman" w:cs="Times New Roman" w:hint="eastAsia"/>
                <w:bCs/>
                <w:iCs/>
                <w:sz w:val="24"/>
                <w:szCs w:val="24"/>
              </w:rPr>
              <w:t>计提了准备金</w:t>
            </w:r>
            <w:r>
              <w:rPr>
                <w:rFonts w:ascii="Times New Roman" w:eastAsia="宋体" w:hAnsi="Times New Roman" w:cs="Times New Roman" w:hint="eastAsia"/>
                <w:bCs/>
                <w:iCs/>
                <w:sz w:val="24"/>
                <w:szCs w:val="24"/>
              </w:rPr>
              <w:t>5.55</w:t>
            </w:r>
            <w:r>
              <w:rPr>
                <w:rFonts w:ascii="Times New Roman" w:eastAsia="宋体" w:hAnsi="Times New Roman" w:cs="Times New Roman" w:hint="eastAsia"/>
                <w:bCs/>
                <w:iCs/>
                <w:sz w:val="24"/>
                <w:szCs w:val="24"/>
              </w:rPr>
              <w:t>亿元。中核汇能</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年前三季度下属项目公司共收到可再生能源补贴资金</w:t>
            </w:r>
            <w:r>
              <w:rPr>
                <w:rFonts w:ascii="Times New Roman" w:eastAsia="宋体" w:hAnsi="Times New Roman" w:cs="Times New Roman" w:hint="eastAsia"/>
                <w:bCs/>
                <w:iCs/>
                <w:sz w:val="24"/>
                <w:szCs w:val="24"/>
              </w:rPr>
              <w:t>30.05</w:t>
            </w:r>
            <w:r>
              <w:rPr>
                <w:rFonts w:ascii="Times New Roman" w:eastAsia="宋体" w:hAnsi="Times New Roman" w:cs="Times New Roman" w:hint="eastAsia"/>
                <w:bCs/>
                <w:iCs/>
                <w:sz w:val="24"/>
                <w:szCs w:val="24"/>
              </w:rPr>
              <w:t>亿元。</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4</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公司在建核电项目</w:t>
            </w:r>
            <w:r>
              <w:rPr>
                <w:rFonts w:ascii="Times New Roman" w:eastAsia="宋体" w:hAnsi="Times New Roman" w:cs="Times New Roman" w:hint="eastAsia"/>
                <w:b/>
                <w:bCs/>
                <w:iCs/>
                <w:sz w:val="24"/>
                <w:szCs w:val="24"/>
              </w:rPr>
              <w:t>2</w:t>
            </w:r>
            <w:r>
              <w:rPr>
                <w:rFonts w:ascii="Times New Roman" w:eastAsia="宋体" w:hAnsi="Times New Roman" w:cs="Times New Roman"/>
                <w:b/>
                <w:bCs/>
                <w:iCs/>
                <w:sz w:val="24"/>
                <w:szCs w:val="24"/>
              </w:rPr>
              <w:t>027</w:t>
            </w:r>
            <w:r>
              <w:rPr>
                <w:rFonts w:ascii="Times New Roman" w:eastAsia="宋体" w:hAnsi="Times New Roman" w:cs="Times New Roman" w:hint="eastAsia"/>
                <w:b/>
                <w:bCs/>
                <w:iCs/>
                <w:sz w:val="24"/>
                <w:szCs w:val="24"/>
              </w:rPr>
              <w:t>年投产节奏是怎样的？</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答：预计</w:t>
            </w:r>
            <w:r>
              <w:rPr>
                <w:rFonts w:ascii="Times New Roman" w:eastAsia="宋体" w:hAnsi="Times New Roman" w:cs="Times New Roman" w:hint="eastAsia"/>
                <w:bCs/>
                <w:iCs/>
                <w:sz w:val="24"/>
                <w:szCs w:val="24"/>
              </w:rPr>
              <w:t>2</w:t>
            </w:r>
            <w:r>
              <w:rPr>
                <w:rFonts w:ascii="Times New Roman" w:eastAsia="宋体" w:hAnsi="Times New Roman" w:cs="Times New Roman"/>
                <w:bCs/>
                <w:iCs/>
                <w:sz w:val="24"/>
                <w:szCs w:val="24"/>
              </w:rPr>
              <w:t>027</w:t>
            </w:r>
            <w:r>
              <w:rPr>
                <w:rFonts w:ascii="Times New Roman" w:eastAsia="宋体" w:hAnsi="Times New Roman" w:cs="Times New Roman" w:hint="eastAsia"/>
                <w:bCs/>
                <w:iCs/>
                <w:sz w:val="24"/>
                <w:szCs w:val="24"/>
              </w:rPr>
              <w:t>年上半年投产徐大堡</w:t>
            </w:r>
            <w:r>
              <w:rPr>
                <w:rFonts w:ascii="Times New Roman" w:eastAsia="宋体" w:hAnsi="Times New Roman" w:cs="Times New Roman" w:hint="eastAsia"/>
                <w:bCs/>
                <w:iCs/>
                <w:sz w:val="24"/>
                <w:szCs w:val="24"/>
              </w:rPr>
              <w:t>3</w:t>
            </w:r>
            <w:r>
              <w:rPr>
                <w:rFonts w:ascii="Times New Roman" w:eastAsia="宋体" w:hAnsi="Times New Roman" w:cs="Times New Roman" w:hint="eastAsia"/>
                <w:bCs/>
                <w:iCs/>
                <w:sz w:val="24"/>
                <w:szCs w:val="24"/>
              </w:rPr>
              <w:t>号、三门</w:t>
            </w:r>
            <w:r>
              <w:rPr>
                <w:rFonts w:ascii="Times New Roman" w:eastAsia="宋体" w:hAnsi="Times New Roman" w:cs="Times New Roman" w:hint="eastAsia"/>
                <w:bCs/>
                <w:iCs/>
                <w:sz w:val="24"/>
                <w:szCs w:val="24"/>
              </w:rPr>
              <w:t>3</w:t>
            </w:r>
            <w:r>
              <w:rPr>
                <w:rFonts w:ascii="Times New Roman" w:eastAsia="宋体" w:hAnsi="Times New Roman" w:cs="Times New Roman" w:hint="eastAsia"/>
                <w:bCs/>
                <w:iCs/>
                <w:sz w:val="24"/>
                <w:szCs w:val="24"/>
              </w:rPr>
              <w:t>号与海南小堆核电机组，下半年投产徐大堡</w:t>
            </w:r>
            <w:r>
              <w:rPr>
                <w:rFonts w:ascii="Times New Roman" w:eastAsia="宋体" w:hAnsi="Times New Roman" w:cs="Times New Roman" w:hint="eastAsia"/>
                <w:bCs/>
                <w:iCs/>
                <w:sz w:val="24"/>
                <w:szCs w:val="24"/>
              </w:rPr>
              <w:t>4</w:t>
            </w:r>
            <w:r>
              <w:rPr>
                <w:rFonts w:ascii="Times New Roman" w:eastAsia="宋体" w:hAnsi="Times New Roman" w:cs="Times New Roman" w:hint="eastAsia"/>
                <w:bCs/>
                <w:iCs/>
                <w:sz w:val="24"/>
                <w:szCs w:val="24"/>
              </w:rPr>
              <w:t>号、三门</w:t>
            </w:r>
            <w:r>
              <w:rPr>
                <w:rFonts w:ascii="Times New Roman" w:eastAsia="宋体" w:hAnsi="Times New Roman" w:cs="Times New Roman" w:hint="eastAsia"/>
                <w:bCs/>
                <w:iCs/>
                <w:sz w:val="24"/>
                <w:szCs w:val="24"/>
              </w:rPr>
              <w:t>4</w:t>
            </w:r>
            <w:r>
              <w:rPr>
                <w:rFonts w:ascii="Times New Roman" w:eastAsia="宋体" w:hAnsi="Times New Roman" w:cs="Times New Roman" w:hint="eastAsia"/>
                <w:bCs/>
                <w:iCs/>
                <w:sz w:val="24"/>
                <w:szCs w:val="24"/>
              </w:rPr>
              <w:t>号与田湾</w:t>
            </w:r>
            <w:r>
              <w:rPr>
                <w:rFonts w:ascii="Times New Roman" w:eastAsia="宋体" w:hAnsi="Times New Roman" w:cs="Times New Roman" w:hint="eastAsia"/>
                <w:bCs/>
                <w:iCs/>
                <w:sz w:val="24"/>
                <w:szCs w:val="24"/>
              </w:rPr>
              <w:t>8</w:t>
            </w:r>
            <w:r>
              <w:rPr>
                <w:rFonts w:ascii="Times New Roman" w:eastAsia="宋体" w:hAnsi="Times New Roman" w:cs="Times New Roman" w:hint="eastAsia"/>
                <w:bCs/>
                <w:iCs/>
                <w:sz w:val="24"/>
                <w:szCs w:val="24"/>
              </w:rPr>
              <w:t>号机组，具体投产情况请关注公司后续公告。</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5</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海南核电目前处于降功率状态，请问具体原因是什么？</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答：受当地消纳环境影响，海南核电</w:t>
            </w:r>
            <w:r>
              <w:rPr>
                <w:rFonts w:ascii="Times New Roman" w:eastAsia="宋体" w:hAnsi="Times New Roman" w:cs="Times New Roman" w:hint="eastAsia"/>
                <w:bCs/>
                <w:iCs/>
                <w:sz w:val="24"/>
                <w:szCs w:val="24"/>
              </w:rPr>
              <w:t>1/2</w:t>
            </w:r>
            <w:r>
              <w:rPr>
                <w:rFonts w:ascii="Times New Roman" w:eastAsia="宋体" w:hAnsi="Times New Roman" w:cs="Times New Roman" w:hint="eastAsia"/>
                <w:bCs/>
                <w:iCs/>
                <w:sz w:val="24"/>
                <w:szCs w:val="24"/>
              </w:rPr>
              <w:t>号机组目前处于降功率运行状态。</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华能昌江</w:t>
            </w:r>
            <w:r>
              <w:rPr>
                <w:rFonts w:ascii="Times New Roman" w:eastAsia="宋体" w:hAnsi="Times New Roman" w:cs="Times New Roman" w:hint="eastAsia"/>
                <w:bCs/>
                <w:iCs/>
                <w:sz w:val="24"/>
                <w:szCs w:val="24"/>
              </w:rPr>
              <w:t>4</w:t>
            </w:r>
            <w:r>
              <w:rPr>
                <w:rFonts w:ascii="Times New Roman" w:eastAsia="宋体" w:hAnsi="Times New Roman" w:cs="Times New Roman" w:hint="eastAsia"/>
                <w:bCs/>
                <w:iCs/>
                <w:sz w:val="24"/>
                <w:szCs w:val="24"/>
              </w:rPr>
              <w:t>号机组预计于</w:t>
            </w:r>
            <w:r>
              <w:rPr>
                <w:rFonts w:ascii="Times New Roman" w:eastAsia="宋体" w:hAnsi="Times New Roman" w:cs="Times New Roman" w:hint="eastAsia"/>
                <w:bCs/>
                <w:iCs/>
                <w:sz w:val="24"/>
                <w:szCs w:val="24"/>
              </w:rPr>
              <w:t>2027</w:t>
            </w:r>
            <w:r>
              <w:rPr>
                <w:rFonts w:ascii="Times New Roman" w:eastAsia="宋体" w:hAnsi="Times New Roman" w:cs="Times New Roman" w:hint="eastAsia"/>
                <w:bCs/>
                <w:iCs/>
                <w:sz w:val="24"/>
                <w:szCs w:val="24"/>
              </w:rPr>
              <w:t>年具备商运条件，公司正与华能集团共同与海南地方协商，积极争取有利的消纳方案。</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同时海南核电将会继续深化厂网协调，积极配合电网改造扩容工作，努力保持机组最大能力发电。</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6</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公司</w:t>
            </w:r>
            <w:r>
              <w:rPr>
                <w:rFonts w:ascii="Times New Roman" w:eastAsia="宋体" w:hAnsi="Times New Roman" w:cs="Times New Roman" w:hint="eastAsia"/>
                <w:b/>
                <w:bCs/>
                <w:iCs/>
                <w:sz w:val="24"/>
                <w:szCs w:val="24"/>
              </w:rPr>
              <w:t>2027</w:t>
            </w:r>
            <w:r>
              <w:rPr>
                <w:rFonts w:ascii="Times New Roman" w:eastAsia="宋体" w:hAnsi="Times New Roman" w:cs="Times New Roman" w:hint="eastAsia"/>
                <w:b/>
                <w:bCs/>
                <w:iCs/>
                <w:sz w:val="24"/>
                <w:szCs w:val="24"/>
              </w:rPr>
              <w:t>年核电市场化交易方案预期如何？</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w:t>
            </w:r>
            <w:r>
              <w:rPr>
                <w:rFonts w:ascii="Times New Roman" w:eastAsia="宋体" w:hAnsi="Times New Roman" w:cs="Times New Roman" w:hint="eastAsia"/>
                <w:bCs/>
                <w:iCs/>
                <w:sz w:val="24"/>
                <w:szCs w:val="24"/>
              </w:rPr>
              <w:t>2027</w:t>
            </w:r>
            <w:r>
              <w:rPr>
                <w:rFonts w:ascii="Times New Roman" w:eastAsia="宋体" w:hAnsi="Times New Roman" w:cs="Times New Roman" w:hint="eastAsia"/>
                <w:bCs/>
                <w:iCs/>
                <w:sz w:val="24"/>
                <w:szCs w:val="24"/>
              </w:rPr>
              <w:t>年核电市场化交易方案，将按照国家及各省电力市场化改革政策要求执行，具体交易安排、市场化电量占比，受各区域电力供需形势、市场交易规则、政策机制等多重因素影响，目前尚无法作出确定性预判。</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lastRenderedPageBreak/>
              <w:t>公司正持续与上级发改、能源主管部门沟通，积极反映行业诉求，推动完善核电相关价格机制，探索体现核电低碳价值的制度安排，维护核电合理收益水平。</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b/>
                <w:bCs/>
                <w:iCs/>
                <w:sz w:val="24"/>
                <w:szCs w:val="24"/>
              </w:rPr>
              <w:t>7.</w:t>
            </w:r>
            <w:r>
              <w:rPr>
                <w:rFonts w:ascii="Times New Roman" w:eastAsia="宋体" w:hAnsi="Times New Roman" w:cs="Times New Roman" w:hint="eastAsia"/>
                <w:b/>
                <w:bCs/>
                <w:iCs/>
                <w:sz w:val="24"/>
                <w:szCs w:val="24"/>
              </w:rPr>
              <w:t>海南核电小堆目前进展是怎样的？投产后预计收益水平如何？</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答：海南核电小堆机组作为全国首台模块化小型核电机组，目前正处于建设阶段，计划于</w:t>
            </w:r>
            <w:r>
              <w:rPr>
                <w:rFonts w:ascii="Times New Roman" w:eastAsia="宋体" w:hAnsi="Times New Roman" w:cs="Times New Roman"/>
                <w:bCs/>
                <w:iCs/>
                <w:sz w:val="24"/>
                <w:szCs w:val="24"/>
              </w:rPr>
              <w:t>2027</w:t>
            </w:r>
            <w:r>
              <w:rPr>
                <w:rFonts w:ascii="Times New Roman" w:eastAsia="宋体" w:hAnsi="Times New Roman" w:cs="Times New Roman" w:hint="eastAsia"/>
                <w:bCs/>
                <w:iCs/>
                <w:sz w:val="24"/>
                <w:szCs w:val="24"/>
              </w:rPr>
              <w:t>年上半年投产。由于单位造价显著高于华龙一号等三代核电机组，投产后经济性短期难以达到在运机组水平。公司正积极与上级及地方相关单位沟通，争取有利的消纳与电价支持政策，目前海南核电附近已建设了核电产业园，引入了高耗能产业，计划消纳小堆产出的电力与蒸汽等产品。</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hint="eastAsia"/>
                <w:b/>
                <w:bCs/>
                <w:iCs/>
                <w:sz w:val="24"/>
                <w:szCs w:val="24"/>
              </w:rPr>
              <w:t>8</w:t>
            </w:r>
            <w:r>
              <w:rPr>
                <w:rFonts w:ascii="Times New Roman" w:eastAsia="宋体" w:hAnsi="Times New Roman" w:cs="Times New Roman"/>
                <w:b/>
                <w:bCs/>
                <w:iCs/>
                <w:sz w:val="24"/>
                <w:szCs w:val="24"/>
              </w:rPr>
              <w:t>.</w:t>
            </w:r>
            <w:r>
              <w:rPr>
                <w:rFonts w:ascii="Times New Roman" w:eastAsia="宋体" w:hAnsi="Times New Roman" w:cs="Times New Roman" w:hint="eastAsia"/>
                <w:b/>
                <w:bCs/>
                <w:iCs/>
                <w:sz w:val="24"/>
                <w:szCs w:val="24"/>
              </w:rPr>
              <w:t>公司</w:t>
            </w:r>
            <w:r>
              <w:rPr>
                <w:rFonts w:ascii="Times New Roman" w:eastAsia="宋体" w:hAnsi="Times New Roman" w:cs="Times New Roman" w:hint="eastAsia"/>
                <w:b/>
                <w:bCs/>
                <w:iCs/>
                <w:sz w:val="24"/>
                <w:szCs w:val="24"/>
              </w:rPr>
              <w:t>2026</w:t>
            </w:r>
            <w:r w:rsidR="00966392">
              <w:rPr>
                <w:rFonts w:ascii="Times New Roman" w:eastAsia="宋体" w:hAnsi="Times New Roman" w:cs="Times New Roman" w:hint="eastAsia"/>
                <w:b/>
                <w:bCs/>
                <w:iCs/>
                <w:sz w:val="24"/>
                <w:szCs w:val="24"/>
              </w:rPr>
              <w:t>年第三季度利润总额同比持平，所得税却</w:t>
            </w:r>
            <w:bookmarkStart w:id="2" w:name="_GoBack"/>
            <w:bookmarkEnd w:id="2"/>
            <w:r>
              <w:rPr>
                <w:rFonts w:ascii="Times New Roman" w:eastAsia="宋体" w:hAnsi="Times New Roman" w:cs="Times New Roman" w:hint="eastAsia"/>
                <w:b/>
                <w:bCs/>
                <w:iCs/>
                <w:sz w:val="24"/>
                <w:szCs w:val="24"/>
              </w:rPr>
              <w:t>同比减少</w:t>
            </w:r>
            <w:r>
              <w:rPr>
                <w:rFonts w:ascii="Times New Roman" w:eastAsia="宋体" w:hAnsi="Times New Roman" w:cs="Times New Roman" w:hint="eastAsia"/>
                <w:b/>
                <w:bCs/>
                <w:iCs/>
                <w:sz w:val="24"/>
                <w:szCs w:val="24"/>
              </w:rPr>
              <w:t>5</w:t>
            </w:r>
            <w:r>
              <w:rPr>
                <w:rFonts w:ascii="Times New Roman" w:eastAsia="宋体" w:hAnsi="Times New Roman" w:cs="Times New Roman" w:hint="eastAsia"/>
                <w:b/>
                <w:bCs/>
                <w:iCs/>
                <w:sz w:val="24"/>
                <w:szCs w:val="24"/>
              </w:rPr>
              <w:t>亿元，请问具体原因是什么？</w:t>
            </w:r>
          </w:p>
          <w:p w:rsidR="001D06D2" w:rsidRDefault="00684BCD">
            <w:pPr>
              <w:spacing w:line="276" w:lineRule="auto"/>
              <w:ind w:firstLineChars="200" w:firstLine="482"/>
              <w:rPr>
                <w:rFonts w:ascii="Times New Roman" w:eastAsia="宋体" w:hAnsi="Times New Roman" w:cs="Times New Roman"/>
                <w:bCs/>
                <w:iCs/>
                <w:sz w:val="24"/>
                <w:szCs w:val="24"/>
              </w:rPr>
            </w:pPr>
            <w:r>
              <w:rPr>
                <w:rFonts w:ascii="Times New Roman" w:eastAsia="宋体" w:hAnsi="Times New Roman" w:cs="Times New Roman" w:hint="eastAsia"/>
                <w:b/>
                <w:bCs/>
                <w:iCs/>
                <w:sz w:val="24"/>
                <w:szCs w:val="24"/>
              </w:rPr>
              <w:t>答：</w:t>
            </w:r>
            <w:r>
              <w:rPr>
                <w:rFonts w:ascii="Times New Roman" w:eastAsia="宋体" w:hAnsi="Times New Roman" w:cs="Times New Roman" w:hint="eastAsia"/>
                <w:bCs/>
                <w:iCs/>
                <w:sz w:val="24"/>
                <w:szCs w:val="24"/>
              </w:rPr>
              <w:t>主要有三方面原因。一是中核运维本年享受高新技术企业所得税优惠按</w:t>
            </w:r>
            <w:r>
              <w:rPr>
                <w:rFonts w:ascii="Times New Roman" w:eastAsia="宋体" w:hAnsi="Times New Roman" w:cs="Times New Roman" w:hint="eastAsia"/>
                <w:bCs/>
                <w:iCs/>
                <w:sz w:val="24"/>
                <w:szCs w:val="24"/>
              </w:rPr>
              <w:t>15%</w:t>
            </w:r>
            <w:r>
              <w:rPr>
                <w:rFonts w:ascii="Times New Roman" w:eastAsia="宋体" w:hAnsi="Times New Roman" w:cs="Times New Roman" w:hint="eastAsia"/>
                <w:bCs/>
                <w:iCs/>
                <w:sz w:val="24"/>
                <w:szCs w:val="24"/>
              </w:rPr>
              <w:t>征收，另中核运维</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w:t>
            </w:r>
            <w:r>
              <w:rPr>
                <w:rFonts w:ascii="Times New Roman" w:eastAsia="宋体" w:hAnsi="Times New Roman" w:cs="Times New Roman" w:hint="eastAsia"/>
                <w:bCs/>
                <w:iCs/>
                <w:sz w:val="24"/>
                <w:szCs w:val="24"/>
              </w:rPr>
              <w:t>3</w:t>
            </w:r>
            <w:r>
              <w:rPr>
                <w:rFonts w:ascii="Times New Roman" w:eastAsia="宋体" w:hAnsi="Times New Roman" w:cs="Times New Roman" w:hint="eastAsia"/>
                <w:bCs/>
                <w:iCs/>
                <w:sz w:val="24"/>
                <w:szCs w:val="24"/>
              </w:rPr>
              <w:t>季度同比利润减少，综合导致所得税费用同比下降；二是</w:t>
            </w:r>
            <w:r>
              <w:rPr>
                <w:rFonts w:ascii="Times New Roman" w:eastAsia="宋体" w:hAnsi="Times New Roman" w:cs="Times New Roman" w:hint="eastAsia"/>
                <w:bCs/>
                <w:iCs/>
                <w:sz w:val="24"/>
                <w:szCs w:val="24"/>
              </w:rPr>
              <w:t>2025</w:t>
            </w:r>
            <w:r>
              <w:rPr>
                <w:rFonts w:ascii="Times New Roman" w:eastAsia="宋体" w:hAnsi="Times New Roman" w:cs="Times New Roman" w:hint="eastAsia"/>
                <w:bCs/>
                <w:iCs/>
                <w:sz w:val="24"/>
                <w:szCs w:val="24"/>
              </w:rPr>
              <w:t>年前三季度的增值税返还的应缴所得税集中在第三季度计提，本年根据财税政策要求每季度末分别计提，同比显著下降；三是涉及三免三减半的机组三季度利润同比增加，如漳州能源。</w:t>
            </w:r>
          </w:p>
          <w:p w:rsidR="001D06D2" w:rsidRDefault="00684BCD">
            <w:pPr>
              <w:spacing w:line="276" w:lineRule="auto"/>
              <w:ind w:firstLineChars="200" w:firstLine="482"/>
              <w:rPr>
                <w:rFonts w:ascii="Times New Roman" w:eastAsia="宋体" w:hAnsi="Times New Roman" w:cs="Times New Roman"/>
                <w:b/>
                <w:bCs/>
                <w:iCs/>
                <w:sz w:val="24"/>
                <w:szCs w:val="24"/>
              </w:rPr>
            </w:pPr>
            <w:r>
              <w:rPr>
                <w:rFonts w:ascii="Times New Roman" w:eastAsia="宋体" w:hAnsi="Times New Roman" w:cs="Times New Roman"/>
                <w:b/>
                <w:bCs/>
                <w:iCs/>
                <w:sz w:val="24"/>
                <w:szCs w:val="24"/>
              </w:rPr>
              <w:t>9.</w:t>
            </w:r>
            <w:r>
              <w:rPr>
                <w:rFonts w:ascii="Times New Roman" w:eastAsia="宋体" w:hAnsi="Times New Roman" w:cs="Times New Roman" w:hint="eastAsia"/>
                <w:b/>
                <w:bCs/>
                <w:iCs/>
                <w:sz w:val="24"/>
                <w:szCs w:val="24"/>
              </w:rPr>
              <w:t>公司新设立的中核茂名公司是否为后续高温气冷堆机组做准备？</w:t>
            </w:r>
          </w:p>
          <w:p w:rsidR="001D06D2" w:rsidRDefault="00684BCD">
            <w:pPr>
              <w:spacing w:line="276" w:lineRule="auto"/>
              <w:ind w:firstLineChars="200" w:firstLine="480"/>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中核茂名计划进行华龙一号与高温堆技术耦合项目开发，投产后既可以供电，也可以为茂名石化基地供热。其中高温堆能够提供高温蒸汽，华龙一号机组可以提供电力与低温低压的蒸汽，提升项目综合经济性。</w:t>
            </w:r>
          </w:p>
          <w:p w:rsidR="001D06D2" w:rsidRDefault="00684BCD">
            <w:pPr>
              <w:spacing w:line="276" w:lineRule="auto"/>
              <w:ind w:firstLineChars="200" w:firstLine="480"/>
              <w:rPr>
                <w:rFonts w:ascii="Times New Roman" w:eastAsia="宋体" w:hAnsi="Times New Roman" w:cs="Times New Roman"/>
                <w:b/>
                <w:bCs/>
                <w:iCs/>
                <w:sz w:val="24"/>
                <w:szCs w:val="24"/>
              </w:rPr>
            </w:pPr>
            <w:r>
              <w:rPr>
                <w:rFonts w:ascii="Times New Roman" w:eastAsia="宋体" w:hAnsi="Times New Roman" w:cs="Times New Roman" w:hint="eastAsia"/>
                <w:bCs/>
                <w:iCs/>
                <w:sz w:val="24"/>
                <w:szCs w:val="24"/>
              </w:rPr>
              <w:t>同时，我们认为核能供汽产业具有广阔的市场，通过与相关石油石化企业的深入交流，我们了解到化工行业对核能供汽有广泛的需求缺口，公司正持续加强相关厂址储备与前期开发工作，推动相关项目尽早落地。</w:t>
            </w:r>
          </w:p>
        </w:tc>
      </w:tr>
    </w:tbl>
    <w:p w:rsidR="001D06D2" w:rsidRDefault="001D06D2">
      <w:pPr>
        <w:rPr>
          <w:rFonts w:ascii="Times New Roman" w:hAnsi="Times New Roman" w:cs="Times New Roman"/>
        </w:rPr>
      </w:pPr>
    </w:p>
    <w:sectPr w:rsidR="001D06D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D8"/>
    <w:rsid w:val="BF0F29D3"/>
    <w:rsid w:val="00010907"/>
    <w:rsid w:val="000149D7"/>
    <w:rsid w:val="0001788E"/>
    <w:rsid w:val="00030D95"/>
    <w:rsid w:val="0003618C"/>
    <w:rsid w:val="0004071F"/>
    <w:rsid w:val="00041F4C"/>
    <w:rsid w:val="000422DC"/>
    <w:rsid w:val="00047D91"/>
    <w:rsid w:val="00057D05"/>
    <w:rsid w:val="000622A2"/>
    <w:rsid w:val="00073797"/>
    <w:rsid w:val="0008504C"/>
    <w:rsid w:val="000873EA"/>
    <w:rsid w:val="000A079B"/>
    <w:rsid w:val="000A56DF"/>
    <w:rsid w:val="000A7A8A"/>
    <w:rsid w:val="000B1A00"/>
    <w:rsid w:val="000B68A5"/>
    <w:rsid w:val="000C4973"/>
    <w:rsid w:val="000D1688"/>
    <w:rsid w:val="000D6BB6"/>
    <w:rsid w:val="000E25CE"/>
    <w:rsid w:val="000E62B5"/>
    <w:rsid w:val="000F1107"/>
    <w:rsid w:val="000F54A2"/>
    <w:rsid w:val="000F7748"/>
    <w:rsid w:val="00101505"/>
    <w:rsid w:val="00102698"/>
    <w:rsid w:val="001145BB"/>
    <w:rsid w:val="0012593B"/>
    <w:rsid w:val="00126FB1"/>
    <w:rsid w:val="001353E3"/>
    <w:rsid w:val="00141B00"/>
    <w:rsid w:val="00143C3C"/>
    <w:rsid w:val="001474C8"/>
    <w:rsid w:val="00154327"/>
    <w:rsid w:val="00154C60"/>
    <w:rsid w:val="001603AA"/>
    <w:rsid w:val="00160D0B"/>
    <w:rsid w:val="00164608"/>
    <w:rsid w:val="00165BFC"/>
    <w:rsid w:val="00165C1A"/>
    <w:rsid w:val="00171AFB"/>
    <w:rsid w:val="00172A30"/>
    <w:rsid w:val="0017430A"/>
    <w:rsid w:val="001912DA"/>
    <w:rsid w:val="001A03A6"/>
    <w:rsid w:val="001A1252"/>
    <w:rsid w:val="001A20DD"/>
    <w:rsid w:val="001A23A0"/>
    <w:rsid w:val="001A338B"/>
    <w:rsid w:val="001A3760"/>
    <w:rsid w:val="001A6980"/>
    <w:rsid w:val="001A7260"/>
    <w:rsid w:val="001B55CB"/>
    <w:rsid w:val="001B7984"/>
    <w:rsid w:val="001C6B21"/>
    <w:rsid w:val="001C7FC5"/>
    <w:rsid w:val="001D06D2"/>
    <w:rsid w:val="001D20D9"/>
    <w:rsid w:val="001F5A98"/>
    <w:rsid w:val="0020075F"/>
    <w:rsid w:val="00205121"/>
    <w:rsid w:val="00212678"/>
    <w:rsid w:val="0021453E"/>
    <w:rsid w:val="0021681F"/>
    <w:rsid w:val="0021748A"/>
    <w:rsid w:val="002238E7"/>
    <w:rsid w:val="00223BB4"/>
    <w:rsid w:val="00232134"/>
    <w:rsid w:val="0023404A"/>
    <w:rsid w:val="0023637D"/>
    <w:rsid w:val="002407C8"/>
    <w:rsid w:val="0025019E"/>
    <w:rsid w:val="00261527"/>
    <w:rsid w:val="002626D0"/>
    <w:rsid w:val="002662B3"/>
    <w:rsid w:val="0027177D"/>
    <w:rsid w:val="00273C67"/>
    <w:rsid w:val="00275200"/>
    <w:rsid w:val="00275C60"/>
    <w:rsid w:val="00281FDC"/>
    <w:rsid w:val="002831C2"/>
    <w:rsid w:val="00284E35"/>
    <w:rsid w:val="00287258"/>
    <w:rsid w:val="00287627"/>
    <w:rsid w:val="002978CD"/>
    <w:rsid w:val="002A1BA5"/>
    <w:rsid w:val="002A62E8"/>
    <w:rsid w:val="002A6700"/>
    <w:rsid w:val="002B2C18"/>
    <w:rsid w:val="002B79A4"/>
    <w:rsid w:val="002C7441"/>
    <w:rsid w:val="002C7BA4"/>
    <w:rsid w:val="002D2650"/>
    <w:rsid w:val="002D574D"/>
    <w:rsid w:val="002E5EC3"/>
    <w:rsid w:val="002F2BBF"/>
    <w:rsid w:val="002F2FA6"/>
    <w:rsid w:val="002F4053"/>
    <w:rsid w:val="00311F8C"/>
    <w:rsid w:val="003160AB"/>
    <w:rsid w:val="0031635C"/>
    <w:rsid w:val="00321A42"/>
    <w:rsid w:val="0032369F"/>
    <w:rsid w:val="00325155"/>
    <w:rsid w:val="003329FF"/>
    <w:rsid w:val="003408D0"/>
    <w:rsid w:val="00340E19"/>
    <w:rsid w:val="00345321"/>
    <w:rsid w:val="003635F4"/>
    <w:rsid w:val="00367C29"/>
    <w:rsid w:val="00374977"/>
    <w:rsid w:val="00374CA3"/>
    <w:rsid w:val="003765D8"/>
    <w:rsid w:val="00384689"/>
    <w:rsid w:val="00384A9E"/>
    <w:rsid w:val="00387A2A"/>
    <w:rsid w:val="00393C72"/>
    <w:rsid w:val="003A2E3B"/>
    <w:rsid w:val="003A3E22"/>
    <w:rsid w:val="003C5723"/>
    <w:rsid w:val="003D5B8A"/>
    <w:rsid w:val="003E276C"/>
    <w:rsid w:val="003E5770"/>
    <w:rsid w:val="003E5EFB"/>
    <w:rsid w:val="003F0879"/>
    <w:rsid w:val="003F2760"/>
    <w:rsid w:val="003F3D8E"/>
    <w:rsid w:val="003F47DD"/>
    <w:rsid w:val="003F6FCD"/>
    <w:rsid w:val="00401B8C"/>
    <w:rsid w:val="00407E3B"/>
    <w:rsid w:val="004103E5"/>
    <w:rsid w:val="00423E78"/>
    <w:rsid w:val="00424112"/>
    <w:rsid w:val="004256C4"/>
    <w:rsid w:val="004278FA"/>
    <w:rsid w:val="00430394"/>
    <w:rsid w:val="00432019"/>
    <w:rsid w:val="00434766"/>
    <w:rsid w:val="00436480"/>
    <w:rsid w:val="00441DBA"/>
    <w:rsid w:val="00451ECD"/>
    <w:rsid w:val="00467F2E"/>
    <w:rsid w:val="0047609F"/>
    <w:rsid w:val="00480D67"/>
    <w:rsid w:val="00486DF5"/>
    <w:rsid w:val="00492E9B"/>
    <w:rsid w:val="004A587A"/>
    <w:rsid w:val="004B13CA"/>
    <w:rsid w:val="004B74E4"/>
    <w:rsid w:val="004B7719"/>
    <w:rsid w:val="004D0E9E"/>
    <w:rsid w:val="004D294C"/>
    <w:rsid w:val="004E3435"/>
    <w:rsid w:val="004E4FFE"/>
    <w:rsid w:val="004F607B"/>
    <w:rsid w:val="004F7DE9"/>
    <w:rsid w:val="00505608"/>
    <w:rsid w:val="00510B4E"/>
    <w:rsid w:val="005136BB"/>
    <w:rsid w:val="00514CDF"/>
    <w:rsid w:val="00537F99"/>
    <w:rsid w:val="0054041A"/>
    <w:rsid w:val="00547D26"/>
    <w:rsid w:val="00552AEA"/>
    <w:rsid w:val="00555F24"/>
    <w:rsid w:val="005575FC"/>
    <w:rsid w:val="00566A25"/>
    <w:rsid w:val="00572C21"/>
    <w:rsid w:val="0057495B"/>
    <w:rsid w:val="005750D4"/>
    <w:rsid w:val="005909CE"/>
    <w:rsid w:val="00594C06"/>
    <w:rsid w:val="00596B59"/>
    <w:rsid w:val="005A43B5"/>
    <w:rsid w:val="005A5C0F"/>
    <w:rsid w:val="005B1D82"/>
    <w:rsid w:val="005C1006"/>
    <w:rsid w:val="005C1D76"/>
    <w:rsid w:val="005C5CD8"/>
    <w:rsid w:val="005D1436"/>
    <w:rsid w:val="005D3226"/>
    <w:rsid w:val="005D3F41"/>
    <w:rsid w:val="00610905"/>
    <w:rsid w:val="00612C82"/>
    <w:rsid w:val="00614C7D"/>
    <w:rsid w:val="00620ADC"/>
    <w:rsid w:val="00625A41"/>
    <w:rsid w:val="00625D7F"/>
    <w:rsid w:val="00631AC3"/>
    <w:rsid w:val="00635FFA"/>
    <w:rsid w:val="0063671C"/>
    <w:rsid w:val="006434B3"/>
    <w:rsid w:val="00643F1A"/>
    <w:rsid w:val="00644559"/>
    <w:rsid w:val="00650329"/>
    <w:rsid w:val="0065134C"/>
    <w:rsid w:val="006567DD"/>
    <w:rsid w:val="00660E3B"/>
    <w:rsid w:val="00664817"/>
    <w:rsid w:val="006662B2"/>
    <w:rsid w:val="00671113"/>
    <w:rsid w:val="00673C5A"/>
    <w:rsid w:val="006846DD"/>
    <w:rsid w:val="00684BCD"/>
    <w:rsid w:val="0068593B"/>
    <w:rsid w:val="00687D83"/>
    <w:rsid w:val="006902A0"/>
    <w:rsid w:val="006A108D"/>
    <w:rsid w:val="006A312B"/>
    <w:rsid w:val="006A788B"/>
    <w:rsid w:val="006B4EA5"/>
    <w:rsid w:val="006B6F43"/>
    <w:rsid w:val="006C0B70"/>
    <w:rsid w:val="006C1894"/>
    <w:rsid w:val="006C4127"/>
    <w:rsid w:val="006C4252"/>
    <w:rsid w:val="006D310E"/>
    <w:rsid w:val="006E5390"/>
    <w:rsid w:val="006E5BBF"/>
    <w:rsid w:val="006E7181"/>
    <w:rsid w:val="006F31C2"/>
    <w:rsid w:val="007039D8"/>
    <w:rsid w:val="00712A44"/>
    <w:rsid w:val="00720113"/>
    <w:rsid w:val="00724516"/>
    <w:rsid w:val="00735886"/>
    <w:rsid w:val="0073645F"/>
    <w:rsid w:val="00736718"/>
    <w:rsid w:val="0074238F"/>
    <w:rsid w:val="0074588E"/>
    <w:rsid w:val="007511A5"/>
    <w:rsid w:val="00757BD3"/>
    <w:rsid w:val="0076011A"/>
    <w:rsid w:val="00761635"/>
    <w:rsid w:val="00770900"/>
    <w:rsid w:val="007721C4"/>
    <w:rsid w:val="00773974"/>
    <w:rsid w:val="00783952"/>
    <w:rsid w:val="00790D98"/>
    <w:rsid w:val="007979C8"/>
    <w:rsid w:val="007A5691"/>
    <w:rsid w:val="007A625B"/>
    <w:rsid w:val="007B1BED"/>
    <w:rsid w:val="007B4AFE"/>
    <w:rsid w:val="007C545F"/>
    <w:rsid w:val="007D5C9B"/>
    <w:rsid w:val="007D6807"/>
    <w:rsid w:val="007E5B5D"/>
    <w:rsid w:val="007E76B6"/>
    <w:rsid w:val="007E7DE6"/>
    <w:rsid w:val="007F0102"/>
    <w:rsid w:val="007F04A0"/>
    <w:rsid w:val="00802952"/>
    <w:rsid w:val="00804672"/>
    <w:rsid w:val="00813F35"/>
    <w:rsid w:val="00822466"/>
    <w:rsid w:val="0083381B"/>
    <w:rsid w:val="00837C64"/>
    <w:rsid w:val="00840513"/>
    <w:rsid w:val="00840967"/>
    <w:rsid w:val="008458E1"/>
    <w:rsid w:val="00845A8A"/>
    <w:rsid w:val="00852C2B"/>
    <w:rsid w:val="00853FA7"/>
    <w:rsid w:val="00867EB6"/>
    <w:rsid w:val="00870D6B"/>
    <w:rsid w:val="00871800"/>
    <w:rsid w:val="00881B8E"/>
    <w:rsid w:val="008A1D5D"/>
    <w:rsid w:val="008A3252"/>
    <w:rsid w:val="008A7CD1"/>
    <w:rsid w:val="008B4874"/>
    <w:rsid w:val="008C16A8"/>
    <w:rsid w:val="008C38EE"/>
    <w:rsid w:val="008C4195"/>
    <w:rsid w:val="008D1D0E"/>
    <w:rsid w:val="008D22B5"/>
    <w:rsid w:val="008E2634"/>
    <w:rsid w:val="008F6335"/>
    <w:rsid w:val="009020DF"/>
    <w:rsid w:val="0090297B"/>
    <w:rsid w:val="009030C8"/>
    <w:rsid w:val="00904B3B"/>
    <w:rsid w:val="0090573F"/>
    <w:rsid w:val="0091308C"/>
    <w:rsid w:val="0091342D"/>
    <w:rsid w:val="00915FAB"/>
    <w:rsid w:val="00917DF4"/>
    <w:rsid w:val="009231C1"/>
    <w:rsid w:val="009261D2"/>
    <w:rsid w:val="00927719"/>
    <w:rsid w:val="00934555"/>
    <w:rsid w:val="00935FD5"/>
    <w:rsid w:val="009371B4"/>
    <w:rsid w:val="009376E7"/>
    <w:rsid w:val="009442DE"/>
    <w:rsid w:val="00952D58"/>
    <w:rsid w:val="0095759D"/>
    <w:rsid w:val="0096019C"/>
    <w:rsid w:val="00960201"/>
    <w:rsid w:val="009608EE"/>
    <w:rsid w:val="00966392"/>
    <w:rsid w:val="00973124"/>
    <w:rsid w:val="00983485"/>
    <w:rsid w:val="00993862"/>
    <w:rsid w:val="00996FEF"/>
    <w:rsid w:val="009A43B6"/>
    <w:rsid w:val="009A52FF"/>
    <w:rsid w:val="009B01D2"/>
    <w:rsid w:val="009B3671"/>
    <w:rsid w:val="009B4A11"/>
    <w:rsid w:val="009B52E7"/>
    <w:rsid w:val="009B742E"/>
    <w:rsid w:val="009C1CD9"/>
    <w:rsid w:val="009C6DA6"/>
    <w:rsid w:val="009E4C4C"/>
    <w:rsid w:val="00A03374"/>
    <w:rsid w:val="00A15B3D"/>
    <w:rsid w:val="00A2493F"/>
    <w:rsid w:val="00A2799E"/>
    <w:rsid w:val="00A32C95"/>
    <w:rsid w:val="00A32CEA"/>
    <w:rsid w:val="00A3601A"/>
    <w:rsid w:val="00A37DB8"/>
    <w:rsid w:val="00A40592"/>
    <w:rsid w:val="00A50D1B"/>
    <w:rsid w:val="00A5247C"/>
    <w:rsid w:val="00A5277B"/>
    <w:rsid w:val="00A53473"/>
    <w:rsid w:val="00A6097E"/>
    <w:rsid w:val="00A664C0"/>
    <w:rsid w:val="00A7271E"/>
    <w:rsid w:val="00A74572"/>
    <w:rsid w:val="00A8080C"/>
    <w:rsid w:val="00A904C8"/>
    <w:rsid w:val="00A91A62"/>
    <w:rsid w:val="00A9541B"/>
    <w:rsid w:val="00AA37BD"/>
    <w:rsid w:val="00AB2525"/>
    <w:rsid w:val="00AB6AC3"/>
    <w:rsid w:val="00AD3F63"/>
    <w:rsid w:val="00AD7518"/>
    <w:rsid w:val="00AE1177"/>
    <w:rsid w:val="00AF283F"/>
    <w:rsid w:val="00AF285E"/>
    <w:rsid w:val="00AF7274"/>
    <w:rsid w:val="00B02394"/>
    <w:rsid w:val="00B11A07"/>
    <w:rsid w:val="00B13239"/>
    <w:rsid w:val="00B2371C"/>
    <w:rsid w:val="00B3439B"/>
    <w:rsid w:val="00B356B7"/>
    <w:rsid w:val="00B359D5"/>
    <w:rsid w:val="00B41B2F"/>
    <w:rsid w:val="00B46CAD"/>
    <w:rsid w:val="00B711C6"/>
    <w:rsid w:val="00B73314"/>
    <w:rsid w:val="00B76B38"/>
    <w:rsid w:val="00B82BD3"/>
    <w:rsid w:val="00B83885"/>
    <w:rsid w:val="00B84493"/>
    <w:rsid w:val="00B86814"/>
    <w:rsid w:val="00BA0D8C"/>
    <w:rsid w:val="00BA4570"/>
    <w:rsid w:val="00BB69D8"/>
    <w:rsid w:val="00BC46A8"/>
    <w:rsid w:val="00BD227B"/>
    <w:rsid w:val="00BD22EC"/>
    <w:rsid w:val="00BD3BF8"/>
    <w:rsid w:val="00BD4BAC"/>
    <w:rsid w:val="00BD6F1A"/>
    <w:rsid w:val="00BF25B8"/>
    <w:rsid w:val="00BF3527"/>
    <w:rsid w:val="00BF69B7"/>
    <w:rsid w:val="00C004E8"/>
    <w:rsid w:val="00C0214A"/>
    <w:rsid w:val="00C03866"/>
    <w:rsid w:val="00C06A97"/>
    <w:rsid w:val="00C147B0"/>
    <w:rsid w:val="00C15642"/>
    <w:rsid w:val="00C17423"/>
    <w:rsid w:val="00C23128"/>
    <w:rsid w:val="00C244D7"/>
    <w:rsid w:val="00C3437F"/>
    <w:rsid w:val="00C34840"/>
    <w:rsid w:val="00C432E1"/>
    <w:rsid w:val="00C43F41"/>
    <w:rsid w:val="00C45124"/>
    <w:rsid w:val="00C46B46"/>
    <w:rsid w:val="00C53CD8"/>
    <w:rsid w:val="00C56D7A"/>
    <w:rsid w:val="00C5752B"/>
    <w:rsid w:val="00C63AB7"/>
    <w:rsid w:val="00C66127"/>
    <w:rsid w:val="00C84DE0"/>
    <w:rsid w:val="00C87D4A"/>
    <w:rsid w:val="00C90286"/>
    <w:rsid w:val="00C93C90"/>
    <w:rsid w:val="00C94363"/>
    <w:rsid w:val="00C94DD5"/>
    <w:rsid w:val="00C9711D"/>
    <w:rsid w:val="00C97998"/>
    <w:rsid w:val="00CA63A2"/>
    <w:rsid w:val="00CC1C9A"/>
    <w:rsid w:val="00CE13BC"/>
    <w:rsid w:val="00CE3CE6"/>
    <w:rsid w:val="00CE4152"/>
    <w:rsid w:val="00D01684"/>
    <w:rsid w:val="00D17E3B"/>
    <w:rsid w:val="00D20AE0"/>
    <w:rsid w:val="00D26E35"/>
    <w:rsid w:val="00D36227"/>
    <w:rsid w:val="00D435A0"/>
    <w:rsid w:val="00D445E2"/>
    <w:rsid w:val="00D47A35"/>
    <w:rsid w:val="00D519AB"/>
    <w:rsid w:val="00D52E63"/>
    <w:rsid w:val="00D53B42"/>
    <w:rsid w:val="00D60473"/>
    <w:rsid w:val="00D61E0A"/>
    <w:rsid w:val="00D61FD7"/>
    <w:rsid w:val="00D62E92"/>
    <w:rsid w:val="00D64892"/>
    <w:rsid w:val="00D66280"/>
    <w:rsid w:val="00D70F0A"/>
    <w:rsid w:val="00D73A42"/>
    <w:rsid w:val="00D7416D"/>
    <w:rsid w:val="00D741C6"/>
    <w:rsid w:val="00D765F0"/>
    <w:rsid w:val="00D84A70"/>
    <w:rsid w:val="00D84FE8"/>
    <w:rsid w:val="00D9035C"/>
    <w:rsid w:val="00D925FC"/>
    <w:rsid w:val="00D92C5F"/>
    <w:rsid w:val="00D972C9"/>
    <w:rsid w:val="00DB1B46"/>
    <w:rsid w:val="00DB3290"/>
    <w:rsid w:val="00DB742B"/>
    <w:rsid w:val="00DB7C69"/>
    <w:rsid w:val="00DC0B1D"/>
    <w:rsid w:val="00DC7052"/>
    <w:rsid w:val="00E04EB0"/>
    <w:rsid w:val="00E071AA"/>
    <w:rsid w:val="00E07958"/>
    <w:rsid w:val="00E16AB3"/>
    <w:rsid w:val="00E20313"/>
    <w:rsid w:val="00E24BEA"/>
    <w:rsid w:val="00E33A83"/>
    <w:rsid w:val="00E36453"/>
    <w:rsid w:val="00E54C86"/>
    <w:rsid w:val="00E60515"/>
    <w:rsid w:val="00E61BB2"/>
    <w:rsid w:val="00E629E0"/>
    <w:rsid w:val="00E6445D"/>
    <w:rsid w:val="00E64B29"/>
    <w:rsid w:val="00E7391D"/>
    <w:rsid w:val="00E82AE3"/>
    <w:rsid w:val="00E93C1B"/>
    <w:rsid w:val="00E9452B"/>
    <w:rsid w:val="00EA240F"/>
    <w:rsid w:val="00EB2F6C"/>
    <w:rsid w:val="00EB449E"/>
    <w:rsid w:val="00EC1AD8"/>
    <w:rsid w:val="00EC47A6"/>
    <w:rsid w:val="00ED03CC"/>
    <w:rsid w:val="00ED03E0"/>
    <w:rsid w:val="00EE5C28"/>
    <w:rsid w:val="00EE74C9"/>
    <w:rsid w:val="00F1376B"/>
    <w:rsid w:val="00F14B93"/>
    <w:rsid w:val="00F15A87"/>
    <w:rsid w:val="00F21450"/>
    <w:rsid w:val="00F214F0"/>
    <w:rsid w:val="00F24D2C"/>
    <w:rsid w:val="00F31A31"/>
    <w:rsid w:val="00F40985"/>
    <w:rsid w:val="00F41092"/>
    <w:rsid w:val="00F4398F"/>
    <w:rsid w:val="00F44B73"/>
    <w:rsid w:val="00F46FAC"/>
    <w:rsid w:val="00F56F1A"/>
    <w:rsid w:val="00F60329"/>
    <w:rsid w:val="00F75D22"/>
    <w:rsid w:val="00F77F77"/>
    <w:rsid w:val="00F82229"/>
    <w:rsid w:val="00F849E7"/>
    <w:rsid w:val="00F8630F"/>
    <w:rsid w:val="00F90097"/>
    <w:rsid w:val="00F94280"/>
    <w:rsid w:val="00FD3805"/>
    <w:rsid w:val="00FE7A74"/>
    <w:rsid w:val="00FF41CB"/>
    <w:rsid w:val="00FF4530"/>
    <w:rsid w:val="02C8175F"/>
    <w:rsid w:val="0A30023C"/>
    <w:rsid w:val="79710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FE5B"/>
  <w15:docId w15:val="{5EB5B1D1-D244-46F9-9813-4038C13F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customStyle="1" w:styleId="1">
    <w:name w:val="修订1"/>
    <w:hidden/>
    <w:uiPriority w:val="99"/>
    <w:semiHidden/>
    <w:qFormat/>
    <w:rPr>
      <w:kern w:val="2"/>
      <w:sz w:val="21"/>
      <w:szCs w:val="22"/>
    </w:rPr>
  </w:style>
  <w:style w:type="paragraph" w:customStyle="1" w:styleId="10">
    <w:name w:val="样式1"/>
    <w:basedOn w:val="3"/>
    <w:link w:val="1Char"/>
    <w:qFormat/>
    <w:pPr>
      <w:widowControl/>
      <w:spacing w:line="440" w:lineRule="exact"/>
    </w:pPr>
    <w:rPr>
      <w:rFonts w:ascii="微软雅黑" w:eastAsia="微软雅黑" w:hAnsi="微软雅黑"/>
      <w:color w:val="000000" w:themeColor="text1"/>
      <w:sz w:val="28"/>
      <w:szCs w:val="28"/>
    </w:rPr>
  </w:style>
  <w:style w:type="character" w:customStyle="1" w:styleId="1Char">
    <w:name w:val="样式1 Char"/>
    <w:basedOn w:val="30"/>
    <w:link w:val="10"/>
    <w:qFormat/>
    <w:rPr>
      <w:rFonts w:ascii="微软雅黑" w:eastAsia="微软雅黑" w:hAnsi="微软雅黑"/>
      <w:b/>
      <w:bCs/>
      <w:color w:val="000000" w:themeColor="text1"/>
      <w:sz w:val="28"/>
      <w:szCs w:val="28"/>
    </w:rPr>
  </w:style>
  <w:style w:type="character" w:customStyle="1" w:styleId="30">
    <w:name w:val="标题 3 字符"/>
    <w:basedOn w:val="a0"/>
    <w:link w:val="3"/>
    <w:uiPriority w:val="9"/>
    <w:semiHidden/>
    <w:qFormat/>
    <w:rPr>
      <w:b/>
      <w:bCs/>
      <w:sz w:val="32"/>
      <w:szCs w:val="32"/>
    </w:rPr>
  </w:style>
  <w:style w:type="paragraph" w:customStyle="1" w:styleId="2">
    <w:name w:val="样式2"/>
    <w:basedOn w:val="a"/>
    <w:link w:val="2Char"/>
    <w:qFormat/>
    <w:pPr>
      <w:widowControl/>
      <w:snapToGrid w:val="0"/>
      <w:spacing w:afterLines="100" w:after="312" w:line="240" w:lineRule="atLeast"/>
      <w:contextualSpacing/>
    </w:pPr>
    <w:rPr>
      <w:rFonts w:ascii="微软雅黑" w:eastAsia="微软雅黑" w:hAnsi="微软雅黑"/>
      <w:b/>
      <w:bCs/>
      <w:color w:val="000000" w:themeColor="text1"/>
      <w:sz w:val="28"/>
      <w:szCs w:val="28"/>
    </w:rPr>
  </w:style>
  <w:style w:type="character" w:customStyle="1" w:styleId="2Char">
    <w:name w:val="样式2 Char"/>
    <w:basedOn w:val="a0"/>
    <w:link w:val="2"/>
    <w:qFormat/>
    <w:rPr>
      <w:rFonts w:ascii="微软雅黑" w:eastAsia="微软雅黑" w:hAnsi="微软雅黑"/>
      <w:b/>
      <w:bCs/>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D5F7F-F46E-4FF6-A233-B29822322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Pages>
  <Words>486</Words>
  <Characters>2773</Characters>
  <Application>Microsoft Office Word</Application>
  <DocSecurity>0</DocSecurity>
  <Lines>23</Lines>
  <Paragraphs>6</Paragraphs>
  <ScaleCrop>false</ScaleCrop>
  <Company>FAWCAR</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马燃</dc:creator>
  <cp:lastModifiedBy>穆思齐</cp:lastModifiedBy>
  <cp:revision>61</cp:revision>
  <cp:lastPrinted>2023-04-06T17:12:00Z</cp:lastPrinted>
  <dcterms:created xsi:type="dcterms:W3CDTF">2026-04-30T15:37:00Z</dcterms:created>
  <dcterms:modified xsi:type="dcterms:W3CDTF">2026-10-30T00:51:00Z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7CEDF7E2CC48456597F362005229C12B</vt:lpwstr>
  </property>
</Properties>
</file>