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7B5DC5" w14:textId="77777777" w:rsidR="00064906" w:rsidRDefault="0063630B">
      <w:pPr>
        <w:spacing w:line="36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上海水星家用纺织品股份有限公司</w:t>
      </w:r>
    </w:p>
    <w:p w14:paraId="70A6F3B5" w14:textId="77777777" w:rsidR="00064906" w:rsidRDefault="0063630B">
      <w:pPr>
        <w:spacing w:line="36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投资者关系活动记录表</w:t>
      </w:r>
      <w:r>
        <w:rPr>
          <w:rFonts w:ascii="Times New Roman" w:hAnsi="Times New Roman" w:hint="eastAsia"/>
          <w:b/>
          <w:sz w:val="30"/>
          <w:szCs w:val="30"/>
        </w:rPr>
        <w:t>(</w:t>
      </w:r>
      <w:r>
        <w:rPr>
          <w:rFonts w:ascii="Times New Roman" w:hAnsi="Times New Roman"/>
          <w:b/>
          <w:sz w:val="30"/>
          <w:szCs w:val="30"/>
        </w:rPr>
        <w:t>2026.10.29)</w:t>
      </w:r>
    </w:p>
    <w:p w14:paraId="424F423C" w14:textId="77777777" w:rsidR="00064906" w:rsidRDefault="0063630B">
      <w:pPr>
        <w:spacing w:beforeLines="50" w:before="156" w:line="400" w:lineRule="atLeast"/>
        <w:ind w:firstLineChars="250" w:firstLine="6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证券简称：水星家纺</w:t>
      </w:r>
      <w:r>
        <w:rPr>
          <w:rFonts w:ascii="Times New Roman" w:hAnsi="Times New Roman" w:hint="eastAsia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 w:hint="eastAsia"/>
          <w:sz w:val="24"/>
          <w:szCs w:val="24"/>
        </w:rPr>
        <w:t xml:space="preserve">                  </w:t>
      </w:r>
      <w:r>
        <w:rPr>
          <w:rFonts w:ascii="Times New Roman" w:hAnsi="Times New Roman" w:hint="eastAsia"/>
          <w:sz w:val="24"/>
          <w:szCs w:val="24"/>
        </w:rPr>
        <w:t>证券代码：</w:t>
      </w:r>
      <w:r>
        <w:rPr>
          <w:rFonts w:ascii="Times New Roman" w:hAnsi="Times New Roman" w:hint="eastAsia"/>
          <w:sz w:val="24"/>
          <w:szCs w:val="24"/>
        </w:rPr>
        <w:t xml:space="preserve">603365   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347" w:type="dxa"/>
        <w:jc w:val="center"/>
        <w:tblLayout w:type="fixed"/>
        <w:tblLook w:val="04A0" w:firstRow="1" w:lastRow="0" w:firstColumn="1" w:lastColumn="0" w:noHBand="0" w:noVBand="1"/>
      </w:tblPr>
      <w:tblGrid>
        <w:gridCol w:w="2270"/>
        <w:gridCol w:w="7077"/>
      </w:tblGrid>
      <w:tr w:rsidR="00064906" w14:paraId="5D29F308" w14:textId="77777777">
        <w:trPr>
          <w:trHeight w:val="1305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08E0" w14:textId="77777777" w:rsidR="00064906" w:rsidRDefault="0063630B">
            <w:pPr>
              <w:spacing w:line="4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051DD" w14:textId="77777777" w:rsidR="00064906" w:rsidRDefault="0063630B">
            <w:pPr>
              <w:spacing w:line="40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t>□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特定对象调研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 xml:space="preserve">   □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分析师会议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 xml:space="preserve">    □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媒体采访</w:t>
            </w:r>
          </w:p>
          <w:p w14:paraId="52695F83" w14:textId="77777777" w:rsidR="00064906" w:rsidRDefault="0063630B">
            <w:pPr>
              <w:spacing w:line="40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t>□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业绩说明会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 xml:space="preserve">     □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新闻发布会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 xml:space="preserve">    □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路演活动</w:t>
            </w:r>
          </w:p>
          <w:p w14:paraId="3B0AF211" w14:textId="77777777" w:rsidR="00064906" w:rsidRDefault="0063630B">
            <w:pPr>
              <w:spacing w:line="4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t>□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现场参观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 xml:space="preserve">       ■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其他（电话会议）</w:t>
            </w:r>
          </w:p>
        </w:tc>
      </w:tr>
      <w:tr w:rsidR="00064906" w14:paraId="73A229FB" w14:textId="77777777">
        <w:trPr>
          <w:trHeight w:val="416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DB7CD" w14:textId="77777777" w:rsidR="00064906" w:rsidRDefault="0063630B">
            <w:pPr>
              <w:spacing w:line="4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参与单位名称及人员姓名</w:t>
            </w:r>
          </w:p>
        </w:tc>
        <w:tc>
          <w:tcPr>
            <w:tcW w:w="7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6929" w:type="dxa"/>
              <w:tblLayout w:type="fixed"/>
              <w:tblLook w:val="04A0" w:firstRow="1" w:lastRow="0" w:firstColumn="1" w:lastColumn="0" w:noHBand="0" w:noVBand="1"/>
            </w:tblPr>
            <w:tblGrid>
              <w:gridCol w:w="2109"/>
              <w:gridCol w:w="1418"/>
              <w:gridCol w:w="2126"/>
              <w:gridCol w:w="1276"/>
            </w:tblGrid>
            <w:tr w:rsidR="00064906" w14:paraId="3C105457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D48CC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ACG Management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B2A21E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史晓东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62C8A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开源证券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AB8513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师正浩</w:t>
                  </w:r>
                </w:p>
              </w:tc>
            </w:tr>
            <w:tr w:rsidR="00064906" w14:paraId="387A0AF4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8071A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PINPOINT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资管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F94408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杨明凡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7B308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开源证券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200EC6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冯矜男</w:t>
                  </w:r>
                </w:p>
              </w:tc>
            </w:tr>
            <w:tr w:rsidR="00064906" w14:paraId="15672800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02FCD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安信基金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6A9D76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张明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B8B54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开源证券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51017A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刘毅</w:t>
                  </w:r>
                </w:p>
              </w:tc>
            </w:tr>
            <w:tr w:rsidR="00064906" w14:paraId="4A1B8586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76376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安信基金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F394FF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陈相合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BDFB9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摩根士丹利基金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768CA0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缪东航</w:t>
                  </w:r>
                </w:p>
              </w:tc>
            </w:tr>
            <w:tr w:rsidR="00064906" w14:paraId="5C573363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DE3FB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北京宏道投资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540429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孙磊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47DAF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南方基金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8A851C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蒋秋洁</w:t>
                  </w:r>
                </w:p>
              </w:tc>
            </w:tr>
            <w:tr w:rsidR="00064906" w14:paraId="236795E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5B37D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北京君成私募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E7A8CB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肖建中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74751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南方基金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4BCA08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孙鲁闽</w:t>
                  </w:r>
                </w:p>
              </w:tc>
            </w:tr>
            <w:tr w:rsidR="00064906" w14:paraId="7FA65612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EF0C4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北京煜诚私募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8B794B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黄秋实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D18A9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南方基金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2BEE00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鲍宇晨</w:t>
                  </w:r>
                </w:p>
              </w:tc>
            </w:tr>
            <w:tr w:rsidR="00064906" w14:paraId="1A1F803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B40DA5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博裕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205015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林旦冉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122AB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南方基金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4FEB2D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王坤</w:t>
                  </w:r>
                </w:p>
              </w:tc>
            </w:tr>
            <w:tr w:rsidR="00064906" w14:paraId="24E05F9D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870BA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财通证券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8D71D0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赵嘉宁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8145B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南方基金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D5C9C2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都逸敏</w:t>
                  </w:r>
                </w:p>
              </w:tc>
            </w:tr>
            <w:tr w:rsidR="00064906" w14:paraId="3DE1FD46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C0C7C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财通资管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4BCEA8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洪骐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7EBAB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南方基金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ECF32F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尹力</w:t>
                  </w:r>
                </w:p>
              </w:tc>
            </w:tr>
            <w:tr w:rsidR="00064906" w14:paraId="7DA855AD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BE495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川海私募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C10391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车雨萱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6B00D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南方基金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(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国际部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50B4D7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赵俊桦</w:t>
                  </w:r>
                </w:p>
              </w:tc>
            </w:tr>
            <w:tr w:rsidR="00064906" w14:paraId="6813A42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EBC09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创金合信基金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84731C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刘扬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4C59A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宁银理财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2176F3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姚爽</w:t>
                  </w:r>
                </w:p>
              </w:tc>
            </w:tr>
            <w:tr w:rsidR="00064906" w14:paraId="60200C27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8DEF1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创金合信基金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41B488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张小郭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B991A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诺安基金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B16434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范磊</w:t>
                  </w:r>
                </w:p>
              </w:tc>
            </w:tr>
            <w:tr w:rsidR="00064906" w14:paraId="731670A7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87F1CB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淳臻投资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F7C9B0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张许宏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55190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鹏华基金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DAD796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张宇煊</w:t>
                  </w:r>
                </w:p>
              </w:tc>
            </w:tr>
            <w:tr w:rsidR="00064906" w14:paraId="0CF0893E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EC9E8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东方财富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68A24D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韩欣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B5163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平安基金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A2307D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李景瀚</w:t>
                  </w:r>
                </w:p>
              </w:tc>
            </w:tr>
            <w:tr w:rsidR="00064906" w14:paraId="4C3EB4F2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CDC39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东方证券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AD5A7A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郭哲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8CF70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平安基金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7ECA33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刘杰</w:t>
                  </w:r>
                </w:p>
              </w:tc>
            </w:tr>
            <w:tr w:rsidR="00064906" w14:paraId="1F610DA3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B08FD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东方证券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C8B027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关黎立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EAADD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前海开源基金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51C727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李雨桐</w:t>
                  </w:r>
                </w:p>
              </w:tc>
            </w:tr>
            <w:tr w:rsidR="00064906" w14:paraId="2FCD714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54F31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东方证券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AFEA12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杨肇宁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785EC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青骊投资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5D8F8C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付宇娣</w:t>
                  </w:r>
                </w:p>
              </w:tc>
            </w:tr>
            <w:tr w:rsidR="00064906" w14:paraId="02387D45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80132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东方证券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76B8EE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施红梅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55A4D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青榕资产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4A2523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戴佳敏</w:t>
                  </w:r>
                </w:p>
              </w:tc>
            </w:tr>
            <w:tr w:rsidR="00064906" w14:paraId="36F57C69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2A748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东方资产国际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3C4CB7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夏滕磊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BF5B9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权益投资部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B29A03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俞慕寒</w:t>
                  </w:r>
                </w:p>
              </w:tc>
            </w:tr>
            <w:tr w:rsidR="00064906" w14:paraId="05B558CA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B294C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东吴证券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80328F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赵艺原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47FAF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榕树投资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07438D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杜志君</w:t>
                  </w:r>
                </w:p>
              </w:tc>
            </w:tr>
            <w:tr w:rsidR="00064906" w14:paraId="6A11592A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1BF83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东证资管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10DB86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傅奕翔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68AD0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融通基金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8C3C96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苏林洁</w:t>
                  </w:r>
                </w:p>
              </w:tc>
            </w:tr>
            <w:tr w:rsidR="00064906" w14:paraId="6201FD23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9692A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富安达基金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985B85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颜枫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FD8BA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瑞华控股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EE2E89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郭书捷</w:t>
                  </w:r>
                </w:p>
              </w:tc>
            </w:tr>
            <w:tr w:rsidR="00064906" w14:paraId="0AE06A7A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59138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富国基金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14F573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苏颖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D1E12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瑞华控股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DB66F8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卢跃峰</w:t>
                  </w:r>
                </w:p>
              </w:tc>
            </w:tr>
            <w:tr w:rsidR="00064906" w14:paraId="05980B06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61903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富国基金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FE6ECF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单竹岭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1DAF2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睿远基金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2D5227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顾晓彦</w:t>
                  </w:r>
                </w:p>
              </w:tc>
            </w:tr>
            <w:tr w:rsidR="00064906" w14:paraId="48645E3C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EB85D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富国基金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A7AB72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武磊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D19E3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</w:rPr>
                    <w:t>三井住友投资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</w:rPr>
                    <w:t>(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</w:rPr>
                    <w:t>香港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4AFD3F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Chang Yang</w:t>
                  </w:r>
                </w:p>
              </w:tc>
            </w:tr>
            <w:tr w:rsidR="00064906" w14:paraId="34822361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D800F0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富国基金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4CD09E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王卓立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00FF7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上海常春藤私募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65636D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饶海宁</w:t>
                  </w:r>
                </w:p>
              </w:tc>
            </w:tr>
            <w:tr w:rsidR="00064906" w14:paraId="5CF18D52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941B3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富国基金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FE460F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樊博文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69FF0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上海常春藤私募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868F0F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张双羽</w:t>
                  </w:r>
                </w:p>
              </w:tc>
            </w:tr>
            <w:tr w:rsidR="00064906" w14:paraId="6ACC58A6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C76F3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富国基金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3023E1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李娜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14B92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上海常春藤私募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E10850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刘涛</w:t>
                  </w:r>
                </w:p>
              </w:tc>
            </w:tr>
            <w:tr w:rsidR="00064906" w14:paraId="53AD9D69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71C2D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富国基金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34D0A6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胡靓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95BA4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上海鼎锋资产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4184F7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张齐嘉</w:t>
                  </w:r>
                </w:p>
              </w:tc>
            </w:tr>
            <w:tr w:rsidR="00064906" w14:paraId="5F7FF591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7CB7C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光大永明资产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9A3706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王申璐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1C568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上海歌汝私募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030E9A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石浩</w:t>
                  </w:r>
                </w:p>
              </w:tc>
            </w:tr>
            <w:tr w:rsidR="00064906" w14:paraId="2262F73C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FCB65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光大证券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BEBC1F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孙未未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7D919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上海玖鹏资产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2487FF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蒯小龙</w:t>
                  </w:r>
                </w:p>
              </w:tc>
            </w:tr>
            <w:tr w:rsidR="00064906" w14:paraId="22C2142C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B388F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广发证券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79A799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糜韩杰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36A9F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上海尚雅投资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82306A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成佩剑</w:t>
                  </w:r>
                </w:p>
              </w:tc>
            </w:tr>
            <w:tr w:rsidR="00064906" w14:paraId="4A5CACF0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8CB2F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广州乾元资产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2BAF63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张津源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855EB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申万宏源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C8EB90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朱本伦</w:t>
                  </w:r>
                </w:p>
              </w:tc>
            </w:tr>
            <w:tr w:rsidR="00064906" w14:paraId="37790AA3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634EE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lastRenderedPageBreak/>
                    <w:t>广州乾元资产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CD6B3F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潘云姗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C389A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申万菱信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F8409C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许思敏</w:t>
                  </w:r>
                </w:p>
              </w:tc>
            </w:tr>
            <w:tr w:rsidR="00064906" w14:paraId="585B10FA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99F12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国都证券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1C501C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任选蓉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E28B0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申万菱信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6FD8EC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徐瑞茜</w:t>
                  </w:r>
                </w:p>
              </w:tc>
            </w:tr>
            <w:tr w:rsidR="00064906" w14:paraId="3D79CAD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A738D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国海富兰克林基金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23D3B4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王晓宁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18914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太平洋资管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389186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吴晓丹</w:t>
                  </w:r>
                </w:p>
              </w:tc>
            </w:tr>
            <w:tr w:rsidR="00064906" w14:paraId="7D1E11C2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468028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华西证券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536906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赵文宇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4F57B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太平资管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3E541E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彭丹雪</w:t>
                  </w:r>
                </w:p>
              </w:tc>
            </w:tr>
            <w:tr w:rsidR="00064906" w14:paraId="5DEDD0D4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9C2D5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国联安基金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38387B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刘佃贵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FA6B0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泰信基金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CE87C1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张振卓</w:t>
                  </w:r>
                </w:p>
              </w:tc>
            </w:tr>
            <w:tr w:rsidR="00064906" w14:paraId="15F81AA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77137A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国联安基金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D6FAA1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王兴伟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DD6B0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天风证券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C5FE59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于梦鸽</w:t>
                  </w:r>
                </w:p>
              </w:tc>
            </w:tr>
            <w:tr w:rsidR="00064906" w14:paraId="5254911A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23BDC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国联基金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8355DB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焦阳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58A26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同德磐石资产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D5A0A9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罗凯</w:t>
                  </w:r>
                </w:p>
              </w:tc>
            </w:tr>
            <w:tr w:rsidR="00064906" w14:paraId="6A055718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4F7B4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国盛证券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138E45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王佳伟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9C315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万家基金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91D099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陈佳昀</w:t>
                  </w:r>
                </w:p>
              </w:tc>
            </w:tr>
            <w:tr w:rsidR="00064906" w14:paraId="737002A4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EB15F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国泰海通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AB5EA2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钟启辉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E418E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万家基金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C9C4E2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郎彬</w:t>
                  </w:r>
                </w:p>
              </w:tc>
            </w:tr>
            <w:tr w:rsidR="00064906" w14:paraId="3BE0611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B2235C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国泰海通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A76ECC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盛开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66C9C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万物资本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557298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傅昊</w:t>
                  </w:r>
                </w:p>
              </w:tc>
            </w:tr>
            <w:tr w:rsidR="00064906" w14:paraId="17453CDF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FA0C7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国信证券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8BD324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闫宇聪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3DDF9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西部证券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9B6DCE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周密</w:t>
                  </w:r>
                </w:p>
              </w:tc>
            </w:tr>
            <w:tr w:rsidR="00064906" w14:paraId="26690309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3CFE4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海创私募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CF36CF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张淮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A7252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西部证券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4492DA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解鸿毅</w:t>
                  </w:r>
                </w:p>
              </w:tc>
            </w:tr>
            <w:tr w:rsidR="00064906" w14:paraId="30F88952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A63FE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海富通基金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5EEF76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陈林海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9727B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新思维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(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香港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)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投资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0DBF2A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Ken Peng</w:t>
                  </w:r>
                </w:p>
              </w:tc>
            </w:tr>
            <w:tr w:rsidR="00064906" w14:paraId="033B86D5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B8DF6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合煦智远基金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45FAA1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张夺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0C2FB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鑫元基金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F9005C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姚启璠</w:t>
                  </w:r>
                </w:p>
              </w:tc>
            </w:tr>
            <w:tr w:rsidR="00064906" w14:paraId="1B0F5B9A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B0488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合众资产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EDA86B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于华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06FAD2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信达澳亚基金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753206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陈烁</w:t>
                  </w:r>
                </w:p>
              </w:tc>
            </w:tr>
            <w:tr w:rsidR="00064906" w14:paraId="3BE53256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39D54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恒安标准人寿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0B8A0D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李元玮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FF6F5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兴业证券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35E18A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赵宇</w:t>
                  </w:r>
                </w:p>
              </w:tc>
            </w:tr>
            <w:tr w:rsidR="00064906" w14:paraId="766F2C47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C8DB6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恒大人寿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E95767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杨振艺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EEF66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阳光资产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870476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李曦辰</w:t>
                  </w:r>
                </w:p>
              </w:tc>
            </w:tr>
            <w:tr w:rsidR="00064906" w14:paraId="4ABAA82C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028A0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红思客资产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676915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孙浩桐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B2FCD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易方达基金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69B9BF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李中阳</w:t>
                  </w:r>
                </w:p>
              </w:tc>
            </w:tr>
            <w:tr w:rsidR="00064906" w14:paraId="01507446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D2733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华安合鑫资产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59B70B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惠浦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3F945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易方达基金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D29A29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杨宗昌</w:t>
                  </w:r>
                </w:p>
              </w:tc>
            </w:tr>
            <w:tr w:rsidR="00064906" w14:paraId="1E702659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8951F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华安基金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D1AFEF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吴宇扬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B568C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银河基金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D81FA6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于嘉馨</w:t>
                  </w:r>
                </w:p>
              </w:tc>
            </w:tr>
            <w:tr w:rsidR="00064906" w14:paraId="03245757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F7BF18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华安基金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0ECE58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王春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2DB1E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银河基金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30EA03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石磊</w:t>
                  </w:r>
                </w:p>
              </w:tc>
            </w:tr>
            <w:tr w:rsidR="00064906" w14:paraId="5037B307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37486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华宝基金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7E22A5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毛文博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A7EDA3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银河证券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F865A01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艾菲拉</w:t>
                  </w:r>
                </w:p>
              </w:tc>
            </w:tr>
            <w:tr w:rsidR="00064906" w14:paraId="7786FF1D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DBE52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华泰柏瑞基金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5F2688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阎玉洁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9FC8D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银华基金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FE8F83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李爽</w:t>
                  </w:r>
                </w:p>
              </w:tc>
            </w:tr>
            <w:tr w:rsidR="00064906" w14:paraId="4BB7913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F5F10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华泰证券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62C45D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袁嘉会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B7F96E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圆信永丰基金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8CD014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李茵琦</w:t>
                  </w:r>
                </w:p>
              </w:tc>
            </w:tr>
            <w:tr w:rsidR="00064906" w14:paraId="2FCA3FF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4B6F5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华泰证券资管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4FBD79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陈辛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8B8EE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圆信永丰基金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0F6313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胡春霞</w:t>
                  </w:r>
                </w:p>
              </w:tc>
            </w:tr>
            <w:tr w:rsidR="00064906" w14:paraId="2956B467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053A8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国金证券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CA4202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杨雨钦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F72EFA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圆信永丰基金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760D84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陈臣</w:t>
                  </w:r>
                </w:p>
              </w:tc>
            </w:tr>
            <w:tr w:rsidR="00064906" w14:paraId="4FBB25A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53904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华夏基金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6D220B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李彦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3D3C1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长江证券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636CF4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陈信志</w:t>
                  </w:r>
                </w:p>
              </w:tc>
            </w:tr>
            <w:tr w:rsidR="00064906" w14:paraId="36F8AED8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A0FE8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华夏久盈资产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050EF4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李依琳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F89B7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长江证券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B71C75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魏杏梓</w:t>
                  </w:r>
                </w:p>
              </w:tc>
            </w:tr>
            <w:tr w:rsidR="00064906" w14:paraId="7FE96AA7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58595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华夏理财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167C29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王莎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A0AAA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长江证券资管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2C0221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丰一凯</w:t>
                  </w:r>
                </w:p>
              </w:tc>
            </w:tr>
            <w:tr w:rsidR="00064906" w14:paraId="512D8DB9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AD8AB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华鑫证券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4B0817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蔡益静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62FE3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长信基金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ABFF52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李夷</w:t>
                  </w:r>
                </w:p>
              </w:tc>
            </w:tr>
            <w:tr w:rsidR="00064906" w14:paraId="0A9409C3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A2CBE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汇添富基金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F74FA4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刘昇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B2CA8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招商证券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70FF76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唐圣炀</w:t>
                  </w:r>
                </w:p>
              </w:tc>
            </w:tr>
            <w:tr w:rsidR="00064906" w14:paraId="35D5F304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47264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嘉实基金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095351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沈玉梁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23449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浙商证券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F0C4C40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王廷轩</w:t>
                  </w:r>
                </w:p>
              </w:tc>
            </w:tr>
            <w:tr w:rsidR="00064906" w14:paraId="260B4DB2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D8AA0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嘉实基金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1FFDCF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杨骏骋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CD6E8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浙商证券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7175B0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周敏</w:t>
                  </w:r>
                </w:p>
              </w:tc>
            </w:tr>
            <w:tr w:rsidR="00064906" w14:paraId="1B46EFF0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B063B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嘉实基金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BEDD983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宋阳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BE70B8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浙商证券资管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AF7460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许运凯</w:t>
                  </w:r>
                </w:p>
              </w:tc>
            </w:tr>
            <w:tr w:rsidR="00064906" w14:paraId="1D529D81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6F78C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建信基金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E79DCD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田元泉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19D675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中财招商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E4522BD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杨洋</w:t>
                  </w:r>
                </w:p>
              </w:tc>
            </w:tr>
            <w:tr w:rsidR="00064906" w14:paraId="5B2AB5C8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71267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建信基金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0DDA3C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陶灿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E20A5A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中金公司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7B3E37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宋习缘</w:t>
                  </w:r>
                </w:p>
              </w:tc>
            </w:tr>
            <w:tr w:rsidR="00064906" w14:paraId="17C1720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8C9A2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建信基金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D03154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张湘龙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54EED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中金公司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75C374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刘田田</w:t>
                  </w:r>
                </w:p>
              </w:tc>
            </w:tr>
            <w:tr w:rsidR="00064906" w14:paraId="1B4B051C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40BBE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江海证券资管部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57577B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陈霸鑫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7D94F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中金公司资管部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AC9D05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王凯</w:t>
                  </w:r>
                </w:p>
              </w:tc>
            </w:tr>
            <w:tr w:rsidR="00064906" w14:paraId="00189FAB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0FB2AE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交银施罗德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D4676D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高逸云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499702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中信证券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932E21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郑逸坤</w:t>
                  </w:r>
                </w:p>
              </w:tc>
            </w:tr>
            <w:tr w:rsidR="00064906" w14:paraId="576D06A2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B21AA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九一亚洲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AB4F646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郄岩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58A3B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中银基金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28E47F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裔汶锦</w:t>
                  </w:r>
                </w:p>
              </w:tc>
            </w:tr>
            <w:tr w:rsidR="00064906" w14:paraId="51F41E6E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A45E94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开源证券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8CD128F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段怡帆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4DB3AC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中邮证券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5F2780B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刘意纯</w:t>
                  </w:r>
                </w:p>
              </w:tc>
            </w:tr>
            <w:tr w:rsidR="00064906" w14:paraId="6A722DF6" w14:textId="77777777">
              <w:trPr>
                <w:trHeight w:val="280"/>
              </w:trPr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403309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开源证券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2F2A847" w14:textId="77777777" w:rsidR="00064906" w:rsidRDefault="0063630B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</w:rPr>
                    <w:t>李文静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22E749F" w14:textId="77777777" w:rsidR="00064906" w:rsidRDefault="00064906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B3CE6E1" w14:textId="77777777" w:rsidR="00064906" w:rsidRDefault="00064906">
                  <w:pPr>
                    <w:widowControl/>
                    <w:jc w:val="left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3B2903F8" w14:textId="77777777" w:rsidR="00064906" w:rsidRDefault="00064906">
            <w:pPr>
              <w:spacing w:line="40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06" w14:paraId="5B5642C2" w14:textId="77777777">
        <w:trPr>
          <w:trHeight w:val="796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6359E" w14:textId="77777777" w:rsidR="00064906" w:rsidRDefault="00636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时间</w:t>
            </w:r>
          </w:p>
        </w:tc>
        <w:tc>
          <w:tcPr>
            <w:tcW w:w="7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BDC55" w14:textId="77777777" w:rsidR="00064906" w:rsidRDefault="0063630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2026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15:00-16:00</w:t>
            </w:r>
          </w:p>
        </w:tc>
      </w:tr>
      <w:tr w:rsidR="00064906" w14:paraId="0C448091" w14:textId="77777777">
        <w:trPr>
          <w:trHeight w:val="796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9A3CD" w14:textId="77777777" w:rsidR="00064906" w:rsidRDefault="00636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地点</w:t>
            </w:r>
          </w:p>
        </w:tc>
        <w:tc>
          <w:tcPr>
            <w:tcW w:w="7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440A" w14:textId="77777777" w:rsidR="00064906" w:rsidRDefault="0063630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上海市奉贤区沪杭公路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1487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号</w:t>
            </w:r>
          </w:p>
        </w:tc>
      </w:tr>
      <w:tr w:rsidR="00064906" w14:paraId="34657A1E" w14:textId="77777777">
        <w:trPr>
          <w:trHeight w:val="796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9A44C" w14:textId="77777777" w:rsidR="00064906" w:rsidRDefault="00636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公司接待人员姓名</w:t>
            </w:r>
          </w:p>
        </w:tc>
        <w:tc>
          <w:tcPr>
            <w:tcW w:w="7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AAB29" w14:textId="77777777" w:rsidR="00064906" w:rsidRDefault="006363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副总裁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hAnsi="Times New Roman"/>
                <w:sz w:val="24"/>
                <w:szCs w:val="24"/>
              </w:rPr>
              <w:t>李婕</w:t>
            </w:r>
            <w:r>
              <w:rPr>
                <w:rFonts w:ascii="Times New Roman" w:hAnsi="Times New Roman" w:hint="eastAsia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财务总监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hAnsi="Times New Roman"/>
                <w:sz w:val="24"/>
                <w:szCs w:val="24"/>
              </w:rPr>
              <w:t>孙子刚、董事会秘书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hAnsi="Times New Roman"/>
                <w:sz w:val="24"/>
                <w:szCs w:val="24"/>
              </w:rPr>
              <w:t>田怡</w:t>
            </w:r>
          </w:p>
        </w:tc>
      </w:tr>
      <w:tr w:rsidR="00064906" w14:paraId="5DA0B9C4" w14:textId="77777777">
        <w:trPr>
          <w:trHeight w:val="1026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A513B" w14:textId="77777777" w:rsidR="00064906" w:rsidRDefault="0063630B">
            <w:pPr>
              <w:spacing w:line="4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628D" w14:textId="77777777" w:rsidR="00064906" w:rsidRDefault="0063630B">
            <w:pPr>
              <w:spacing w:beforeLines="100" w:before="312"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Part1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：公司介绍</w:t>
            </w:r>
          </w:p>
          <w:p w14:paraId="59871F26" w14:textId="77777777" w:rsidR="00064906" w:rsidRDefault="0063630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theme="minorEastAsia"/>
                <w:sz w:val="24"/>
              </w:rPr>
            </w:pPr>
            <w:r>
              <w:rPr>
                <w:rFonts w:ascii="Times New Roman" w:eastAsiaTheme="minorEastAsia" w:hAnsi="Times New Roman" w:cstheme="minorEastAsia" w:hint="eastAsia"/>
                <w:sz w:val="24"/>
              </w:rPr>
              <w:t>2026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年前三季度，在外部消费复苏节奏分化、家纺行业总量平稳但结构加速升级的背景下，公司经营底盘保持稳定，收入实现正增长，扣非利润保持较好增长，盈利质量继续改善。前三季度公司实现营业收入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30.24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亿元，同比增长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1.62%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；归母净利润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2.21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亿元，同比下降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4.69%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；扣非归母净利润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1.97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亿元，同比增长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6.62%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。这组数据背后，最值得我们向各位强调的是：利润下滑主要受非经常性损益、所得税费用等因素影响，而代表主业造血能力的扣非利润仍保持增长；毛利率较上年同期继续抬升，产品结构和渠道效率正在兑现为“质量型增长”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。</w:t>
            </w:r>
          </w:p>
          <w:p w14:paraId="2FC2CCEC" w14:textId="547EAAFF" w:rsidR="00064906" w:rsidRDefault="0063630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theme="minorEastAsia"/>
                <w:sz w:val="24"/>
              </w:rPr>
            </w:pPr>
            <w:r>
              <w:rPr>
                <w:rFonts w:ascii="Times New Roman" w:eastAsiaTheme="minorEastAsia" w:hAnsi="Times New Roman" w:cstheme="minorEastAsia" w:hint="eastAsia"/>
                <w:sz w:val="24"/>
              </w:rPr>
              <w:t>分季度看，第三季度单季收入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10.48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亿元，同比微降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0.59%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；归母净利润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7118.76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万元，同比下降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21.84%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；扣非净利润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7081.17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万元，同比下降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13.07%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。我们不回避三季度的压力：一是行业进入传统旺季前奏，但终端消费更理性、更强调质价比，客单与转化承压；二是上年同期存在一定非经常性收益基数，放大了归母净利润同比波动；三是三季度所得税补缴导致费用增加。</w:t>
            </w:r>
            <w:r w:rsidR="00E35E05">
              <w:rPr>
                <w:rFonts w:ascii="Times New Roman" w:eastAsiaTheme="minorEastAsia" w:hAnsi="Times New Roman" w:cstheme="minorEastAsia" w:hint="eastAsia"/>
                <w:sz w:val="24"/>
              </w:rPr>
              <w:t>剔除非经常性</w:t>
            </w:r>
            <w:r w:rsidR="00E35E05">
              <w:rPr>
                <w:rFonts w:ascii="Times New Roman" w:eastAsiaTheme="minorEastAsia" w:hAnsi="Times New Roman" w:cstheme="minorEastAsia"/>
                <w:sz w:val="24"/>
              </w:rPr>
              <w:t>损益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看，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前三季度扣非利润增长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6.62%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，更能反映主业经营趋势。</w:t>
            </w:r>
          </w:p>
          <w:p w14:paraId="5F3C4496" w14:textId="77777777" w:rsidR="00064906" w:rsidRDefault="0063630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theme="minorEastAsia"/>
                <w:sz w:val="24"/>
              </w:rPr>
            </w:pPr>
            <w:r>
              <w:rPr>
                <w:rFonts w:ascii="Times New Roman" w:eastAsiaTheme="minorEastAsia" w:hAnsi="Times New Roman" w:cstheme="minorEastAsia" w:hint="eastAsia"/>
                <w:sz w:val="24"/>
              </w:rPr>
              <w:t>今年前三季度，水星家纺的亮点可以概括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如下：</w:t>
            </w:r>
          </w:p>
          <w:p w14:paraId="262019F1" w14:textId="77777777" w:rsidR="00064906" w:rsidRDefault="0063630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theme="minorEastAsia"/>
                <w:sz w:val="24"/>
              </w:rPr>
            </w:pPr>
            <w:r>
              <w:rPr>
                <w:rFonts w:ascii="Times New Roman" w:eastAsiaTheme="minorEastAsia" w:hAnsi="Times New Roman" w:cstheme="minorEastAsia" w:hint="eastAsia"/>
                <w:sz w:val="24"/>
              </w:rPr>
              <w:t>第一，大单品战略继续牵引品类升级。公司坚持“科技赋能睡眠、大单品驱动增长”，围绕被芯这一流量基石和品牌锚点，持续把新材料、新工艺、人因工程数据转化为可感知的产品价值。“雪糕被”经过多年迭代，持续带动科技被芯热度；人体工学枕围绕头颈肩力学、慢回弹承托、透气透湿等功能点强化专业心智；蚕丝被通过胶原蛋白改性等工艺，把天然纤维从“材质叙事”升级为“科技睡眠叙事”。上半年公司销售毛利率同比提升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1.62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个百分点，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lastRenderedPageBreak/>
              <w:t>说明产品结构升级和毛利改善不是一次性红利，而是可持续的经营杠杆。</w:t>
            </w:r>
          </w:p>
          <w:p w14:paraId="388FF829" w14:textId="77777777" w:rsidR="00064906" w:rsidRDefault="0063630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theme="minorEastAsia"/>
                <w:sz w:val="24"/>
              </w:rPr>
            </w:pPr>
            <w:r>
              <w:rPr>
                <w:rFonts w:ascii="Times New Roman" w:eastAsiaTheme="minorEastAsia" w:hAnsi="Times New Roman" w:cstheme="minorEastAsia" w:hint="eastAsia"/>
                <w:sz w:val="24"/>
              </w:rPr>
              <w:t>第二，渠道打法更强调“线上效率”和“线下质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量”并重。线上端，我们继续巩固天猫、京东基本盘，同时在抖音、小红书等内容平台强化品牌自播、达人合作和场景化内容，用“睡眠科技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+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大单品”提高转化效率。线下端，公司不再单纯追求门店数量，而是主动优化低效门店、推进标杆门店焕新，围绕三四线及县域市场做“大单品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+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全品类”组合，并推广睡眠科技产品提升可触摸、可感知的体验。渠道的评价标准正在从“规模扩张”转向提升“单店质量、连带率和复购”。</w:t>
            </w:r>
          </w:p>
          <w:p w14:paraId="06300CEC" w14:textId="77777777" w:rsidR="00064906" w:rsidRDefault="0063630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theme="minorEastAsia"/>
                <w:sz w:val="24"/>
              </w:rPr>
            </w:pPr>
            <w:r>
              <w:rPr>
                <w:rFonts w:ascii="Times New Roman" w:eastAsiaTheme="minorEastAsia" w:hAnsi="Times New Roman" w:cstheme="minorEastAsia" w:hint="eastAsia"/>
                <w:sz w:val="24"/>
              </w:rPr>
              <w:t>第三，供应链与费用管理更精益。面对原材料价格波动，公司通过长期锁价、规模化采购、分级用料体系平滑成本；通过精简低效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SKU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、前置采购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、柔性产能和智能仓储，提升响应速度。费用端，公司承认销售费用投入仍然较高，但投放方向更聚焦：从泛曝光转向大单品、核心价格带和高转化渠道；管理费用和研发费用保持克制，前三季度管理费用率小幅下降，销售费用率略增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0.79%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，但单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Q3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销售费用率有所下降。这也是扣非利润能跑赢归母利润的重要原因。</w:t>
            </w:r>
          </w:p>
          <w:p w14:paraId="7C6C6CE8" w14:textId="77777777" w:rsidR="00064906" w:rsidRDefault="0063630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theme="minorEastAsia"/>
                <w:sz w:val="24"/>
              </w:rPr>
            </w:pPr>
            <w:r>
              <w:rPr>
                <w:rFonts w:ascii="Times New Roman" w:eastAsiaTheme="minorEastAsia" w:hAnsi="Times New Roman" w:cstheme="minorEastAsia" w:hint="eastAsia"/>
                <w:sz w:val="24"/>
              </w:rPr>
              <w:t>第四，资产负债表和股东回报保持稳健。三季度末公司总资产约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39.92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亿元，归母净资产约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31.61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亿元，资产负债率处于较低水平；货币资金、交易性金融资产和充裕的经营性资产，为四季度备货、品牌投放和股东回报提供安全垫。公司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2026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年中期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已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推出每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10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股派现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2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元的利润分配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方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案，现金分红比例约占上半年归母净利润的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34.47%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，延续“提质增效重回报”的导向。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27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日我们披露了董事长提议回购股份的公告，公司将在董事会审议通过后开启回购方案，增加市场投资信心。我们也请各位理解，前三季度经营现金流为负，主要与销售回款节奏、备货付款、股利支付及旺季前置投入有关；从家纺行业季节性和公司历史节奏看，四季度回款与库存去化是现金流修复的关键窗口。</w:t>
            </w:r>
          </w:p>
          <w:p w14:paraId="6C0D50F3" w14:textId="77777777" w:rsidR="00064906" w:rsidRDefault="0063630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theme="minorEastAsia"/>
                <w:sz w:val="24"/>
              </w:rPr>
            </w:pPr>
            <w:r>
              <w:rPr>
                <w:rFonts w:ascii="Times New Roman" w:eastAsiaTheme="minorEastAsia" w:hAnsi="Times New Roman" w:cstheme="minorEastAsia" w:hint="eastAsia"/>
                <w:sz w:val="24"/>
              </w:rPr>
              <w:lastRenderedPageBreak/>
              <w:t>展望四季度，我们有信心、也不盲目乐观。信心来自三点：一是冬季产品、换新场景进入销售旺季，大单品具备更清晰的人群和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功能卖点；二是公司品牌矩阵覆盖细分需求，能在消费分层中捕捉结构性机会；三是低负债、强现金储备和供应链柔性，使公司在竞争中更能把握节奏。需要提示的风险也同样清晰：消费复苏仍可能反复，行业大单品竞争和流量成本上行会压缩费用效率，原材料价格波动仍需对冲。对应策略是：产品上做“爆品带品类、品类带品牌”；渠道上做高质量增长而非粗放扩张；投放上做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 xml:space="preserve"> ROI </w:t>
            </w:r>
            <w:r>
              <w:rPr>
                <w:rFonts w:ascii="Times New Roman" w:eastAsiaTheme="minorEastAsia" w:hAnsi="Times New Roman" w:cstheme="minorEastAsia" w:hint="eastAsia"/>
                <w:sz w:val="24"/>
              </w:rPr>
              <w:t>闭环；现金流上做旺季回款、库存周转和采购节奏联动管理。</w:t>
            </w:r>
          </w:p>
          <w:p w14:paraId="1B7E6156" w14:textId="77777777" w:rsidR="00064906" w:rsidRDefault="0063630B">
            <w:pPr>
              <w:pStyle w:val="a3"/>
              <w:spacing w:beforeLines="150" w:before="468" w:after="0" w:line="360" w:lineRule="auto"/>
              <w:jc w:val="both"/>
              <w:rPr>
                <w:rFonts w:ascii="Times New Roman" w:hAnsi="Times New Roman"/>
                <w:b/>
                <w:lang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>Part2</w:t>
            </w:r>
            <w:r>
              <w:rPr>
                <w:rFonts w:ascii="Times New Roman" w:hAnsi="Times New Roman"/>
                <w:b/>
                <w:lang w:eastAsia="zh-CN"/>
              </w:rPr>
              <w:t>：互动环节</w:t>
            </w:r>
          </w:p>
          <w:p w14:paraId="7357A137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color w:val="FF0000"/>
                <w:lang w:eastAsia="zh-CN"/>
              </w:rPr>
            </w:pPr>
            <w:r>
              <w:rPr>
                <w:rFonts w:ascii="Times New Roman" w:hAnsi="Times New Roman" w:hint="eastAsia"/>
                <w:color w:val="FF0000"/>
                <w:lang w:eastAsia="zh-CN"/>
              </w:rPr>
              <w:t>Q</w:t>
            </w:r>
            <w:r>
              <w:rPr>
                <w:rFonts w:ascii="Times New Roman" w:hAnsi="Times New Roman" w:hint="eastAsia"/>
                <w:color w:val="FF0000"/>
                <w:lang w:eastAsia="zh-CN"/>
              </w:rPr>
              <w:t>：前三季度分渠道的收入表现？</w:t>
            </w:r>
          </w:p>
          <w:p w14:paraId="30DC9787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 w:hint="eastAsia"/>
                <w:lang w:eastAsia="zh-CN"/>
              </w:rPr>
              <w:t>A</w:t>
            </w:r>
            <w:r>
              <w:rPr>
                <w:rFonts w:ascii="Times New Roman" w:hAnsi="Times New Roman" w:hint="eastAsia"/>
                <w:lang w:eastAsia="zh-CN"/>
              </w:rPr>
              <w:t>：前三季度线上</w:t>
            </w:r>
            <w:r>
              <w:rPr>
                <w:rFonts w:ascii="Times New Roman" w:hAnsi="Times New Roman" w:hint="eastAsia"/>
                <w:lang w:eastAsia="zh-CN"/>
              </w:rPr>
              <w:t>渠道</w:t>
            </w:r>
            <w:r>
              <w:rPr>
                <w:rFonts w:ascii="Times New Roman" w:hAnsi="Times New Roman" w:hint="eastAsia"/>
                <w:lang w:eastAsia="zh-CN"/>
              </w:rPr>
              <w:t>个位数增长、线下</w:t>
            </w:r>
            <w:r>
              <w:rPr>
                <w:rFonts w:ascii="Times New Roman" w:hAnsi="Times New Roman" w:hint="eastAsia"/>
                <w:lang w:eastAsia="zh-CN"/>
              </w:rPr>
              <w:t>渠道</w:t>
            </w:r>
            <w:r>
              <w:rPr>
                <w:rFonts w:ascii="Times New Roman" w:hAnsi="Times New Roman" w:hint="eastAsia"/>
                <w:lang w:eastAsia="zh-CN"/>
              </w:rPr>
              <w:t>个位数下滑，整体</w:t>
            </w:r>
            <w:r>
              <w:rPr>
                <w:rFonts w:ascii="Times New Roman" w:hAnsi="Times New Roman" w:hint="eastAsia"/>
                <w:lang w:eastAsia="zh-CN"/>
              </w:rPr>
              <w:t>收入增</w:t>
            </w:r>
            <w:r>
              <w:rPr>
                <w:rFonts w:ascii="Times New Roman" w:hAnsi="Times New Roman" w:hint="eastAsia"/>
                <w:lang w:eastAsia="zh-CN"/>
              </w:rPr>
              <w:t>1.62%</w:t>
            </w:r>
            <w:r>
              <w:rPr>
                <w:rFonts w:ascii="Times New Roman" w:hAnsi="Times New Roman" w:hint="eastAsia"/>
                <w:lang w:eastAsia="zh-CN"/>
              </w:rPr>
              <w:t>；</w:t>
            </w:r>
            <w:r>
              <w:rPr>
                <w:rFonts w:ascii="Times New Roman" w:hAnsi="Times New Roman" w:hint="eastAsia"/>
                <w:lang w:eastAsia="zh-CN"/>
              </w:rPr>
              <w:t>Q</w:t>
            </w:r>
            <w:r>
              <w:rPr>
                <w:rFonts w:ascii="Times New Roman" w:hAnsi="Times New Roman"/>
                <w:lang w:eastAsia="zh-CN"/>
              </w:rPr>
              <w:t>3</w:t>
            </w:r>
            <w:r>
              <w:rPr>
                <w:rFonts w:ascii="Times New Roman" w:hAnsi="Times New Roman" w:hint="eastAsia"/>
                <w:lang w:eastAsia="zh-CN"/>
              </w:rPr>
              <w:t>因去年同期高基数，整体收入降</w:t>
            </w:r>
            <w:r>
              <w:rPr>
                <w:rFonts w:ascii="Times New Roman" w:hAnsi="Times New Roman" w:hint="eastAsia"/>
                <w:lang w:eastAsia="zh-CN"/>
              </w:rPr>
              <w:t>0.59%</w:t>
            </w:r>
            <w:r>
              <w:rPr>
                <w:rFonts w:ascii="Times New Roman" w:hAnsi="Times New Roman" w:hint="eastAsia"/>
                <w:lang w:eastAsia="zh-CN"/>
              </w:rPr>
              <w:t>。</w:t>
            </w:r>
          </w:p>
          <w:p w14:paraId="4966EF4E" w14:textId="77777777" w:rsidR="00064906" w:rsidRDefault="00064906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lang w:eastAsia="zh-CN"/>
              </w:rPr>
            </w:pPr>
          </w:p>
          <w:p w14:paraId="7CB1D3BC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color w:val="FF0000"/>
                <w:lang w:eastAsia="zh-CN"/>
              </w:rPr>
            </w:pPr>
            <w:r>
              <w:rPr>
                <w:rFonts w:ascii="Times New Roman" w:hAnsi="Times New Roman" w:hint="eastAsia"/>
                <w:color w:val="FF0000"/>
                <w:lang w:eastAsia="zh-CN"/>
              </w:rPr>
              <w:t>Q</w:t>
            </w:r>
            <w:r>
              <w:rPr>
                <w:rFonts w:ascii="Times New Roman" w:hAnsi="Times New Roman" w:hint="eastAsia"/>
                <w:color w:val="FF0000"/>
                <w:lang w:eastAsia="zh-CN"/>
              </w:rPr>
              <w:t>：</w:t>
            </w:r>
            <w:r>
              <w:rPr>
                <w:rFonts w:ascii="Times New Roman" w:hAnsi="Times New Roman" w:hint="eastAsia"/>
                <w:color w:val="FF0000"/>
                <w:lang w:eastAsia="zh-CN"/>
              </w:rPr>
              <w:t>三季度</w:t>
            </w:r>
            <w:r>
              <w:rPr>
                <w:rFonts w:ascii="Times New Roman" w:hAnsi="Times New Roman" w:hint="eastAsia"/>
                <w:color w:val="FF0000"/>
                <w:lang w:eastAsia="zh-CN"/>
              </w:rPr>
              <w:t>毛利率提升</w:t>
            </w:r>
            <w:r>
              <w:rPr>
                <w:rFonts w:ascii="Times New Roman" w:hAnsi="Times New Roman" w:hint="eastAsia"/>
                <w:color w:val="FF0000"/>
                <w:lang w:eastAsia="zh-CN"/>
              </w:rPr>
              <w:t>幅度比上半年收窄的原因？</w:t>
            </w:r>
          </w:p>
          <w:p w14:paraId="074BA8AC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 w:hint="eastAsia"/>
                <w:lang w:eastAsia="zh-CN"/>
              </w:rPr>
              <w:t>A</w:t>
            </w:r>
            <w:r>
              <w:rPr>
                <w:rFonts w:ascii="Times New Roman" w:hAnsi="Times New Roman" w:hint="eastAsia"/>
                <w:lang w:eastAsia="zh-CN"/>
              </w:rPr>
              <w:t>：</w:t>
            </w:r>
            <w:r>
              <w:rPr>
                <w:rFonts w:ascii="Times New Roman" w:hAnsi="Times New Roman" w:hint="eastAsia"/>
                <w:lang w:eastAsia="zh-CN"/>
              </w:rPr>
              <w:t>一方面去年同期基数比较高；另一方面，原材料成本上行构成边际压力；还有产品结构因素造成了一些扰动。三季度是我们夏品收尾，冬款上新的过渡阶段，线下低毛利引流款有阶段性的增加，对单季度的毛利率产生一定影响，但产品结构的升级，仍然是支撑毛利率中枢上行的一个底层动力。</w:t>
            </w:r>
          </w:p>
          <w:p w14:paraId="7322A1F0" w14:textId="77777777" w:rsidR="00064906" w:rsidRDefault="00064906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lang w:eastAsia="zh-CN"/>
              </w:rPr>
            </w:pPr>
          </w:p>
          <w:p w14:paraId="75D6722D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color w:val="FF0000"/>
                <w:lang w:eastAsia="zh-CN"/>
              </w:rPr>
            </w:pPr>
            <w:r>
              <w:rPr>
                <w:rFonts w:ascii="Times New Roman" w:hAnsi="Times New Roman" w:hint="eastAsia"/>
                <w:color w:val="FF0000"/>
                <w:lang w:eastAsia="zh-CN"/>
              </w:rPr>
              <w:t>Q</w:t>
            </w:r>
            <w:r>
              <w:rPr>
                <w:rFonts w:ascii="Times New Roman" w:hAnsi="Times New Roman" w:hint="eastAsia"/>
                <w:color w:val="FF0000"/>
                <w:lang w:eastAsia="zh-CN"/>
              </w:rPr>
              <w:t>：三季度公司费用控制优秀，销售费用略有下降，管理费用持平，公司四季度费用政策展望？</w:t>
            </w:r>
          </w:p>
          <w:p w14:paraId="0F1FBD49" w14:textId="5DAD430A" w:rsidR="00064906" w:rsidRDefault="0063630B">
            <w:pPr>
              <w:spacing w:line="360" w:lineRule="auto"/>
              <w:ind w:firstLineChars="200" w:firstLine="42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：</w:t>
            </w:r>
            <w:r>
              <w:rPr>
                <w:rFonts w:ascii="宋体" w:hAnsi="宋体" w:cs="宋体" w:hint="eastAsia"/>
                <w:sz w:val="24"/>
                <w:szCs w:val="24"/>
              </w:rPr>
              <w:t>三季度我们坚持提质增效、精细化费用管控，整体费用率管控效果符合预期，三季度销售费用同比有所下降、管理费用保持平稳，核心是我们费用投放逻辑已经从过去单纯追求流量、冲</w:t>
            </w:r>
            <w:r>
              <w:rPr>
                <w:rFonts w:ascii="宋体" w:hAnsi="宋体" w:cs="宋体" w:hint="eastAsia"/>
                <w:sz w:val="24"/>
                <w:szCs w:val="24"/>
              </w:rPr>
              <w:t>GMV</w:t>
            </w:r>
            <w:r>
              <w:rPr>
                <w:rFonts w:ascii="宋体" w:hAnsi="宋体" w:cs="宋体" w:hint="eastAsia"/>
                <w:sz w:val="24"/>
                <w:szCs w:val="24"/>
              </w:rPr>
              <w:t>，转向以</w:t>
            </w:r>
            <w:r>
              <w:rPr>
                <w:rFonts w:ascii="宋体" w:hAnsi="宋体" w:cs="宋体" w:hint="eastAsia"/>
                <w:sz w:val="24"/>
                <w:szCs w:val="24"/>
              </w:rPr>
              <w:t>ROI</w:t>
            </w:r>
            <w:r>
              <w:rPr>
                <w:rFonts w:ascii="宋体" w:hAnsi="宋体" w:cs="宋体" w:hint="eastAsia"/>
                <w:sz w:val="24"/>
                <w:szCs w:val="24"/>
              </w:rPr>
              <w:t>为核心、精准投放、资源向高转化大单品倾斜。</w:t>
            </w:r>
          </w:p>
          <w:p w14:paraId="45DEA504" w14:textId="77777777" w:rsidR="00064906" w:rsidRDefault="0063630B">
            <w:pPr>
              <w:spacing w:line="360" w:lineRule="auto"/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整体四季度费用策略，我们概括为：总量可控、结构分化，品</w:t>
            </w:r>
            <w:r>
              <w:rPr>
                <w:rFonts w:ascii="宋体" w:hAnsi="宋体" w:cs="宋体"/>
                <w:sz w:val="24"/>
                <w:szCs w:val="24"/>
              </w:rPr>
              <w:lastRenderedPageBreak/>
              <w:t>牌投入前置，持续优先保障盈利质量。四季度本身是旺季，营收基数抬升，有利于摊薄单位固定费用</w:t>
            </w:r>
            <w:r>
              <w:rPr>
                <w:rFonts w:ascii="宋体" w:hAnsi="宋体" w:cs="宋体" w:hint="eastAsia"/>
                <w:sz w:val="24"/>
                <w:szCs w:val="24"/>
              </w:rPr>
              <w:t>，</w:t>
            </w:r>
            <w:r>
              <w:rPr>
                <w:rFonts w:ascii="宋体" w:hAnsi="宋体" w:cs="宋体" w:hint="eastAsia"/>
                <w:sz w:val="24"/>
                <w:szCs w:val="24"/>
              </w:rPr>
              <w:t>目标</w:t>
            </w:r>
            <w:r>
              <w:rPr>
                <w:rFonts w:ascii="宋体" w:hAnsi="宋体" w:cs="宋体"/>
                <w:sz w:val="24"/>
                <w:szCs w:val="24"/>
              </w:rPr>
              <w:t>把费用率控制在合理水平，避免费用率上行侵蚀毛利改善成果。底层原则：投入要么能带来长期品牌价值沉淀，要么能实现当期可验证的销售回报，杜绝低</w:t>
            </w:r>
            <w:r>
              <w:rPr>
                <w:rFonts w:ascii="宋体" w:hAnsi="宋体" w:cs="宋体"/>
                <w:sz w:val="24"/>
                <w:szCs w:val="24"/>
              </w:rPr>
              <w:t>效投入。</w:t>
            </w:r>
          </w:p>
          <w:p w14:paraId="7A7FEC98" w14:textId="77777777" w:rsidR="00064906" w:rsidRDefault="00064906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color w:val="FF0000"/>
                <w:lang w:eastAsia="zh-CN"/>
              </w:rPr>
            </w:pPr>
          </w:p>
          <w:p w14:paraId="06AA90F3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color w:val="FF0000"/>
                <w:lang w:eastAsia="zh-CN"/>
              </w:rPr>
            </w:pPr>
            <w:r>
              <w:rPr>
                <w:rFonts w:ascii="Times New Roman" w:hAnsi="Times New Roman" w:hint="eastAsia"/>
                <w:color w:val="FF0000"/>
                <w:lang w:eastAsia="zh-CN"/>
              </w:rPr>
              <w:t>Q</w:t>
            </w:r>
            <w:r>
              <w:rPr>
                <w:rFonts w:ascii="Times New Roman" w:hAnsi="Times New Roman" w:hint="eastAsia"/>
                <w:color w:val="FF0000"/>
                <w:lang w:eastAsia="zh-CN"/>
              </w:rPr>
              <w:t>：今年三季度和上半年政府补贴都是少于去年，四季度预期？</w:t>
            </w:r>
          </w:p>
          <w:p w14:paraId="0CF74F51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 w:hint="eastAsia"/>
                <w:lang w:eastAsia="zh-CN"/>
              </w:rPr>
              <w:t>A</w:t>
            </w:r>
            <w:r>
              <w:rPr>
                <w:rFonts w:ascii="Times New Roman" w:hAnsi="Times New Roman" w:hint="eastAsia"/>
                <w:lang w:eastAsia="zh-CN"/>
              </w:rPr>
              <w:t>：政府补贴项目包括申报、验收、拨款、收账等环节，</w:t>
            </w:r>
            <w:r>
              <w:rPr>
                <w:rFonts w:ascii="Times New Roman" w:hAnsi="Times New Roman" w:hint="eastAsia"/>
                <w:lang w:eastAsia="zh-CN"/>
              </w:rPr>
              <w:t>周期较长</w:t>
            </w:r>
            <w:r>
              <w:rPr>
                <w:rFonts w:ascii="Times New Roman" w:hAnsi="Times New Roman" w:hint="eastAsia"/>
                <w:lang w:eastAsia="zh-CN"/>
              </w:rPr>
              <w:t>。近年国家对补贴管理趋严，</w:t>
            </w:r>
            <w:r>
              <w:rPr>
                <w:rFonts w:ascii="Times New Roman" w:hAnsi="Times New Roman" w:hint="eastAsia"/>
                <w:lang w:eastAsia="zh-CN"/>
              </w:rPr>
              <w:t>四季度</w:t>
            </w:r>
            <w:r>
              <w:rPr>
                <w:rFonts w:ascii="Times New Roman" w:hAnsi="Times New Roman" w:hint="eastAsia"/>
                <w:lang w:eastAsia="zh-CN"/>
              </w:rPr>
              <w:t>存在不确定性。</w:t>
            </w:r>
          </w:p>
          <w:p w14:paraId="19ADEBC3" w14:textId="77777777" w:rsidR="00064906" w:rsidRDefault="00064906">
            <w:pPr>
              <w:pStyle w:val="a3"/>
              <w:spacing w:before="0" w:after="0" w:line="360" w:lineRule="auto"/>
              <w:ind w:firstLineChars="200" w:firstLine="480"/>
              <w:jc w:val="both"/>
              <w:rPr>
                <w:rFonts w:ascii="Times New Roman" w:hAnsi="Times New Roman"/>
                <w:lang w:eastAsia="zh-CN"/>
              </w:rPr>
            </w:pPr>
          </w:p>
          <w:p w14:paraId="173130CE" w14:textId="77777777" w:rsidR="00064906" w:rsidRDefault="0063630B">
            <w:pPr>
              <w:pStyle w:val="a3"/>
              <w:spacing w:line="360" w:lineRule="auto"/>
              <w:ind w:firstLineChars="200" w:firstLine="480"/>
              <w:rPr>
                <w:rFonts w:ascii="Times New Roman" w:hAnsi="Times New Roman"/>
                <w:color w:val="FF0000"/>
                <w:lang w:eastAsia="zh-CN"/>
              </w:rPr>
            </w:pPr>
            <w:r>
              <w:rPr>
                <w:rFonts w:ascii="Times New Roman" w:hAnsi="Times New Roman" w:hint="eastAsia"/>
                <w:color w:val="FF0000"/>
                <w:lang w:eastAsia="zh-CN"/>
              </w:rPr>
              <w:t>Q</w:t>
            </w:r>
            <w:r>
              <w:rPr>
                <w:rFonts w:ascii="Times New Roman" w:hAnsi="Times New Roman" w:hint="eastAsia"/>
                <w:color w:val="FF0000"/>
                <w:lang w:eastAsia="zh-CN"/>
              </w:rPr>
              <w:t>：存货三季度末同比增长，是否因为旺季备货？存货是否有风险？</w:t>
            </w:r>
          </w:p>
          <w:p w14:paraId="6E6D963A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 w:hint="eastAsia"/>
                <w:lang w:eastAsia="zh-CN"/>
              </w:rPr>
              <w:t>A</w:t>
            </w:r>
            <w:r>
              <w:rPr>
                <w:rFonts w:ascii="Times New Roman" w:hAnsi="Times New Roman" w:hint="eastAsia"/>
                <w:lang w:eastAsia="zh-CN"/>
              </w:rPr>
              <w:t>：本次存货增长以旺季主动备货为主，属于季节性因素，不是库存积压；公司目前存货结构向好，减值计提审慎，存货风险整体可控，存货的周转最终取决于四季度终端动销情况，我们会紧盯四季度动销，灵活调整后续生产和补货计划，严控库存规模。</w:t>
            </w:r>
          </w:p>
          <w:p w14:paraId="7D2910EC" w14:textId="77777777" w:rsidR="00064906" w:rsidRDefault="00064906">
            <w:pPr>
              <w:pStyle w:val="a3"/>
              <w:spacing w:before="0" w:after="0" w:line="360" w:lineRule="auto"/>
              <w:ind w:firstLineChars="200" w:firstLine="480"/>
              <w:jc w:val="both"/>
              <w:rPr>
                <w:rFonts w:ascii="Times New Roman" w:hAnsi="Times New Roman"/>
                <w:lang w:eastAsia="zh-CN"/>
              </w:rPr>
            </w:pPr>
          </w:p>
          <w:p w14:paraId="1DF8CE8F" w14:textId="77777777" w:rsidR="00064906" w:rsidRDefault="0063630B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hAnsi="Times New Roman" w:cs="宋体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宋体"/>
                <w:bCs/>
                <w:color w:val="FF0000"/>
                <w:kern w:val="0"/>
                <w:sz w:val="24"/>
                <w:szCs w:val="24"/>
              </w:rPr>
              <w:t>Q</w:t>
            </w:r>
            <w:r>
              <w:rPr>
                <w:rFonts w:ascii="Times New Roman" w:hAnsi="Times New Roman" w:cs="宋体" w:hint="eastAsia"/>
                <w:bCs/>
                <w:color w:val="FF0000"/>
                <w:kern w:val="0"/>
                <w:sz w:val="24"/>
                <w:szCs w:val="24"/>
              </w:rPr>
              <w:t>：经营性现金流净额为负的原因？</w:t>
            </w:r>
            <w:bookmarkStart w:id="0" w:name="_GoBack"/>
            <w:bookmarkEnd w:id="0"/>
          </w:p>
          <w:p w14:paraId="66F22076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lang w:eastAsia="zh-CN"/>
              </w:rPr>
            </w:pPr>
            <w:r>
              <w:rPr>
                <w:rFonts w:ascii="Times New Roman" w:hAnsi="Times New Roman" w:hint="eastAsia"/>
                <w:lang w:eastAsia="zh-CN"/>
              </w:rPr>
              <w:t>A</w:t>
            </w:r>
            <w:r>
              <w:rPr>
                <w:rFonts w:ascii="Times New Roman" w:hAnsi="Times New Roman" w:hint="eastAsia"/>
                <w:lang w:eastAsia="zh-CN"/>
              </w:rPr>
              <w:t>：三季度经营性现金流净额为负，主要是为四季度冬季产品旺季集中备货，上游原料、加工款付现增加，采购现金支出前置，而相关销售回款</w:t>
            </w:r>
            <w:r>
              <w:rPr>
                <w:rFonts w:ascii="Times New Roman" w:hAnsi="Times New Roman" w:hint="eastAsia"/>
                <w:lang w:eastAsia="zh-CN"/>
              </w:rPr>
              <w:t>多</w:t>
            </w:r>
            <w:r>
              <w:rPr>
                <w:rFonts w:ascii="Times New Roman" w:hAnsi="Times New Roman" w:hint="eastAsia"/>
                <w:lang w:eastAsia="zh-CN"/>
              </w:rPr>
              <w:t>集中在四季度，属于典型季节性收付错配。公司下游加盟商回款情况稳定，应收账款周转正常，不存在回款风险，预计四季度随着旺季销售实现，现金流会明显改善。</w:t>
            </w:r>
          </w:p>
          <w:p w14:paraId="646A4387" w14:textId="77777777" w:rsidR="00064906" w:rsidRDefault="00064906">
            <w:pPr>
              <w:pStyle w:val="a3"/>
              <w:spacing w:before="0" w:after="0"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lang w:eastAsia="zh-CN"/>
              </w:rPr>
            </w:pPr>
          </w:p>
          <w:p w14:paraId="6937AA69" w14:textId="77777777" w:rsidR="00064906" w:rsidRDefault="0063630B">
            <w:pPr>
              <w:pStyle w:val="a3"/>
              <w:spacing w:line="360" w:lineRule="auto"/>
              <w:ind w:firstLineChars="200" w:firstLine="480"/>
              <w:rPr>
                <w:rFonts w:ascii="Times New Roman" w:hAnsi="Times New Roman"/>
                <w:color w:val="FF0000"/>
                <w:lang w:eastAsia="zh-CN"/>
              </w:rPr>
            </w:pPr>
            <w:r>
              <w:rPr>
                <w:rFonts w:ascii="Times New Roman" w:hAnsi="Times New Roman" w:hint="eastAsia"/>
                <w:color w:val="FF0000"/>
                <w:lang w:eastAsia="zh-CN"/>
              </w:rPr>
              <w:t>Q</w:t>
            </w:r>
            <w:r>
              <w:rPr>
                <w:rFonts w:ascii="Times New Roman" w:hAnsi="Times New Roman" w:hint="eastAsia"/>
                <w:color w:val="FF0000"/>
                <w:lang w:eastAsia="zh-CN"/>
              </w:rPr>
              <w:t>：董事长提议回购股份的原因？</w:t>
            </w:r>
          </w:p>
          <w:p w14:paraId="11CE0B43" w14:textId="77777777" w:rsidR="00064906" w:rsidRDefault="0063630B">
            <w:pPr>
              <w:pStyle w:val="a3"/>
              <w:spacing w:before="0" w:after="0" w:line="360" w:lineRule="auto"/>
              <w:ind w:firstLineChars="200" w:firstLine="480"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 w:hint="eastAsia"/>
                <w:lang w:eastAsia="zh-CN"/>
              </w:rPr>
              <w:t>A</w:t>
            </w:r>
            <w:r>
              <w:rPr>
                <w:rFonts w:ascii="Times New Roman" w:hAnsi="Times New Roman" w:hint="eastAsia"/>
                <w:lang w:eastAsia="zh-CN"/>
              </w:rPr>
              <w:t>：董事长提议回购，主要是基于对公司内在价值、长期发展的信心，也是落实股东回报的举措。公司目前盈利和现金流稳健，</w:t>
            </w:r>
            <w:r>
              <w:rPr>
                <w:rFonts w:ascii="Times New Roman" w:hAnsi="Times New Roman" w:hint="eastAsia"/>
                <w:lang w:eastAsia="zh-CN"/>
              </w:rPr>
              <w:lastRenderedPageBreak/>
              <w:t>回购股份可用于股权激励、员工持股计划或者注销，绑定团队利益或增厚股东收益。该事项目前还只是</w:t>
            </w:r>
            <w:r>
              <w:rPr>
                <w:rFonts w:ascii="Times New Roman" w:hAnsi="Times New Roman" w:hint="eastAsia"/>
                <w:lang w:eastAsia="zh-CN"/>
              </w:rPr>
              <w:t>提议，需要董事会、股东会（或有）审议，最终方案以公告为准。</w:t>
            </w:r>
          </w:p>
        </w:tc>
      </w:tr>
      <w:tr w:rsidR="00064906" w14:paraId="46C49CE1" w14:textId="77777777">
        <w:trPr>
          <w:trHeight w:val="9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0E87C" w14:textId="77777777" w:rsidR="00064906" w:rsidRDefault="0063630B">
            <w:pPr>
              <w:spacing w:line="4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是否涉及应当披露重大信息的说明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7B3E" w14:textId="77777777" w:rsidR="00064906" w:rsidRDefault="0063630B">
            <w:pPr>
              <w:spacing w:beforeLines="50" w:before="156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kern w:val="0"/>
                <w:sz w:val="24"/>
                <w:szCs w:val="24"/>
              </w:rPr>
              <w:t>不涉及应当披露的重大信息。</w:t>
            </w:r>
          </w:p>
        </w:tc>
      </w:tr>
      <w:tr w:rsidR="00064906" w14:paraId="4508EA84" w14:textId="77777777">
        <w:trPr>
          <w:trHeight w:val="9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220D" w14:textId="77777777" w:rsidR="00064906" w:rsidRDefault="0063630B">
            <w:pPr>
              <w:spacing w:line="4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附件清单（如有）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BDDB" w14:textId="77777777" w:rsidR="00064906" w:rsidRDefault="0063630B">
            <w:pPr>
              <w:spacing w:beforeLines="50" w:before="156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kern w:val="0"/>
                <w:sz w:val="24"/>
                <w:szCs w:val="24"/>
              </w:rPr>
              <w:t>无</w:t>
            </w:r>
          </w:p>
        </w:tc>
      </w:tr>
    </w:tbl>
    <w:p w14:paraId="738B242B" w14:textId="77777777" w:rsidR="00064906" w:rsidRDefault="00064906">
      <w:pPr>
        <w:rPr>
          <w:rFonts w:ascii="Times New Roman" w:hAnsi="Times New Roman"/>
        </w:rPr>
      </w:pPr>
    </w:p>
    <w:sectPr w:rsidR="00064906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1916A" w14:textId="77777777" w:rsidR="0063630B" w:rsidRDefault="0063630B" w:rsidP="00E35E05">
      <w:r>
        <w:separator/>
      </w:r>
    </w:p>
  </w:endnote>
  <w:endnote w:type="continuationSeparator" w:id="0">
    <w:p w14:paraId="6CCC385E" w14:textId="77777777" w:rsidR="0063630B" w:rsidRDefault="0063630B" w:rsidP="00E35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C90F8" w14:textId="77777777" w:rsidR="0063630B" w:rsidRDefault="0063630B" w:rsidP="00E35E05">
      <w:r>
        <w:separator/>
      </w:r>
    </w:p>
  </w:footnote>
  <w:footnote w:type="continuationSeparator" w:id="0">
    <w:p w14:paraId="7586EACA" w14:textId="77777777" w:rsidR="0063630B" w:rsidRDefault="0063630B" w:rsidP="00E35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6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3FF"/>
    <w:rsid w:val="000208D1"/>
    <w:rsid w:val="00064906"/>
    <w:rsid w:val="000D33FF"/>
    <w:rsid w:val="00156C9A"/>
    <w:rsid w:val="0019214E"/>
    <w:rsid w:val="001B4372"/>
    <w:rsid w:val="002341CC"/>
    <w:rsid w:val="002C37EF"/>
    <w:rsid w:val="0034381D"/>
    <w:rsid w:val="003518F5"/>
    <w:rsid w:val="003B5897"/>
    <w:rsid w:val="003E749C"/>
    <w:rsid w:val="00460A55"/>
    <w:rsid w:val="004B1004"/>
    <w:rsid w:val="004C4C96"/>
    <w:rsid w:val="0059615C"/>
    <w:rsid w:val="005A4EC1"/>
    <w:rsid w:val="005B2240"/>
    <w:rsid w:val="005C3AAC"/>
    <w:rsid w:val="0063630B"/>
    <w:rsid w:val="0066632F"/>
    <w:rsid w:val="0068392C"/>
    <w:rsid w:val="00696221"/>
    <w:rsid w:val="00696BDB"/>
    <w:rsid w:val="006B5443"/>
    <w:rsid w:val="006B79EB"/>
    <w:rsid w:val="006C2FFF"/>
    <w:rsid w:val="006C6DB4"/>
    <w:rsid w:val="006E00CE"/>
    <w:rsid w:val="007D49CC"/>
    <w:rsid w:val="009D43C2"/>
    <w:rsid w:val="00A12ACD"/>
    <w:rsid w:val="00A7064D"/>
    <w:rsid w:val="00B75E50"/>
    <w:rsid w:val="00BB4330"/>
    <w:rsid w:val="00BB7C95"/>
    <w:rsid w:val="00C02869"/>
    <w:rsid w:val="00C23AE1"/>
    <w:rsid w:val="00C2786F"/>
    <w:rsid w:val="00C71B2C"/>
    <w:rsid w:val="00CE7694"/>
    <w:rsid w:val="00D10E60"/>
    <w:rsid w:val="00D4244B"/>
    <w:rsid w:val="00D44D1E"/>
    <w:rsid w:val="00D6251A"/>
    <w:rsid w:val="00D8733A"/>
    <w:rsid w:val="00D9738B"/>
    <w:rsid w:val="00E318E5"/>
    <w:rsid w:val="00E35E05"/>
    <w:rsid w:val="00E45E49"/>
    <w:rsid w:val="00EA3D81"/>
    <w:rsid w:val="00EF2A93"/>
    <w:rsid w:val="00EF2F38"/>
    <w:rsid w:val="00F03FE9"/>
    <w:rsid w:val="00F46753"/>
    <w:rsid w:val="00FE64E2"/>
    <w:rsid w:val="034C72DC"/>
    <w:rsid w:val="0540041A"/>
    <w:rsid w:val="0546428C"/>
    <w:rsid w:val="0600615C"/>
    <w:rsid w:val="0672056D"/>
    <w:rsid w:val="07CA4C73"/>
    <w:rsid w:val="07DB2DC2"/>
    <w:rsid w:val="0A8235E3"/>
    <w:rsid w:val="0AAC68B2"/>
    <w:rsid w:val="0B340E8A"/>
    <w:rsid w:val="0B6251C3"/>
    <w:rsid w:val="0B9176F8"/>
    <w:rsid w:val="0D3F57BC"/>
    <w:rsid w:val="0D50069F"/>
    <w:rsid w:val="0EEA4D7C"/>
    <w:rsid w:val="11BA40D6"/>
    <w:rsid w:val="13CE5AEB"/>
    <w:rsid w:val="16F2564D"/>
    <w:rsid w:val="17013AE2"/>
    <w:rsid w:val="17B011E8"/>
    <w:rsid w:val="17F6116D"/>
    <w:rsid w:val="18552337"/>
    <w:rsid w:val="18ED07C2"/>
    <w:rsid w:val="192F6848"/>
    <w:rsid w:val="19834C82"/>
    <w:rsid w:val="1AC15A62"/>
    <w:rsid w:val="1C316C17"/>
    <w:rsid w:val="1DE1641B"/>
    <w:rsid w:val="1EDF6DFF"/>
    <w:rsid w:val="1EE47F71"/>
    <w:rsid w:val="1FCB7383"/>
    <w:rsid w:val="202803BA"/>
    <w:rsid w:val="20D65FDF"/>
    <w:rsid w:val="2460453E"/>
    <w:rsid w:val="2551032A"/>
    <w:rsid w:val="28A54C15"/>
    <w:rsid w:val="28C037FD"/>
    <w:rsid w:val="28C34FD4"/>
    <w:rsid w:val="28D472A8"/>
    <w:rsid w:val="29114058"/>
    <w:rsid w:val="29E223D4"/>
    <w:rsid w:val="30760C45"/>
    <w:rsid w:val="309B4460"/>
    <w:rsid w:val="317F2B7D"/>
    <w:rsid w:val="353C0A11"/>
    <w:rsid w:val="363C09B5"/>
    <w:rsid w:val="37127DB1"/>
    <w:rsid w:val="38C20ECB"/>
    <w:rsid w:val="38C42E95"/>
    <w:rsid w:val="3B1B2B15"/>
    <w:rsid w:val="3D743865"/>
    <w:rsid w:val="3DB1150E"/>
    <w:rsid w:val="40A96C03"/>
    <w:rsid w:val="41B60F73"/>
    <w:rsid w:val="42004812"/>
    <w:rsid w:val="422F3D3C"/>
    <w:rsid w:val="45622B78"/>
    <w:rsid w:val="45C30031"/>
    <w:rsid w:val="475A6773"/>
    <w:rsid w:val="478015E2"/>
    <w:rsid w:val="47F95F8C"/>
    <w:rsid w:val="4AD723E4"/>
    <w:rsid w:val="4B3774F7"/>
    <w:rsid w:val="4BF002D9"/>
    <w:rsid w:val="4D375850"/>
    <w:rsid w:val="4E881E17"/>
    <w:rsid w:val="4EBE3A8B"/>
    <w:rsid w:val="4FCE7CFE"/>
    <w:rsid w:val="4FFA0AF1"/>
    <w:rsid w:val="50AB003F"/>
    <w:rsid w:val="515D758B"/>
    <w:rsid w:val="51FD215C"/>
    <w:rsid w:val="53126808"/>
    <w:rsid w:val="53591FD4"/>
    <w:rsid w:val="5385101B"/>
    <w:rsid w:val="53B51901"/>
    <w:rsid w:val="53D9576D"/>
    <w:rsid w:val="541F6D7A"/>
    <w:rsid w:val="54295E4B"/>
    <w:rsid w:val="54613364"/>
    <w:rsid w:val="54D97871"/>
    <w:rsid w:val="552705DC"/>
    <w:rsid w:val="580F4197"/>
    <w:rsid w:val="583059FA"/>
    <w:rsid w:val="58BD4DB3"/>
    <w:rsid w:val="5D526412"/>
    <w:rsid w:val="5DC6470A"/>
    <w:rsid w:val="5E456113"/>
    <w:rsid w:val="5EBF1885"/>
    <w:rsid w:val="610C0686"/>
    <w:rsid w:val="62F53AC8"/>
    <w:rsid w:val="631A352E"/>
    <w:rsid w:val="671B645D"/>
    <w:rsid w:val="67717495"/>
    <w:rsid w:val="68444BA9"/>
    <w:rsid w:val="694F4082"/>
    <w:rsid w:val="6DEE5CE3"/>
    <w:rsid w:val="6E7A30D3"/>
    <w:rsid w:val="6E9F4AB8"/>
    <w:rsid w:val="6EBD0C3B"/>
    <w:rsid w:val="70115CB9"/>
    <w:rsid w:val="72907369"/>
    <w:rsid w:val="748702F8"/>
    <w:rsid w:val="75322610"/>
    <w:rsid w:val="75635629"/>
    <w:rsid w:val="76663680"/>
    <w:rsid w:val="76FB6D7B"/>
    <w:rsid w:val="77020109"/>
    <w:rsid w:val="78A07BDA"/>
    <w:rsid w:val="79B04BC9"/>
    <w:rsid w:val="7AA86067"/>
    <w:rsid w:val="7B51165F"/>
    <w:rsid w:val="7C5238E1"/>
    <w:rsid w:val="7E1443D7"/>
    <w:rsid w:val="7EC206DA"/>
    <w:rsid w:val="7EE2719E"/>
    <w:rsid w:val="7FE5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2179DFE-FDD9-4B37-B08B-E9078585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widowControl/>
      <w:spacing w:before="180" w:after="180"/>
      <w:jc w:val="left"/>
    </w:pPr>
    <w:rPr>
      <w:rFonts w:asciiTheme="minorHAnsi" w:eastAsiaTheme="minorEastAsia" w:hAnsiTheme="minorHAnsi" w:cstheme="minorBidi"/>
      <w:kern w:val="0"/>
      <w:sz w:val="24"/>
      <w:szCs w:val="24"/>
      <w:lang w:eastAsia="en-US"/>
    </w:r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200"/>
    </w:pPr>
    <w:rPr>
      <w:rFonts w:ascii="Times New Roman" w:hAnsi="Times New Roman" w:cstheme="minorBidi"/>
      <w:sz w:val="24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</w:rPr>
  </w:style>
  <w:style w:type="character" w:customStyle="1" w:styleId="100">
    <w:name w:val="10"/>
    <w:basedOn w:val="a0"/>
    <w:qFormat/>
    <w:rPr>
      <w:rFonts w:ascii="等线" w:eastAsia="等线" w:hAnsi="等线" w:cs="等线" w:hint="eastAsia"/>
    </w:rPr>
  </w:style>
  <w:style w:type="character" w:customStyle="1" w:styleId="15">
    <w:name w:val="15"/>
    <w:basedOn w:val="a0"/>
    <w:qFormat/>
    <w:rPr>
      <w:rFonts w:ascii="等线" w:eastAsia="等线" w:hAnsi="等线" w:cs="等线" w:hint="eastAsia"/>
    </w:rPr>
  </w:style>
  <w:style w:type="character" w:customStyle="1" w:styleId="Char">
    <w:name w:val="正文文本 Char"/>
    <w:basedOn w:val="a0"/>
    <w:link w:val="a3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customStyle="1" w:styleId="FirstParagraph">
    <w:name w:val="First Paragraph"/>
    <w:basedOn w:val="a3"/>
    <w:next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2287</Words>
  <Characters>2379</Characters>
  <Application>Microsoft Office Word</Application>
  <DocSecurity>0</DocSecurity>
  <Lines>264</Lines>
  <Paragraphs>358</Paragraphs>
  <ScaleCrop>false</ScaleCrop>
  <Company/>
  <LinksUpToDate>false</LinksUpToDate>
  <CharactersWithSpaces>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mercury</dc:creator>
  <cp:lastModifiedBy>朱钰</cp:lastModifiedBy>
  <cp:revision>234</cp:revision>
  <cp:lastPrinted>2025-10-30T08:54:00Z</cp:lastPrinted>
  <dcterms:created xsi:type="dcterms:W3CDTF">2017-11-27T13:39:00Z</dcterms:created>
  <dcterms:modified xsi:type="dcterms:W3CDTF">2026-10-30T06:25:00Z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20964EE023B454D95050B16839EB1523_33</vt:lpwstr>
  </property>
  <property fmtid="{D5CDD505-2E9C-101B-9397-08002B2CF9AE}" pid="4" name="KSOTemplateDocerSaveRecord">
    <vt:lpwstr>eyJoZGlkIjoiZTdmYzIzNmNkN2EzNTU0NmYyMWQ2YTQ5ZjQ0Yjg2OTciLCJ1c2VySWQiOiI1MDEzMzkyOTEifQ==</vt:lpwstr>
  </property>
</Properties>
</file>