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1E946">
      <w:pPr>
        <w:jc w:val="left"/>
        <w:rPr>
          <w:rFonts w:cs="Times New Roman"/>
          <w:b/>
          <w:bCs/>
          <w:sz w:val="28"/>
          <w:szCs w:val="28"/>
        </w:rPr>
      </w:pPr>
      <w:r>
        <w:rPr>
          <w:rFonts w:hint="eastAsia" w:ascii="宋体" w:hAnsi="宋体" w:cs="宋体"/>
          <w:b/>
          <w:bCs/>
          <w:szCs w:val="24"/>
          <w:lang w:bidi="ar"/>
        </w:rPr>
        <w:t>证券代码：</w:t>
      </w:r>
      <w:r>
        <w:rPr>
          <w:rFonts w:hint="eastAsia" w:cs="Times New Roman"/>
          <w:b/>
          <w:bCs/>
          <w:szCs w:val="24"/>
          <w:lang w:bidi="ar"/>
        </w:rPr>
        <w:t xml:space="preserve"> </w:t>
      </w:r>
      <w:r>
        <w:rPr>
          <w:rFonts w:cs="Times New Roman"/>
          <w:b/>
          <w:bCs/>
          <w:szCs w:val="24"/>
          <w:lang w:bidi="ar"/>
        </w:rPr>
        <w:t xml:space="preserve">688790 </w:t>
      </w:r>
      <w:r>
        <w:rPr>
          <w:rFonts w:hint="eastAsia" w:cs="Times New Roman"/>
          <w:b/>
          <w:bCs/>
          <w:szCs w:val="24"/>
          <w:lang w:bidi="ar"/>
        </w:rPr>
        <w:t xml:space="preserve">                          </w:t>
      </w:r>
      <w:r>
        <w:rPr>
          <w:rFonts w:cs="Times New Roman"/>
          <w:b/>
          <w:bCs/>
          <w:szCs w:val="24"/>
          <w:lang w:bidi="ar"/>
        </w:rPr>
        <w:t xml:space="preserve"> </w:t>
      </w:r>
      <w:r>
        <w:rPr>
          <w:rFonts w:hint="eastAsia" w:cs="Times New Roman"/>
          <w:b/>
          <w:bCs/>
          <w:szCs w:val="24"/>
          <w:lang w:bidi="ar"/>
        </w:rPr>
        <w:t xml:space="preserve">     </w:t>
      </w:r>
      <w:r>
        <w:rPr>
          <w:rFonts w:cs="Times New Roman"/>
          <w:b/>
          <w:bCs/>
          <w:szCs w:val="24"/>
          <w:lang w:bidi="ar"/>
        </w:rPr>
        <w:t xml:space="preserve"> </w:t>
      </w:r>
      <w:r>
        <w:rPr>
          <w:rFonts w:hint="eastAsia" w:ascii="宋体" w:hAnsi="宋体" w:cs="宋体"/>
          <w:b/>
          <w:bCs/>
          <w:szCs w:val="24"/>
          <w:lang w:bidi="ar"/>
        </w:rPr>
        <w:t>证券简称：</w:t>
      </w:r>
      <w:r>
        <w:rPr>
          <w:rFonts w:hint="eastAsia" w:cs="Times New Roman"/>
          <w:b/>
          <w:bCs/>
          <w:szCs w:val="24"/>
          <w:lang w:bidi="ar"/>
        </w:rPr>
        <w:t xml:space="preserve"> </w:t>
      </w:r>
      <w:r>
        <w:rPr>
          <w:rFonts w:hint="eastAsia" w:ascii="宋体" w:hAnsi="宋体" w:cs="宋体"/>
          <w:b/>
          <w:bCs/>
          <w:szCs w:val="24"/>
          <w:lang w:bidi="ar"/>
        </w:rPr>
        <w:t>昂瑞微</w:t>
      </w:r>
    </w:p>
    <w:p w14:paraId="57724385">
      <w:pPr>
        <w:jc w:val="center"/>
        <w:rPr>
          <w:rFonts w:cs="Times New Roman"/>
          <w:b/>
          <w:bCs/>
          <w:sz w:val="28"/>
          <w:szCs w:val="28"/>
        </w:rPr>
      </w:pPr>
      <w:r>
        <w:rPr>
          <w:rFonts w:hint="eastAsia" w:ascii="宋体" w:hAnsi="宋体" w:cs="宋体"/>
          <w:b/>
          <w:bCs/>
          <w:sz w:val="28"/>
          <w:szCs w:val="28"/>
          <w:lang w:bidi="ar"/>
        </w:rPr>
        <w:t>北京昂瑞微电子技术股份有限公司</w:t>
      </w:r>
    </w:p>
    <w:p w14:paraId="27A5551D">
      <w:pPr>
        <w:jc w:val="center"/>
        <w:rPr>
          <w:rFonts w:cs="Times New Roman"/>
          <w:b/>
          <w:bCs/>
          <w:sz w:val="28"/>
          <w:szCs w:val="28"/>
        </w:rPr>
      </w:pPr>
      <w:r>
        <w:rPr>
          <w:rFonts w:hint="eastAsia" w:ascii="宋体" w:hAnsi="宋体" w:cs="宋体"/>
          <w:b/>
          <w:bCs/>
          <w:sz w:val="28"/>
          <w:szCs w:val="28"/>
          <w:lang w:bidi="ar"/>
        </w:rPr>
        <w:t>投资者关系活动记录表</w:t>
      </w:r>
    </w:p>
    <w:p w14:paraId="63B64804">
      <w:pPr>
        <w:ind w:firstLine="241" w:firstLineChars="100"/>
        <w:rPr>
          <w:rFonts w:hint="eastAsia" w:eastAsia="宋体"/>
          <w:b/>
          <w:bCs/>
          <w:szCs w:val="24"/>
          <w:lang w:eastAsia="zh-CN"/>
        </w:rPr>
      </w:pPr>
      <w:r>
        <w:rPr>
          <w:rFonts w:cs="Times New Roman"/>
          <w:b/>
          <w:bCs/>
          <w:szCs w:val="24"/>
          <w:lang w:bidi="ar"/>
        </w:rPr>
        <w:t xml:space="preserve">         </w:t>
      </w:r>
      <w:r>
        <w:rPr>
          <w:rFonts w:hint="eastAsia" w:cs="Times New Roman"/>
          <w:b/>
          <w:bCs/>
          <w:szCs w:val="24"/>
          <w:lang w:bidi="ar"/>
        </w:rPr>
        <w:t xml:space="preserve">                                             </w:t>
      </w:r>
      <w:r>
        <w:rPr>
          <w:rFonts w:hint="eastAsia" w:ascii="宋体" w:hAnsi="宋体" w:cs="宋体"/>
          <w:b/>
          <w:bCs/>
          <w:szCs w:val="24"/>
          <w:lang w:bidi="ar"/>
        </w:rPr>
        <w:t>编号：</w:t>
      </w:r>
      <w:r>
        <w:rPr>
          <w:rFonts w:cs="Times New Roman"/>
          <w:b/>
          <w:bCs/>
          <w:szCs w:val="24"/>
          <w:lang w:bidi="ar"/>
        </w:rPr>
        <w:t>2026-00</w:t>
      </w:r>
      <w:r>
        <w:rPr>
          <w:rFonts w:hint="eastAsia" w:cs="Times New Roman"/>
          <w:b/>
          <w:bCs/>
          <w:szCs w:val="24"/>
          <w:lang w:val="en-US" w:eastAsia="zh-CN" w:bidi="ar"/>
        </w:rPr>
        <w:t>9</w:t>
      </w:r>
    </w:p>
    <w:tbl>
      <w:tblPr>
        <w:tblStyle w:val="10"/>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6051"/>
      </w:tblGrid>
      <w:tr w14:paraId="13A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6E82FE89">
            <w:pPr>
              <w:jc w:val="center"/>
              <w:rPr>
                <w:b/>
                <w:bCs/>
                <w:szCs w:val="24"/>
              </w:rPr>
            </w:pPr>
          </w:p>
          <w:p w14:paraId="169FB84D">
            <w:pPr>
              <w:jc w:val="center"/>
              <w:rPr>
                <w:b/>
                <w:bCs/>
                <w:szCs w:val="24"/>
              </w:rPr>
            </w:pPr>
          </w:p>
          <w:p w14:paraId="1B944C7F">
            <w:pPr>
              <w:jc w:val="center"/>
              <w:rPr>
                <w:b/>
                <w:bCs/>
                <w:szCs w:val="24"/>
              </w:rPr>
            </w:pPr>
            <w:r>
              <w:rPr>
                <w:rFonts w:hint="eastAsia"/>
                <w:b/>
                <w:bCs/>
                <w:szCs w:val="24"/>
              </w:rPr>
              <w:t>投资者关系活动</w:t>
            </w:r>
          </w:p>
          <w:p w14:paraId="1F1EB772">
            <w:pPr>
              <w:jc w:val="center"/>
              <w:rPr>
                <w:b/>
                <w:bCs/>
                <w:szCs w:val="24"/>
              </w:rPr>
            </w:pPr>
            <w:r>
              <w:rPr>
                <w:rFonts w:hint="eastAsia"/>
                <w:b/>
                <w:bCs/>
                <w:szCs w:val="24"/>
              </w:rPr>
              <w:t>类别</w:t>
            </w:r>
          </w:p>
        </w:tc>
        <w:tc>
          <w:tcPr>
            <w:tcW w:w="6051" w:type="dxa"/>
          </w:tcPr>
          <w:p w14:paraId="4C19B7B9">
            <w:pPr>
              <w:spacing w:line="360" w:lineRule="auto"/>
              <w:rPr>
                <w:rFonts w:ascii="宋体" w:hAnsi="宋体" w:cs="Times New Roman"/>
                <w:szCs w:val="24"/>
              </w:rPr>
            </w:pPr>
            <w:r>
              <w:rPr>
                <w:rFonts w:hint="eastAsia" w:ascii="宋体" w:hAnsi="宋体" w:cs="宋体"/>
                <w:szCs w:val="24"/>
              </w:rPr>
              <w:t>☑</w:t>
            </w:r>
            <w:r>
              <w:rPr>
                <w:rFonts w:hint="eastAsia" w:ascii="宋体" w:hAnsi="宋体" w:cs="宋体"/>
                <w:szCs w:val="24"/>
                <w:lang w:bidi="ar"/>
              </w:rPr>
              <w:t>特定对象调研</w:t>
            </w:r>
            <w:r>
              <w:rPr>
                <w:rFonts w:hint="eastAsia" w:ascii="宋体" w:hAnsi="宋体" w:cs="Times New Roman"/>
                <w:szCs w:val="24"/>
                <w:lang w:bidi="ar"/>
              </w:rPr>
              <w:t xml:space="preserve">    </w:t>
            </w:r>
            <w:r>
              <w:rPr>
                <w:rFonts w:hint="eastAsia" w:ascii="宋体" w:hAnsi="宋体" w:cs="宋体"/>
                <w:szCs w:val="24"/>
                <w:lang w:bidi="ar"/>
              </w:rPr>
              <w:t>□分析师会议</w:t>
            </w:r>
          </w:p>
          <w:p w14:paraId="197EA84F">
            <w:pPr>
              <w:spacing w:line="360" w:lineRule="auto"/>
              <w:rPr>
                <w:rFonts w:ascii="宋体" w:hAnsi="宋体" w:cs="Times New Roman"/>
                <w:szCs w:val="24"/>
              </w:rPr>
            </w:pPr>
            <w:r>
              <w:rPr>
                <w:rFonts w:hint="eastAsia" w:ascii="宋体" w:hAnsi="宋体" w:cs="宋体"/>
                <w:szCs w:val="24"/>
                <w:lang w:bidi="ar"/>
              </w:rPr>
              <w:t xml:space="preserve">□媒体采访 </w:t>
            </w:r>
            <w:r>
              <w:rPr>
                <w:rFonts w:hint="eastAsia" w:ascii="宋体" w:hAnsi="宋体" w:cs="Times New Roman"/>
                <w:szCs w:val="24"/>
                <w:lang w:bidi="ar"/>
              </w:rPr>
              <w:t xml:space="preserve">       </w:t>
            </w:r>
            <w:r>
              <w:rPr>
                <w:rFonts w:hint="eastAsia" w:ascii="宋体" w:hAnsi="宋体" w:cs="宋体"/>
                <w:szCs w:val="24"/>
                <w:lang w:bidi="ar"/>
              </w:rPr>
              <w:t>□业绩说明会</w:t>
            </w:r>
          </w:p>
          <w:p w14:paraId="7A3649E1">
            <w:pPr>
              <w:spacing w:line="360" w:lineRule="auto"/>
              <w:rPr>
                <w:rFonts w:ascii="宋体" w:hAnsi="宋体" w:cs="Times New Roman"/>
                <w:szCs w:val="24"/>
              </w:rPr>
            </w:pPr>
            <w:r>
              <w:rPr>
                <w:rFonts w:hint="eastAsia" w:ascii="宋体" w:hAnsi="宋体" w:cs="宋体"/>
                <w:szCs w:val="24"/>
                <w:lang w:bidi="ar"/>
              </w:rPr>
              <w:t xml:space="preserve">□新闻发布会 </w:t>
            </w:r>
            <w:r>
              <w:rPr>
                <w:rFonts w:hint="eastAsia" w:ascii="宋体" w:hAnsi="宋体" w:cs="Times New Roman"/>
                <w:szCs w:val="24"/>
                <w:lang w:bidi="ar"/>
              </w:rPr>
              <w:t xml:space="preserve">     </w:t>
            </w:r>
            <w:r>
              <w:rPr>
                <w:rFonts w:hint="eastAsia" w:ascii="宋体" w:hAnsi="宋体" w:cs="宋体"/>
                <w:szCs w:val="24"/>
                <w:lang w:eastAsia="zh-CN" w:bidi="ar"/>
              </w:rPr>
              <w:t>☑</w:t>
            </w:r>
            <w:r>
              <w:rPr>
                <w:rFonts w:hint="eastAsia" w:ascii="宋体" w:hAnsi="宋体" w:cs="宋体"/>
                <w:szCs w:val="24"/>
                <w:lang w:bidi="ar"/>
              </w:rPr>
              <w:t>路演活动</w:t>
            </w:r>
          </w:p>
          <w:p w14:paraId="017DBA92">
            <w:pPr>
              <w:spacing w:line="360" w:lineRule="auto"/>
              <w:rPr>
                <w:szCs w:val="24"/>
              </w:rPr>
            </w:pPr>
            <w:r>
              <w:rPr>
                <w:rFonts w:hint="eastAsia" w:ascii="宋体" w:hAnsi="宋体" w:cs="宋体"/>
                <w:szCs w:val="24"/>
              </w:rPr>
              <w:t>□现场参观□其他（</w:t>
            </w:r>
            <w:r>
              <w:rPr>
                <w:rFonts w:hint="eastAsia" w:ascii="宋体" w:hAnsi="宋体" w:cs="宋体"/>
                <w:szCs w:val="24"/>
                <w:u w:val="thick"/>
              </w:rPr>
              <w:t>请文字说明其他活动内容</w:t>
            </w:r>
            <w:r>
              <w:rPr>
                <w:rFonts w:hint="eastAsia" w:ascii="宋体" w:hAnsi="宋体" w:cs="宋体"/>
                <w:szCs w:val="24"/>
              </w:rPr>
              <w:t>）</w:t>
            </w:r>
          </w:p>
        </w:tc>
      </w:tr>
      <w:tr w14:paraId="1AFD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2470" w:type="dxa"/>
            <w:vAlign w:val="center"/>
          </w:tcPr>
          <w:p w14:paraId="3DDA2904">
            <w:pPr>
              <w:jc w:val="center"/>
              <w:rPr>
                <w:b/>
                <w:bCs/>
                <w:szCs w:val="24"/>
              </w:rPr>
            </w:pPr>
            <w:r>
              <w:rPr>
                <w:rFonts w:hint="eastAsia"/>
                <w:b/>
                <w:bCs/>
                <w:szCs w:val="24"/>
              </w:rPr>
              <w:t>参与单位名称</w:t>
            </w:r>
          </w:p>
          <w:p w14:paraId="355617F4">
            <w:pPr>
              <w:jc w:val="center"/>
              <w:rPr>
                <w:b/>
                <w:bCs/>
                <w:szCs w:val="24"/>
              </w:rPr>
            </w:pPr>
            <w:r>
              <w:rPr>
                <w:rFonts w:hint="eastAsia"/>
                <w:b/>
                <w:bCs/>
                <w:szCs w:val="24"/>
              </w:rPr>
              <w:t>及姓名</w:t>
            </w:r>
          </w:p>
        </w:tc>
        <w:tc>
          <w:tcPr>
            <w:tcW w:w="6051" w:type="dxa"/>
            <w:vAlign w:val="center"/>
          </w:tcPr>
          <w:p w14:paraId="5F048350">
            <w:pPr>
              <w:jc w:val="both"/>
              <w:rPr>
                <w:rFonts w:hint="default" w:eastAsia="宋体"/>
                <w:szCs w:val="24"/>
                <w:lang w:val="en-US" w:eastAsia="zh-CN"/>
              </w:rPr>
            </w:pPr>
            <w:r>
              <w:rPr>
                <w:rFonts w:hint="eastAsia"/>
                <w:szCs w:val="24"/>
                <w:lang w:val="en-US" w:eastAsia="zh-CN"/>
              </w:rPr>
              <w:t>银华基金、华安财保、国海证券、财通证券</w:t>
            </w:r>
          </w:p>
        </w:tc>
      </w:tr>
      <w:tr w14:paraId="7CCA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470" w:type="dxa"/>
            <w:vAlign w:val="center"/>
          </w:tcPr>
          <w:p w14:paraId="0AA5FE62">
            <w:pPr>
              <w:jc w:val="center"/>
              <w:rPr>
                <w:b/>
                <w:bCs/>
                <w:szCs w:val="24"/>
              </w:rPr>
            </w:pPr>
            <w:r>
              <w:rPr>
                <w:rFonts w:hint="eastAsia"/>
                <w:b/>
                <w:bCs/>
                <w:szCs w:val="24"/>
              </w:rPr>
              <w:t>时间</w:t>
            </w:r>
          </w:p>
        </w:tc>
        <w:tc>
          <w:tcPr>
            <w:tcW w:w="6051" w:type="dxa"/>
            <w:vAlign w:val="center"/>
          </w:tcPr>
          <w:p w14:paraId="1374BA7A">
            <w:pPr>
              <w:jc w:val="center"/>
              <w:rPr>
                <w:szCs w:val="24"/>
              </w:rPr>
            </w:pPr>
            <w:r>
              <w:rPr>
                <w:rFonts w:hint="eastAsia"/>
                <w:szCs w:val="24"/>
              </w:rPr>
              <w:t>2</w:t>
            </w:r>
            <w:r>
              <w:rPr>
                <w:szCs w:val="24"/>
              </w:rPr>
              <w:t>026</w:t>
            </w:r>
            <w:r>
              <w:rPr>
                <w:rFonts w:hint="eastAsia"/>
                <w:szCs w:val="24"/>
              </w:rPr>
              <w:t>年</w:t>
            </w:r>
            <w:r>
              <w:rPr>
                <w:rFonts w:hint="eastAsia"/>
                <w:szCs w:val="24"/>
                <w:lang w:val="en-US" w:eastAsia="zh-CN"/>
              </w:rPr>
              <w:t>10</w:t>
            </w:r>
            <w:r>
              <w:rPr>
                <w:rFonts w:hint="eastAsia"/>
                <w:szCs w:val="24"/>
              </w:rPr>
              <w:t>月</w:t>
            </w:r>
          </w:p>
        </w:tc>
      </w:tr>
      <w:tr w14:paraId="24F1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470" w:type="dxa"/>
            <w:vAlign w:val="center"/>
          </w:tcPr>
          <w:p w14:paraId="3AC08DE7">
            <w:pPr>
              <w:jc w:val="center"/>
              <w:rPr>
                <w:b/>
                <w:bCs/>
                <w:szCs w:val="24"/>
              </w:rPr>
            </w:pPr>
            <w:r>
              <w:rPr>
                <w:rFonts w:hint="eastAsia"/>
                <w:b/>
                <w:bCs/>
                <w:szCs w:val="24"/>
              </w:rPr>
              <w:t>地点</w:t>
            </w:r>
          </w:p>
        </w:tc>
        <w:tc>
          <w:tcPr>
            <w:tcW w:w="6051" w:type="dxa"/>
            <w:vAlign w:val="center"/>
          </w:tcPr>
          <w:p w14:paraId="5C98B609">
            <w:pPr>
              <w:jc w:val="center"/>
              <w:rPr>
                <w:rFonts w:hint="default" w:eastAsia="宋体"/>
                <w:szCs w:val="24"/>
                <w:lang w:val="en-US" w:eastAsia="zh-CN"/>
              </w:rPr>
            </w:pPr>
            <w:r>
              <w:rPr>
                <w:rFonts w:hint="eastAsia"/>
                <w:szCs w:val="24"/>
              </w:rPr>
              <w:t>公司会议室</w:t>
            </w:r>
            <w:r>
              <w:rPr>
                <w:rFonts w:hint="eastAsia"/>
                <w:szCs w:val="24"/>
                <w:lang w:eastAsia="zh-CN"/>
              </w:rPr>
              <w:t>、</w:t>
            </w:r>
            <w:r>
              <w:rPr>
                <w:rFonts w:hint="eastAsia"/>
                <w:szCs w:val="24"/>
                <w:lang w:val="en-US" w:eastAsia="zh-CN"/>
              </w:rPr>
              <w:t>银华基金管理股份有限公司、华安财产保险股份有限公司</w:t>
            </w:r>
          </w:p>
        </w:tc>
      </w:tr>
      <w:tr w14:paraId="7BF7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470" w:type="dxa"/>
            <w:vAlign w:val="center"/>
          </w:tcPr>
          <w:p w14:paraId="61B6CCDF">
            <w:pPr>
              <w:jc w:val="center"/>
              <w:rPr>
                <w:b/>
                <w:bCs/>
                <w:szCs w:val="24"/>
              </w:rPr>
            </w:pPr>
            <w:r>
              <w:rPr>
                <w:rFonts w:hint="eastAsia"/>
                <w:b/>
                <w:bCs/>
                <w:szCs w:val="24"/>
              </w:rPr>
              <w:t>上市公司接待人员</w:t>
            </w:r>
          </w:p>
        </w:tc>
        <w:tc>
          <w:tcPr>
            <w:tcW w:w="6051" w:type="dxa"/>
            <w:vAlign w:val="center"/>
          </w:tcPr>
          <w:p w14:paraId="56A42DD9">
            <w:pPr>
              <w:jc w:val="center"/>
              <w:rPr>
                <w:bCs/>
                <w:iCs/>
              </w:rPr>
            </w:pPr>
            <w:r>
              <w:rPr>
                <w:rFonts w:hint="eastAsia"/>
                <w:bCs/>
                <w:iCs/>
              </w:rPr>
              <w:t>财务负责人：张馨瑜</w:t>
            </w:r>
          </w:p>
          <w:p w14:paraId="6E386AB9">
            <w:pPr>
              <w:jc w:val="center"/>
              <w:rPr>
                <w:szCs w:val="24"/>
              </w:rPr>
            </w:pPr>
            <w:r>
              <w:rPr>
                <w:rFonts w:hint="eastAsia"/>
                <w:bCs/>
                <w:iCs/>
              </w:rPr>
              <w:t>董事会秘书：谭影子</w:t>
            </w:r>
          </w:p>
        </w:tc>
      </w:tr>
      <w:tr w14:paraId="42A0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220F9397">
            <w:pPr>
              <w:jc w:val="center"/>
              <w:rPr>
                <w:b/>
                <w:bCs/>
                <w:szCs w:val="24"/>
              </w:rPr>
            </w:pPr>
            <w:r>
              <w:rPr>
                <w:rFonts w:hint="eastAsia"/>
                <w:b/>
                <w:bCs/>
                <w:szCs w:val="24"/>
              </w:rPr>
              <w:t>投资者关系活动主要内容介绍</w:t>
            </w:r>
          </w:p>
        </w:tc>
        <w:tc>
          <w:tcPr>
            <w:tcW w:w="6051" w:type="dxa"/>
          </w:tcPr>
          <w:p w14:paraId="7895CCD3">
            <w:pPr>
              <w:numPr>
                <w:ilvl w:val="0"/>
                <w:numId w:val="1"/>
              </w:numPr>
              <w:rPr>
                <w:b/>
              </w:rPr>
            </w:pPr>
            <w:r>
              <w:rPr>
                <w:rFonts w:hint="eastAsia"/>
                <w:b/>
              </w:rPr>
              <w:t>交流的主要问题及回复</w:t>
            </w:r>
          </w:p>
          <w:p w14:paraId="45AE3997">
            <w:pPr>
              <w:keepNext w:val="0"/>
              <w:keepLines w:val="0"/>
              <w:pageBreakBefore w:val="0"/>
              <w:widowControl w:val="0"/>
              <w:kinsoku/>
              <w:wordWrap/>
              <w:overflowPunct/>
              <w:topLinePunct w:val="0"/>
              <w:autoSpaceDE/>
              <w:autoSpaceDN/>
              <w:bidi w:val="0"/>
              <w:adjustRightInd/>
              <w:snapToGrid/>
              <w:textAlignment w:val="auto"/>
              <w:rPr>
                <w:rFonts w:hint="eastAsia" w:eastAsia="宋体" w:cs="Times New Roman"/>
                <w:lang w:val="en-US" w:eastAsia="zh-CN"/>
              </w:rPr>
            </w:pPr>
            <w:r>
              <w:rPr>
                <w:rFonts w:hint="eastAsia"/>
                <w:b/>
              </w:rPr>
              <w:t>1、近期Skyworks与Qorvo</w:t>
            </w:r>
            <w:r>
              <w:rPr>
                <w:rFonts w:hint="eastAsia"/>
                <w:b/>
                <w:lang w:val="en-US" w:eastAsia="zh-CN"/>
              </w:rPr>
              <w:t>完成</w:t>
            </w:r>
            <w:r>
              <w:rPr>
                <w:rFonts w:hint="eastAsia"/>
                <w:b/>
              </w:rPr>
              <w:t>合并，公司如何看待当前射频前端行业</w:t>
            </w:r>
            <w:r>
              <w:rPr>
                <w:rFonts w:hint="eastAsia"/>
                <w:b/>
                <w:lang w:val="en-US" w:eastAsia="zh-CN"/>
              </w:rPr>
              <w:t>的</w:t>
            </w:r>
            <w:r>
              <w:rPr>
                <w:rFonts w:hint="eastAsia"/>
                <w:b/>
              </w:rPr>
              <w:t>竞争格局？</w:t>
            </w:r>
          </w:p>
          <w:p w14:paraId="06F960B1">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答：Skyworks与Qorvo</w:t>
            </w:r>
            <w:r>
              <w:rPr>
                <w:rFonts w:hint="eastAsia" w:cs="Times New Roman"/>
                <w:lang w:val="en-US" w:eastAsia="zh-CN"/>
              </w:rPr>
              <w:t>的</w:t>
            </w:r>
            <w:r>
              <w:rPr>
                <w:rFonts w:hint="eastAsia" w:cs="Times New Roman"/>
              </w:rPr>
              <w:t>合并</w:t>
            </w:r>
            <w:r>
              <w:rPr>
                <w:rFonts w:hint="eastAsia" w:cs="Times New Roman"/>
                <w:lang w:eastAsia="zh-CN"/>
              </w:rPr>
              <w:t>，</w:t>
            </w:r>
            <w:r>
              <w:rPr>
                <w:rFonts w:hint="eastAsia" w:cs="Times New Roman"/>
              </w:rPr>
              <w:t>反映出行业通过资源整合强化规模竞争力的发展趋势</w:t>
            </w:r>
            <w:r>
              <w:rPr>
                <w:rFonts w:hint="eastAsia" w:cs="Times New Roman"/>
                <w:lang w:eastAsia="zh-CN"/>
              </w:rPr>
              <w:t>，</w:t>
            </w:r>
            <w:r>
              <w:rPr>
                <w:rFonts w:hint="eastAsia" w:cs="Times New Roman"/>
                <w:lang w:val="en-US" w:eastAsia="zh-CN"/>
              </w:rPr>
              <w:t>也客观上</w:t>
            </w:r>
            <w:r>
              <w:t>引发全球供应链再平衡，为已具备技术积累与客户基础的国内头部厂商腾出更大的国产替代空间</w:t>
            </w:r>
            <w:r>
              <w:rPr>
                <w:rFonts w:hint="eastAsia" w:cs="Times New Roman"/>
              </w:rPr>
              <w:t>。全球射频前端市场曾长期由国际巨头主导，国内射频前端厂</w:t>
            </w:r>
            <w:bookmarkStart w:id="0" w:name="_GoBack"/>
            <w:bookmarkEnd w:id="0"/>
            <w:r>
              <w:rPr>
                <w:rFonts w:hint="eastAsia" w:cs="Times New Roman"/>
              </w:rPr>
              <w:t>商起步较晚，但头部企业凭借</w:t>
            </w:r>
            <w:r>
              <w:rPr>
                <w:rFonts w:hint="eastAsia" w:cs="Times New Roman"/>
                <w:lang w:val="en-US" w:eastAsia="zh-CN"/>
              </w:rPr>
              <w:t>持续加大的研发投入</w:t>
            </w:r>
            <w:r>
              <w:rPr>
                <w:rFonts w:hint="eastAsia" w:cs="Times New Roman"/>
                <w:lang w:eastAsia="zh-CN"/>
              </w:rPr>
              <w:t>，</w:t>
            </w:r>
            <w:r>
              <w:rPr>
                <w:rFonts w:hint="eastAsia" w:cs="Times New Roman"/>
                <w:lang w:val="en-US" w:eastAsia="zh-CN"/>
              </w:rPr>
              <w:t>份额稳步提升</w:t>
            </w:r>
            <w:r>
              <w:rPr>
                <w:rFonts w:hint="eastAsia" w:cs="Times New Roman"/>
              </w:rPr>
              <w:t>，行业集中度整体呈上升趋势。公司经过多年的研发投入和技术积累，已向多个知名品牌客户实现量产出货并建立了长期策略供应与合作关系</w:t>
            </w:r>
            <w:r>
              <w:rPr>
                <w:rFonts w:hint="eastAsia" w:cs="Times New Roman"/>
                <w:lang w:eastAsia="zh-CN"/>
              </w:rPr>
              <w:t>，</w:t>
            </w:r>
            <w:r>
              <w:rPr>
                <w:rFonts w:hint="eastAsia" w:cs="Times New Roman"/>
              </w:rPr>
              <w:t>将持续加速产品迭代与商业化落地，巩固扩大核心竞争优势</w:t>
            </w:r>
            <w:r>
              <w:rPr>
                <w:rFonts w:hint="eastAsia" w:cs="Times New Roman"/>
                <w:lang w:eastAsia="zh-CN"/>
              </w:rPr>
              <w:t>，</w:t>
            </w:r>
            <w:r>
              <w:rPr>
                <w:rFonts w:hint="eastAsia" w:cs="Times New Roman"/>
                <w:lang w:val="en-US" w:eastAsia="zh-CN"/>
              </w:rPr>
              <w:t>提升射频前端产品市场份额</w:t>
            </w:r>
            <w:r>
              <w:rPr>
                <w:rFonts w:hint="eastAsia" w:cs="Times New Roman"/>
              </w:rPr>
              <w:t>。</w:t>
            </w:r>
          </w:p>
          <w:p w14:paraId="363CD341">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6363559B">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rPr>
              <w:t>2、</w:t>
            </w:r>
            <w:r>
              <w:rPr>
                <w:rFonts w:hint="eastAsia" w:cs="Times New Roman"/>
                <w:b/>
                <w:bCs/>
                <w:lang w:val="en-US" w:eastAsia="zh-CN"/>
              </w:rPr>
              <w:t>公司在6G方面是否有布局</w:t>
            </w:r>
            <w:r>
              <w:rPr>
                <w:rFonts w:hint="eastAsia" w:cs="Times New Roman"/>
                <w:b/>
                <w:bCs/>
              </w:rPr>
              <w:t>？</w:t>
            </w:r>
          </w:p>
          <w:p w14:paraId="5E86B139">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未来，6G将向更高频段、更广覆盖和空天地一体化方向演进，将推动射频前端芯片迎来重大技术变革，同时为行业技术升级和产品创新带来新机遇。但目前6G仍处于标准探索阶段，尚未到商业化应用阶段，公司正在积极跟进新一代通信标准演进，</w:t>
            </w:r>
            <w:r>
              <w:rPr>
                <w:rFonts w:hint="eastAsia" w:cs="Times New Roman"/>
                <w:lang w:val="en-US" w:eastAsia="zh-CN"/>
              </w:rPr>
              <w:t>开展</w:t>
            </w:r>
            <w:r>
              <w:rPr>
                <w:rFonts w:hint="eastAsia"/>
              </w:rPr>
              <w:t>低压氮化镓（GaN）功放技术前瞻预研，重点布局大功率、高频率、高效率相关产品开发，并与国内头部客户开展深度技术合作，</w:t>
            </w:r>
            <w:r>
              <w:rPr>
                <w:rFonts w:hint="eastAsia" w:cs="Times New Roman"/>
              </w:rPr>
              <w:t>围绕6G做好前沿技术积累。</w:t>
            </w:r>
          </w:p>
          <w:p w14:paraId="08F9A87C">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74D66C9E">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3</w:t>
            </w:r>
            <w:r>
              <w:rPr>
                <w:rFonts w:hint="eastAsia" w:cs="Times New Roman"/>
                <w:b/>
                <w:bCs/>
              </w:rPr>
              <w:t>、公司手机卫星通信产品的进展如何？</w:t>
            </w:r>
          </w:p>
          <w:p w14:paraId="653E32FC">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答：在手机卫星通信领域，公司支持北斗、天通及低轨三合一卫星通信PA已在品牌手机客户实现规模化量产，支持卫通的高性能LNA产品已导入品牌客户</w:t>
            </w:r>
            <w:r>
              <w:rPr>
                <w:rFonts w:hint="eastAsia" w:cs="Times New Roman"/>
                <w:lang w:eastAsia="zh-CN"/>
              </w:rPr>
              <w:t>。</w:t>
            </w:r>
            <w:r>
              <w:rPr>
                <w:rFonts w:hint="eastAsia" w:cs="Times New Roman"/>
              </w:rPr>
              <w:t>目前</w:t>
            </w:r>
            <w:r>
              <w:rPr>
                <w:rFonts w:hint="eastAsia" w:cs="Times New Roman"/>
                <w:lang w:eastAsia="zh-CN"/>
              </w:rPr>
              <w:t>，</w:t>
            </w:r>
            <w:r>
              <w:rPr>
                <w:rFonts w:hint="eastAsia" w:cs="Times New Roman"/>
                <w:lang w:val="en-US" w:eastAsia="zh-CN"/>
              </w:rPr>
              <w:t>手机卫星通信产品收入规模</w:t>
            </w:r>
            <w:r>
              <w:rPr>
                <w:rFonts w:hint="eastAsia" w:cs="Times New Roman"/>
              </w:rPr>
              <w:t>占公司</w:t>
            </w:r>
            <w:r>
              <w:rPr>
                <w:rFonts w:hint="eastAsia" w:cs="Times New Roman"/>
                <w:lang w:val="en-US" w:eastAsia="zh-CN"/>
              </w:rPr>
              <w:t>整体</w:t>
            </w:r>
            <w:r>
              <w:rPr>
                <w:rFonts w:hint="eastAsia" w:cs="Times New Roman"/>
              </w:rPr>
              <w:t>营收比例较小。随着手机直连卫星通信进入规模化商用与标准化普及阶段，相关功能逐步成为中高端智能手机的标配，公司将配合品牌客户推进更高集成度的</w:t>
            </w:r>
            <w:r>
              <w:rPr>
                <w:rFonts w:hint="eastAsia" w:cs="Times New Roman"/>
                <w:lang w:val="en-US" w:eastAsia="zh-CN"/>
              </w:rPr>
              <w:t>手机</w:t>
            </w:r>
            <w:r>
              <w:rPr>
                <w:rFonts w:hint="eastAsia" w:cs="Times New Roman"/>
              </w:rPr>
              <w:t>卫星通信射频前端方案</w:t>
            </w:r>
            <w:r>
              <w:rPr>
                <w:rFonts w:hint="eastAsia" w:cs="Times New Roman"/>
                <w:lang w:eastAsia="zh-CN"/>
              </w:rPr>
              <w:t>，</w:t>
            </w:r>
            <w:r>
              <w:rPr>
                <w:rFonts w:hint="eastAsia" w:cs="Times New Roman"/>
                <w:lang w:val="en-US" w:eastAsia="zh-CN"/>
              </w:rPr>
              <w:t>把握空天地一体化通信产业机遇</w:t>
            </w:r>
            <w:r>
              <w:rPr>
                <w:rFonts w:hint="eastAsia" w:cs="Times New Roman"/>
              </w:rPr>
              <w:t>。</w:t>
            </w:r>
          </w:p>
          <w:p w14:paraId="21DBC4C0">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7020E6B9">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4</w:t>
            </w:r>
            <w:r>
              <w:rPr>
                <w:rFonts w:hint="eastAsia" w:cs="Times New Roman"/>
                <w:b/>
                <w:bCs/>
              </w:rPr>
              <w:t>、公司车载芯片的情况</w:t>
            </w:r>
            <w:r>
              <w:rPr>
                <w:rFonts w:hint="eastAsia" w:cs="Times New Roman"/>
                <w:b/>
                <w:bCs/>
                <w:lang w:val="en-US" w:eastAsia="zh-CN"/>
              </w:rPr>
              <w:t>如何，应用领域有哪些</w:t>
            </w:r>
            <w:r>
              <w:rPr>
                <w:rFonts w:hint="eastAsia" w:cs="Times New Roman"/>
                <w:b/>
                <w:bCs/>
              </w:rPr>
              <w:t>？</w:t>
            </w:r>
          </w:p>
          <w:p w14:paraId="238F8257">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公司车载相关产品覆盖射频前端和射频SoC两条产品线。射频前端方面，公司5G车规级系列产品已通过AEC-Q100认证，具备-40℃至105℃宽温、高可靠特性，可应用于智能网联/T-Box等通信领域，和多家Tier1和Tier2的客户深度合作，已在知名车企中应用。射频SoC方面，公司低功耗蓝牙产品可应用于数字钥匙、蓝牙胎压监测、车内互联等场景。目前，车载通信</w:t>
            </w:r>
            <w:r>
              <w:rPr>
                <w:rFonts w:hint="eastAsia" w:cs="Times New Roman"/>
                <w:lang w:val="en-US" w:eastAsia="zh-CN"/>
              </w:rPr>
              <w:t>产品收入规模</w:t>
            </w:r>
            <w:r>
              <w:rPr>
                <w:rFonts w:hint="eastAsia" w:cs="Times New Roman"/>
              </w:rPr>
              <w:t>占公司营收比例较小</w:t>
            </w:r>
            <w:r>
              <w:rPr>
                <w:rFonts w:hint="eastAsia" w:cs="Times New Roman"/>
                <w:lang w:eastAsia="zh-CN"/>
              </w:rPr>
              <w:t>，</w:t>
            </w:r>
            <w:r>
              <w:rPr>
                <w:rFonts w:hint="eastAsia" w:cs="Times New Roman"/>
              </w:rPr>
              <w:t>未来公司将进一步聚焦头部客户合作，把握汽车智能化发展趋势，推动车载业务实现更高质量增长。</w:t>
            </w:r>
          </w:p>
          <w:p w14:paraId="050E4FD7">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2BBF64C8">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5</w:t>
            </w:r>
            <w:r>
              <w:rPr>
                <w:rFonts w:hint="eastAsia" w:cs="Times New Roman"/>
                <w:b/>
                <w:bCs/>
              </w:rPr>
              <w:t>、公司射频SoC芯片的业务进展及应用场景？</w:t>
            </w:r>
          </w:p>
          <w:p w14:paraId="1F745AB8">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公司射频SoC业务聚焦低功耗蓝牙及2.4G私有协议芯片，形成覆盖消费级、专业级的产品矩阵。2026年上半年射频SoC芯片实现营业收入22,629.39万元，同比增长49.77%，占主营业务收入比重提升至29.27%，是公司业务结构持续优化的重要方向。</w:t>
            </w:r>
          </w:p>
          <w:p w14:paraId="163642C0">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消费类市场中，公司智能寻物类产品兼容多平台查找生态，实现低延时、多连接，已在头部品牌客户多款终端产品实现量产，并在无线外设、智能家居、智慧出行等领域持续巩固竞争优势；专业类市场中，健康医疗方面</w:t>
            </w:r>
            <w:r>
              <w:rPr>
                <w:rFonts w:hint="eastAsia" w:cs="Times New Roman"/>
                <w:lang w:eastAsia="zh-CN"/>
              </w:rPr>
              <w:t>，</w:t>
            </w:r>
            <w:r>
              <w:rPr>
                <w:rFonts w:hint="eastAsia" w:cs="Times New Roman"/>
              </w:rPr>
              <w:t>适配连续血糖监测设备的芯片已导入品牌客户并实现规模量产，智慧零售、物联网能源管理等细分赛道继续维持良好增长态势。公司将在射频SoC领域持续投入，稳步跟进产业发展节奏，拓展多协议芯片开发，持续拓宽消费、专业类终端应用场景，挖掘细分市场增量空间。</w:t>
            </w:r>
          </w:p>
          <w:p w14:paraId="7074C4CB">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6C5D9FF9">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6</w:t>
            </w:r>
            <w:r>
              <w:rPr>
                <w:rFonts w:hint="eastAsia" w:cs="Times New Roman"/>
                <w:b/>
                <w:bCs/>
              </w:rPr>
              <w:t>、公司射频SoC芯片在电子价签、智能寻物等</w:t>
            </w:r>
            <w:r>
              <w:rPr>
                <w:rFonts w:hint="eastAsia" w:cs="Times New Roman"/>
                <w:b/>
                <w:bCs/>
                <w:lang w:val="en-US" w:eastAsia="zh-CN"/>
              </w:rPr>
              <w:t>产品的</w:t>
            </w:r>
            <w:r>
              <w:rPr>
                <w:rFonts w:hint="eastAsia" w:cs="Times New Roman"/>
                <w:b/>
                <w:bCs/>
              </w:rPr>
              <w:t>应用进展如何？</w:t>
            </w:r>
          </w:p>
          <w:p w14:paraId="26379A7A">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w:t>
            </w:r>
            <w:r>
              <w:rPr>
                <w:rFonts w:ascii="宋体" w:hAnsi="宋体" w:eastAsia="宋体" w:cs="宋体"/>
                <w:sz w:val="24"/>
                <w:szCs w:val="24"/>
              </w:rPr>
              <w:t>电子价签是零售数字化基础设施，</w:t>
            </w:r>
            <w:r>
              <w:rPr>
                <w:rFonts w:hint="eastAsia" w:ascii="宋体" w:hAnsi="宋体" w:cs="宋体"/>
                <w:sz w:val="24"/>
                <w:szCs w:val="24"/>
                <w:lang w:val="en-US" w:eastAsia="zh-CN"/>
              </w:rPr>
              <w:t>近年渗透率持续提升，</w:t>
            </w:r>
            <w:r>
              <w:rPr>
                <w:rFonts w:hint="eastAsia" w:cs="Times New Roman"/>
              </w:rPr>
              <w:t>公司</w:t>
            </w:r>
            <w:r>
              <w:rPr>
                <w:rFonts w:hint="eastAsia" w:cs="Times New Roman"/>
                <w:lang w:val="en-US" w:eastAsia="zh-CN"/>
              </w:rPr>
              <w:t>射频SoC</w:t>
            </w:r>
            <w:r>
              <w:rPr>
                <w:rFonts w:hint="eastAsia" w:cs="Times New Roman"/>
              </w:rPr>
              <w:t>芯片在电子价签应用场景中可实现约10年续航，</w:t>
            </w:r>
            <w:r>
              <w:rPr>
                <w:rFonts w:hint="eastAsia" w:cs="Times New Roman"/>
                <w:lang w:val="en-US" w:eastAsia="zh-CN"/>
              </w:rPr>
              <w:t>依托高稳定性、低功耗的技术优势，</w:t>
            </w:r>
            <w:r>
              <w:rPr>
                <w:rFonts w:hint="eastAsia" w:cs="Times New Roman"/>
              </w:rPr>
              <w:t>持续巩固与智能零售头部客户的合作</w:t>
            </w:r>
            <w:r>
              <w:rPr>
                <w:rFonts w:hint="eastAsia" w:cs="Times New Roman"/>
                <w:lang w:eastAsia="zh-CN"/>
              </w:rPr>
              <w:t>；</w:t>
            </w:r>
            <w:r>
              <w:rPr>
                <w:rFonts w:hint="eastAsia" w:cs="Times New Roman"/>
                <w:lang w:val="en-US" w:eastAsia="zh-CN"/>
              </w:rPr>
              <w:t>消费、工业等</w:t>
            </w:r>
            <w:r>
              <w:rPr>
                <w:rFonts w:ascii="宋体" w:hAnsi="宋体" w:eastAsia="宋体" w:cs="宋体"/>
                <w:sz w:val="24"/>
                <w:szCs w:val="24"/>
              </w:rPr>
              <w:t>资产溯源场景持续拓展</w:t>
            </w:r>
            <w:r>
              <w:rPr>
                <w:rFonts w:hint="eastAsia" w:ascii="宋体" w:hAnsi="宋体" w:cs="宋体"/>
                <w:sz w:val="24"/>
                <w:szCs w:val="24"/>
                <w:lang w:eastAsia="zh-CN"/>
              </w:rPr>
              <w:t>，</w:t>
            </w:r>
            <w:r>
              <w:rPr>
                <w:rFonts w:hint="eastAsia" w:cs="Times New Roman"/>
              </w:rPr>
              <w:t>公司智能寻物类产品</w:t>
            </w:r>
            <w:r>
              <w:rPr>
                <w:rFonts w:hint="eastAsia" w:cs="Times New Roman"/>
                <w:lang w:val="en-US" w:eastAsia="zh-CN"/>
              </w:rPr>
              <w:t>以</w:t>
            </w:r>
            <w:r>
              <w:rPr>
                <w:rFonts w:hint="eastAsia" w:cs="Times New Roman"/>
              </w:rPr>
              <w:t>兼容多平台查找生态</w:t>
            </w:r>
            <w:r>
              <w:rPr>
                <w:rFonts w:hint="eastAsia" w:cs="Times New Roman"/>
                <w:lang w:eastAsia="zh-CN"/>
              </w:rPr>
              <w:t>、</w:t>
            </w:r>
            <w:r>
              <w:rPr>
                <w:rFonts w:hint="eastAsia" w:cs="Times New Roman"/>
              </w:rPr>
              <w:t>低延时、多连接</w:t>
            </w:r>
            <w:r>
              <w:rPr>
                <w:rFonts w:hint="eastAsia" w:cs="Times New Roman"/>
                <w:lang w:val="en-US" w:eastAsia="zh-CN"/>
              </w:rPr>
              <w:t>的技术优势</w:t>
            </w:r>
            <w:r>
              <w:rPr>
                <w:rFonts w:hint="eastAsia" w:cs="Times New Roman"/>
              </w:rPr>
              <w:t>，已在头部品牌客户多款终端产品实现量产。</w:t>
            </w:r>
          </w:p>
          <w:p w14:paraId="6E590858">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474518DD">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7</w:t>
            </w:r>
            <w:r>
              <w:rPr>
                <w:rFonts w:hint="eastAsia" w:cs="Times New Roman"/>
                <w:b/>
                <w:bCs/>
              </w:rPr>
              <w:t>、公司其他模拟芯片业务目前</w:t>
            </w:r>
            <w:r>
              <w:rPr>
                <w:rFonts w:hint="eastAsia" w:cs="Times New Roman"/>
                <w:b/>
                <w:bCs/>
                <w:lang w:val="en-US" w:eastAsia="zh-CN"/>
              </w:rPr>
              <w:t>发展如何</w:t>
            </w:r>
            <w:r>
              <w:rPr>
                <w:rFonts w:hint="eastAsia" w:cs="Times New Roman"/>
                <w:b/>
                <w:bCs/>
              </w:rPr>
              <w:t>？未来规划</w:t>
            </w:r>
            <w:r>
              <w:rPr>
                <w:rFonts w:hint="eastAsia" w:cs="Times New Roman"/>
                <w:b/>
                <w:bCs/>
                <w:lang w:val="en-US" w:eastAsia="zh-CN"/>
              </w:rPr>
              <w:t>是什么</w:t>
            </w:r>
            <w:r>
              <w:rPr>
                <w:rFonts w:hint="eastAsia" w:cs="Times New Roman"/>
                <w:b/>
                <w:bCs/>
              </w:rPr>
              <w:t>？</w:t>
            </w:r>
          </w:p>
          <w:p w14:paraId="19C32122">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公司其他模拟芯片以混合信号芯片为核心，业务重点聚焦电池管理、通用电源、射频电源三大产品线，产品已成功导入智能终端、无线外设、可穿戴设备、智慧医疗等领域。电池管理产品持续深耕“小尺寸、高精度、低功耗”等核心技术优势，不断拓展多行业头部客户矩阵。依托持续提升的核心性能指标与能量转换效率，通用电源芯片深度协同品牌客户，为通信、可穿戴、医疗等细分场景提供定制化电源管理解决方案，为持续放量筑牢基础。适配射频芯片的电源产品可提供快速、稳定、可靠的供电支撑，具备快速DVS动态响应、快速负载响应与高转换效率等特性，满足品牌客户射频前端复杂工况的供电需求。</w:t>
            </w:r>
            <w:r>
              <w:rPr>
                <w:rFonts w:hint="eastAsia" w:cs="Times New Roman"/>
                <w:lang w:val="en-US" w:eastAsia="zh-CN"/>
              </w:rPr>
              <w:t>未来，公司将</w:t>
            </w:r>
            <w:r>
              <w:rPr>
                <w:rFonts w:hint="eastAsia" w:cs="Times New Roman"/>
              </w:rPr>
              <w:t>基于定制化研发能力，通过持续专注的投入建立技术壁垒，不断提升产品竞争力，拓展其他模拟芯片应用领域，挖掘多元赛道增长潜力。</w:t>
            </w:r>
          </w:p>
          <w:p w14:paraId="4EA928EA">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70FB3A4B">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8</w:t>
            </w:r>
            <w:r>
              <w:rPr>
                <w:rFonts w:hint="eastAsia" w:cs="Times New Roman"/>
                <w:b/>
                <w:bCs/>
              </w:rPr>
              <w:t>、公司海外市场拓展情况如何？</w:t>
            </w:r>
          </w:p>
          <w:p w14:paraId="24270100">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答：公司在三星等头部海外品牌客户已经实现规模化量产，并不断拓展产品品类</w:t>
            </w:r>
            <w:r>
              <w:rPr>
                <w:rFonts w:hint="eastAsia" w:cs="Times New Roman"/>
                <w:lang w:val="en-US" w:eastAsia="zh-CN"/>
              </w:rPr>
              <w:t>和出货规模</w:t>
            </w:r>
            <w:r>
              <w:rPr>
                <w:rFonts w:hint="eastAsia" w:cs="Times New Roman"/>
              </w:rPr>
              <w:t>，巩固与海外大客户的合作关系。公司</w:t>
            </w:r>
            <w:r>
              <w:rPr>
                <w:rFonts w:hint="eastAsia" w:cs="Times New Roman"/>
                <w:lang w:val="en-US" w:eastAsia="zh-CN"/>
              </w:rPr>
              <w:t>正在</w:t>
            </w:r>
            <w:r>
              <w:rPr>
                <w:rFonts w:hint="eastAsia" w:cs="Times New Roman"/>
              </w:rPr>
              <w:t>全面推进国际化战略，扩充海外销售与技术支持团队，在核心海外市场设立分支机构，实现本地化服务与快速响应，拓展海外优质品牌客户与渠道合作伙伴，提升公司产品在全球市场的</w:t>
            </w:r>
            <w:r>
              <w:rPr>
                <w:rFonts w:hint="eastAsia" w:cs="Times New Roman"/>
                <w:lang w:val="en-US" w:eastAsia="zh-CN"/>
              </w:rPr>
              <w:t>影响力</w:t>
            </w:r>
            <w:r>
              <w:rPr>
                <w:rFonts w:hint="eastAsia" w:cs="Times New Roman"/>
              </w:rPr>
              <w:t>。</w:t>
            </w:r>
          </w:p>
          <w:p w14:paraId="5110B57B">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550D3DA7">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lang w:val="en-US" w:eastAsia="zh-CN"/>
              </w:rPr>
              <w:t>9</w:t>
            </w:r>
            <w:r>
              <w:rPr>
                <w:rFonts w:hint="eastAsia" w:cs="Times New Roman"/>
                <w:b/>
                <w:bCs/>
              </w:rPr>
              <w:t>、公司上半年的研发投入及研发人员情况如何？</w:t>
            </w:r>
          </w:p>
          <w:p w14:paraId="52C0E9D5">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r>
              <w:rPr>
                <w:rFonts w:hint="eastAsia" w:cs="Times New Roman"/>
              </w:rPr>
              <w:t>答：</w:t>
            </w:r>
            <w:r>
              <w:rPr>
                <w:rFonts w:hint="eastAsia" w:cs="Times New Roman"/>
                <w:lang w:val="en-US" w:eastAsia="zh-CN"/>
              </w:rPr>
              <w:t>研发投入方面，</w:t>
            </w:r>
            <w:r>
              <w:rPr>
                <w:rFonts w:hint="eastAsia" w:cs="Times New Roman"/>
              </w:rPr>
              <w:t>2026年上半年公司研发投入16,319.64万元，占营业收入比例21.11%。研发人员方面，2026年上半年公司研发人员数量为277人，占公司总人数的</w:t>
            </w:r>
            <w:r>
              <w:rPr>
                <w:rFonts w:hint="eastAsia" w:cs="Times New Roman"/>
                <w:lang w:val="en-US" w:eastAsia="zh-CN"/>
              </w:rPr>
              <w:t>比例为</w:t>
            </w:r>
            <w:r>
              <w:rPr>
                <w:rFonts w:hint="eastAsia" w:cs="Times New Roman"/>
              </w:rPr>
              <w:t>51.30%。公司注重生产工艺的积累与协同，构建了覆盖CMOS、GaAs、SiGe、SOI等多种工艺的底层技术平台，实现射频前端与射频SoC两大产品线的IP共享与协同研发。公司坚持以技术创新驱动业务增长，持续夯实核心技术自研壁垒，有效激活研发团队创新活力，支撑公司中长期稳健经营与技术迭代升级。</w:t>
            </w:r>
          </w:p>
          <w:p w14:paraId="62EC92E2">
            <w:pPr>
              <w:keepNext w:val="0"/>
              <w:keepLines w:val="0"/>
              <w:pageBreakBefore w:val="0"/>
              <w:widowControl w:val="0"/>
              <w:kinsoku/>
              <w:wordWrap/>
              <w:overflowPunct/>
              <w:topLinePunct w:val="0"/>
              <w:autoSpaceDE/>
              <w:autoSpaceDN/>
              <w:bidi w:val="0"/>
              <w:adjustRightInd/>
              <w:snapToGrid/>
              <w:textAlignment w:val="auto"/>
              <w:rPr>
                <w:rFonts w:hint="eastAsia" w:cs="Times New Roman"/>
              </w:rPr>
            </w:pPr>
          </w:p>
          <w:p w14:paraId="1267BEF2">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rPr>
            </w:pPr>
            <w:r>
              <w:rPr>
                <w:rFonts w:hint="eastAsia" w:cs="Times New Roman"/>
                <w:b/>
                <w:bCs/>
              </w:rPr>
              <w:t>1</w:t>
            </w:r>
            <w:r>
              <w:rPr>
                <w:rFonts w:hint="eastAsia" w:cs="Times New Roman"/>
                <w:b/>
                <w:bCs/>
                <w:lang w:val="en-US" w:eastAsia="zh-CN"/>
              </w:rPr>
              <w:t>0</w:t>
            </w:r>
            <w:r>
              <w:rPr>
                <w:rFonts w:hint="eastAsia" w:cs="Times New Roman"/>
                <w:b/>
                <w:bCs/>
              </w:rPr>
              <w:t>、公司的特别表决权安排是否会影响公司治理？</w:t>
            </w:r>
          </w:p>
          <w:p w14:paraId="0347A245">
            <w:pPr>
              <w:keepNext w:val="0"/>
              <w:keepLines w:val="0"/>
              <w:pageBreakBefore w:val="0"/>
              <w:widowControl w:val="0"/>
              <w:kinsoku/>
              <w:wordWrap/>
              <w:overflowPunct/>
              <w:topLinePunct w:val="0"/>
              <w:autoSpaceDE/>
              <w:autoSpaceDN/>
              <w:bidi w:val="0"/>
              <w:adjustRightInd/>
              <w:snapToGrid/>
              <w:textAlignment w:val="auto"/>
              <w:rPr>
                <w:rFonts w:cs="Times New Roman"/>
              </w:rPr>
            </w:pPr>
            <w:r>
              <w:rPr>
                <w:rFonts w:hint="eastAsia" w:cs="Times New Roman"/>
              </w:rPr>
              <w:t>答：</w:t>
            </w:r>
            <w:r>
              <w:rPr>
                <w:rFonts w:hint="eastAsia" w:cs="Times New Roman"/>
                <w:lang w:val="en-US" w:eastAsia="zh-CN"/>
              </w:rPr>
              <w:t>公司的</w:t>
            </w:r>
            <w:r>
              <w:rPr>
                <w:rFonts w:hint="eastAsia" w:cs="Times New Roman"/>
              </w:rPr>
              <w:t>特别表决权</w:t>
            </w:r>
            <w:r>
              <w:rPr>
                <w:rFonts w:hint="eastAsia" w:cs="Times New Roman"/>
                <w:lang w:val="en-US" w:eastAsia="zh-CN"/>
              </w:rPr>
              <w:t>安排严格按照相关法律法规设置，并在公司章程中明确。公司的</w:t>
            </w:r>
            <w:r>
              <w:rPr>
                <w:rFonts w:hint="eastAsia" w:cs="Times New Roman"/>
              </w:rPr>
              <w:t>特别表决权</w:t>
            </w:r>
            <w:r>
              <w:rPr>
                <w:rFonts w:hint="eastAsia" w:cs="Times New Roman"/>
                <w:lang w:val="en-US" w:eastAsia="zh-CN"/>
              </w:rPr>
              <w:t>安排</w:t>
            </w:r>
            <w:r>
              <w:rPr>
                <w:rFonts w:hint="eastAsia" w:cs="Times New Roman"/>
              </w:rPr>
              <w:t>仅作用于股东会表决环节，不改变董事会及专门委员会的组成与议事规则，也不改变公司日常经营管理机制，公司治理架构和运作方式未因特别表决权安排发生变化。同时，《公司章程》规定，股东会对修改《公司章程》</w:t>
            </w:r>
            <w:r>
              <w:rPr>
                <w:rFonts w:hint="eastAsia" w:cs="Times New Roman"/>
                <w:lang w:eastAsia="zh-CN"/>
              </w:rPr>
              <w:t>，</w:t>
            </w:r>
            <w:r>
              <w:rPr>
                <w:rFonts w:hint="eastAsia" w:cs="Times New Roman"/>
              </w:rPr>
              <w:t>改变A类股份享有的表决权数量</w:t>
            </w:r>
            <w:r>
              <w:rPr>
                <w:rFonts w:hint="eastAsia" w:cs="Times New Roman"/>
                <w:lang w:eastAsia="zh-CN"/>
              </w:rPr>
              <w:t>，</w:t>
            </w:r>
            <w:r>
              <w:rPr>
                <w:rFonts w:hint="eastAsia" w:cs="Times New Roman"/>
              </w:rPr>
              <w:t>聘请或解聘独立董事等六类事项行使表决权时，每一A类股份与每一B类股份表决权数量相同，保留了中小股东对关键治理事项的表决权。截至</w:t>
            </w:r>
            <w:r>
              <w:rPr>
                <w:rFonts w:hint="eastAsia" w:cs="Times New Roman"/>
                <w:lang w:val="en-US" w:eastAsia="zh-CN"/>
              </w:rPr>
              <w:t>目前</w:t>
            </w:r>
            <w:r>
              <w:rPr>
                <w:rFonts w:hint="eastAsia" w:cs="Times New Roman"/>
              </w:rPr>
              <w:t>，公司实际控制人钱永学直接及间接控制公司52.48%的表决权，控制权稳定。</w:t>
            </w:r>
          </w:p>
          <w:p w14:paraId="3FF49E08">
            <w:pPr>
              <w:rPr>
                <w:rFonts w:cs="Times New Roman"/>
              </w:rPr>
            </w:pPr>
          </w:p>
        </w:tc>
      </w:tr>
      <w:tr w14:paraId="1400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55F55335">
            <w:pPr>
              <w:jc w:val="center"/>
              <w:rPr>
                <w:b/>
                <w:bCs/>
                <w:szCs w:val="24"/>
              </w:rPr>
            </w:pPr>
            <w:r>
              <w:rPr>
                <w:rFonts w:hint="eastAsia"/>
                <w:b/>
                <w:bCs/>
                <w:szCs w:val="24"/>
              </w:rPr>
              <w:t>关于本次活动是否涉及应当披露重大信息的说明</w:t>
            </w:r>
          </w:p>
        </w:tc>
        <w:tc>
          <w:tcPr>
            <w:tcW w:w="6051" w:type="dxa"/>
            <w:vAlign w:val="center"/>
          </w:tcPr>
          <w:p w14:paraId="3F86087F">
            <w:pPr>
              <w:jc w:val="center"/>
              <w:rPr>
                <w:szCs w:val="24"/>
              </w:rPr>
            </w:pPr>
            <w:r>
              <w:rPr>
                <w:rFonts w:hint="eastAsia"/>
                <w:bCs/>
                <w:iCs/>
              </w:rPr>
              <w:t>上述活动不涉及应当披露重大信息。</w:t>
            </w:r>
          </w:p>
        </w:tc>
      </w:tr>
      <w:tr w14:paraId="6B61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70" w:type="dxa"/>
            <w:vAlign w:val="center"/>
          </w:tcPr>
          <w:p w14:paraId="40278F29">
            <w:pPr>
              <w:jc w:val="center"/>
              <w:rPr>
                <w:b/>
                <w:bCs/>
                <w:szCs w:val="24"/>
              </w:rPr>
            </w:pPr>
            <w:r>
              <w:rPr>
                <w:rFonts w:hint="eastAsia"/>
                <w:b/>
                <w:bCs/>
                <w:szCs w:val="24"/>
              </w:rPr>
              <w:t>附件清单（如有）</w:t>
            </w:r>
          </w:p>
        </w:tc>
        <w:tc>
          <w:tcPr>
            <w:tcW w:w="6051" w:type="dxa"/>
            <w:vAlign w:val="center"/>
          </w:tcPr>
          <w:p w14:paraId="7AC0C83D">
            <w:pPr>
              <w:jc w:val="center"/>
              <w:rPr>
                <w:szCs w:val="24"/>
              </w:rPr>
            </w:pPr>
          </w:p>
        </w:tc>
      </w:tr>
      <w:tr w14:paraId="79A0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470" w:type="dxa"/>
            <w:vAlign w:val="center"/>
          </w:tcPr>
          <w:p w14:paraId="35917F9D">
            <w:pPr>
              <w:jc w:val="center"/>
              <w:rPr>
                <w:b/>
                <w:bCs/>
                <w:szCs w:val="24"/>
              </w:rPr>
            </w:pPr>
            <w:r>
              <w:rPr>
                <w:rFonts w:hint="eastAsia"/>
                <w:b/>
                <w:bCs/>
                <w:szCs w:val="24"/>
              </w:rPr>
              <w:t>日期</w:t>
            </w:r>
          </w:p>
        </w:tc>
        <w:tc>
          <w:tcPr>
            <w:tcW w:w="6051" w:type="dxa"/>
            <w:vAlign w:val="center"/>
          </w:tcPr>
          <w:p w14:paraId="552ACB70">
            <w:pPr>
              <w:jc w:val="center"/>
              <w:rPr>
                <w:szCs w:val="24"/>
              </w:rPr>
            </w:pPr>
            <w:r>
              <w:rPr>
                <w:rFonts w:hint="eastAsia"/>
                <w:szCs w:val="24"/>
              </w:rPr>
              <w:t>2</w:t>
            </w:r>
            <w:r>
              <w:rPr>
                <w:szCs w:val="24"/>
              </w:rPr>
              <w:t>026</w:t>
            </w:r>
            <w:r>
              <w:rPr>
                <w:rFonts w:hint="eastAsia"/>
                <w:szCs w:val="24"/>
              </w:rPr>
              <w:t>年</w:t>
            </w:r>
            <w:r>
              <w:rPr>
                <w:rFonts w:hint="eastAsia"/>
                <w:szCs w:val="24"/>
                <w:lang w:val="en-US" w:eastAsia="zh-CN"/>
              </w:rPr>
              <w:t>10</w:t>
            </w:r>
            <w:r>
              <w:rPr>
                <w:rFonts w:hint="eastAsia"/>
                <w:szCs w:val="24"/>
              </w:rPr>
              <w:t>月3</w:t>
            </w:r>
            <w:r>
              <w:rPr>
                <w:rFonts w:hint="eastAsia"/>
                <w:szCs w:val="24"/>
                <w:lang w:val="en-US" w:eastAsia="zh-CN"/>
              </w:rPr>
              <w:t>1</w:t>
            </w:r>
            <w:r>
              <w:rPr>
                <w:rFonts w:hint="eastAsia"/>
                <w:szCs w:val="24"/>
              </w:rPr>
              <w:t>日</w:t>
            </w:r>
          </w:p>
        </w:tc>
      </w:tr>
    </w:tbl>
    <w:p w14:paraId="198A44CA">
      <w:pPr>
        <w:spacing w:line="360" w:lineRule="auto"/>
        <w:rPr>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72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BDA00"/>
    <w:multiLevelType w:val="singleLevel"/>
    <w:tmpl w:val="951BDA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F4"/>
    <w:rsid w:val="000F2A9A"/>
    <w:rsid w:val="001141AA"/>
    <w:rsid w:val="001674A3"/>
    <w:rsid w:val="00196C14"/>
    <w:rsid w:val="001D006E"/>
    <w:rsid w:val="002B76AB"/>
    <w:rsid w:val="0036682C"/>
    <w:rsid w:val="00383C6F"/>
    <w:rsid w:val="004260DF"/>
    <w:rsid w:val="00533D6F"/>
    <w:rsid w:val="00572C17"/>
    <w:rsid w:val="005952D4"/>
    <w:rsid w:val="00697226"/>
    <w:rsid w:val="006C6E58"/>
    <w:rsid w:val="006F248E"/>
    <w:rsid w:val="007471AD"/>
    <w:rsid w:val="00970EDE"/>
    <w:rsid w:val="009B6D3A"/>
    <w:rsid w:val="00A543B8"/>
    <w:rsid w:val="00B032FD"/>
    <w:rsid w:val="00B55844"/>
    <w:rsid w:val="00B76610"/>
    <w:rsid w:val="00BF792D"/>
    <w:rsid w:val="00C855CB"/>
    <w:rsid w:val="00D2483E"/>
    <w:rsid w:val="00D955F4"/>
    <w:rsid w:val="00DE5B12"/>
    <w:rsid w:val="00E4054F"/>
    <w:rsid w:val="00E93F58"/>
    <w:rsid w:val="00EC3FA1"/>
    <w:rsid w:val="00F07BF3"/>
    <w:rsid w:val="00FE2A47"/>
    <w:rsid w:val="02216F59"/>
    <w:rsid w:val="031E393F"/>
    <w:rsid w:val="034A420F"/>
    <w:rsid w:val="04335C2F"/>
    <w:rsid w:val="052659E5"/>
    <w:rsid w:val="064C13A1"/>
    <w:rsid w:val="06582C75"/>
    <w:rsid w:val="07801F3A"/>
    <w:rsid w:val="079C228C"/>
    <w:rsid w:val="08143940"/>
    <w:rsid w:val="092263E9"/>
    <w:rsid w:val="094E71DE"/>
    <w:rsid w:val="09C766F9"/>
    <w:rsid w:val="0A0855DF"/>
    <w:rsid w:val="0B1B4548"/>
    <w:rsid w:val="0B1B7594"/>
    <w:rsid w:val="0C386DD7"/>
    <w:rsid w:val="0C983840"/>
    <w:rsid w:val="0D961154"/>
    <w:rsid w:val="0DB74A5A"/>
    <w:rsid w:val="0E4449F4"/>
    <w:rsid w:val="0EA0228A"/>
    <w:rsid w:val="0F456CBD"/>
    <w:rsid w:val="100D1BA1"/>
    <w:rsid w:val="11943BFC"/>
    <w:rsid w:val="124724F0"/>
    <w:rsid w:val="12641F85"/>
    <w:rsid w:val="12BD38C9"/>
    <w:rsid w:val="14F25809"/>
    <w:rsid w:val="15742B15"/>
    <w:rsid w:val="17C66727"/>
    <w:rsid w:val="17CE338F"/>
    <w:rsid w:val="18497290"/>
    <w:rsid w:val="18C93A82"/>
    <w:rsid w:val="19795FEF"/>
    <w:rsid w:val="1A361CF4"/>
    <w:rsid w:val="1B352660"/>
    <w:rsid w:val="1BB5209C"/>
    <w:rsid w:val="1C13053F"/>
    <w:rsid w:val="1C1918CE"/>
    <w:rsid w:val="1D8D4321"/>
    <w:rsid w:val="1E8F4FAF"/>
    <w:rsid w:val="2000702C"/>
    <w:rsid w:val="20230F6D"/>
    <w:rsid w:val="215303E2"/>
    <w:rsid w:val="22D0065E"/>
    <w:rsid w:val="260B7AC0"/>
    <w:rsid w:val="279B763B"/>
    <w:rsid w:val="29BA5BC7"/>
    <w:rsid w:val="2A5E757A"/>
    <w:rsid w:val="2B2D4F98"/>
    <w:rsid w:val="2D016192"/>
    <w:rsid w:val="2EB73749"/>
    <w:rsid w:val="2F083808"/>
    <w:rsid w:val="2F26112F"/>
    <w:rsid w:val="2F57449A"/>
    <w:rsid w:val="2FBB4372"/>
    <w:rsid w:val="31917C04"/>
    <w:rsid w:val="31D91B5A"/>
    <w:rsid w:val="33FC13AD"/>
    <w:rsid w:val="34F10F8F"/>
    <w:rsid w:val="358D14C5"/>
    <w:rsid w:val="35967409"/>
    <w:rsid w:val="363B7384"/>
    <w:rsid w:val="37D84936"/>
    <w:rsid w:val="37F91337"/>
    <w:rsid w:val="380E7CCA"/>
    <w:rsid w:val="382947EF"/>
    <w:rsid w:val="3A5A03B7"/>
    <w:rsid w:val="3B9A0300"/>
    <w:rsid w:val="3C1A2DCC"/>
    <w:rsid w:val="3C277297"/>
    <w:rsid w:val="3CB70E74"/>
    <w:rsid w:val="3D203D20"/>
    <w:rsid w:val="3D4319F4"/>
    <w:rsid w:val="3F49440B"/>
    <w:rsid w:val="3F6A7679"/>
    <w:rsid w:val="402E6E46"/>
    <w:rsid w:val="43DF6026"/>
    <w:rsid w:val="461F3F1D"/>
    <w:rsid w:val="46424231"/>
    <w:rsid w:val="46CB1893"/>
    <w:rsid w:val="46EA7CF5"/>
    <w:rsid w:val="475B41C9"/>
    <w:rsid w:val="47BC11DC"/>
    <w:rsid w:val="491B1CA7"/>
    <w:rsid w:val="4A0B5F82"/>
    <w:rsid w:val="4AD131F0"/>
    <w:rsid w:val="4BEC6E45"/>
    <w:rsid w:val="4C34332E"/>
    <w:rsid w:val="4D0C6761"/>
    <w:rsid w:val="4D1A2C2C"/>
    <w:rsid w:val="4D2C25BC"/>
    <w:rsid w:val="4E5844CD"/>
    <w:rsid w:val="4F3C7335"/>
    <w:rsid w:val="50881D19"/>
    <w:rsid w:val="50FA7479"/>
    <w:rsid w:val="528B4196"/>
    <w:rsid w:val="52C7430E"/>
    <w:rsid w:val="541A79B6"/>
    <w:rsid w:val="543B0A6B"/>
    <w:rsid w:val="562260D0"/>
    <w:rsid w:val="566E6662"/>
    <w:rsid w:val="5B346657"/>
    <w:rsid w:val="5B650361"/>
    <w:rsid w:val="5BCB3176"/>
    <w:rsid w:val="5C9C6018"/>
    <w:rsid w:val="5CA16EC6"/>
    <w:rsid w:val="5D017AB9"/>
    <w:rsid w:val="5D92714F"/>
    <w:rsid w:val="5DB87770"/>
    <w:rsid w:val="6127199B"/>
    <w:rsid w:val="62137129"/>
    <w:rsid w:val="634D3145"/>
    <w:rsid w:val="67B47231"/>
    <w:rsid w:val="67CE2B39"/>
    <w:rsid w:val="67E92F70"/>
    <w:rsid w:val="67F0485E"/>
    <w:rsid w:val="68806C2D"/>
    <w:rsid w:val="69E77EE2"/>
    <w:rsid w:val="6A543FBE"/>
    <w:rsid w:val="6B3C0634"/>
    <w:rsid w:val="6C21592D"/>
    <w:rsid w:val="6D237483"/>
    <w:rsid w:val="6DB07703"/>
    <w:rsid w:val="71F126FE"/>
    <w:rsid w:val="735E1215"/>
    <w:rsid w:val="74BD4538"/>
    <w:rsid w:val="75355AFA"/>
    <w:rsid w:val="757A4300"/>
    <w:rsid w:val="76C07AF1"/>
    <w:rsid w:val="77FD0DF6"/>
    <w:rsid w:val="782D3D3A"/>
    <w:rsid w:val="78A42984"/>
    <w:rsid w:val="79B45D41"/>
    <w:rsid w:val="7B671CD3"/>
    <w:rsid w:val="7B6E5D6D"/>
    <w:rsid w:val="7B7D06A6"/>
    <w:rsid w:val="7BCD2D08"/>
    <w:rsid w:val="7D1C655E"/>
    <w:rsid w:val="7EC95D9E"/>
    <w:rsid w:val="7FBB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Cs w:val="24"/>
    </w:rPr>
  </w:style>
  <w:style w:type="paragraph" w:styleId="7">
    <w:name w:val="Normal (Web)"/>
    <w:basedOn w:val="1"/>
    <w:semiHidden/>
    <w:unhideWhenUsed/>
    <w:qFormat/>
    <w:uiPriority w:val="99"/>
  </w:style>
  <w:style w:type="paragraph" w:styleId="8">
    <w:name w:val="annotation subject"/>
    <w:basedOn w:val="2"/>
    <w:next w:val="2"/>
    <w:link w:val="18"/>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basedOn w:val="11"/>
    <w:unhideWhenUsed/>
    <w:qFormat/>
    <w:uiPriority w:val="99"/>
    <w:rPr>
      <w:sz w:val="21"/>
      <w:szCs w:val="21"/>
    </w:rPr>
  </w:style>
  <w:style w:type="character" w:customStyle="1" w:styleId="14">
    <w:name w:val="批注框文本 字符"/>
    <w:basedOn w:val="11"/>
    <w:link w:val="3"/>
    <w:semiHidden/>
    <w:qFormat/>
    <w:uiPriority w:val="99"/>
    <w:rPr>
      <w:rFonts w:ascii="Times New Roman" w:hAnsi="Times New Roman" w:eastAsia="宋体"/>
      <w:sz w:val="18"/>
      <w:szCs w:val="18"/>
    </w:rPr>
  </w:style>
  <w:style w:type="character" w:customStyle="1" w:styleId="15">
    <w:name w:val="页眉 字符"/>
    <w:basedOn w:val="11"/>
    <w:link w:val="5"/>
    <w:qFormat/>
    <w:uiPriority w:val="99"/>
    <w:rPr>
      <w:rFonts w:ascii="Times New Roman" w:hAnsi="Times New Roman" w:eastAsia="宋体"/>
      <w:sz w:val="18"/>
      <w:szCs w:val="18"/>
    </w:rPr>
  </w:style>
  <w:style w:type="character" w:customStyle="1" w:styleId="16">
    <w:name w:val="页脚 字符"/>
    <w:basedOn w:val="11"/>
    <w:link w:val="4"/>
    <w:qFormat/>
    <w:uiPriority w:val="99"/>
    <w:rPr>
      <w:rFonts w:ascii="Times New Roman" w:hAnsi="Times New Roman" w:eastAsia="宋体"/>
      <w:sz w:val="18"/>
      <w:szCs w:val="18"/>
    </w:rPr>
  </w:style>
  <w:style w:type="character" w:customStyle="1" w:styleId="17">
    <w:name w:val="批注文字 字符"/>
    <w:basedOn w:val="11"/>
    <w:link w:val="2"/>
    <w:qFormat/>
    <w:uiPriority w:val="99"/>
    <w:rPr>
      <w:rFonts w:cstheme="minorBidi"/>
      <w:kern w:val="2"/>
      <w:sz w:val="24"/>
      <w:szCs w:val="22"/>
    </w:rPr>
  </w:style>
  <w:style w:type="character" w:customStyle="1" w:styleId="18">
    <w:name w:val="批注主题 字符"/>
    <w:basedOn w:val="17"/>
    <w:link w:val="8"/>
    <w:semiHidden/>
    <w:qFormat/>
    <w:uiPriority w:val="99"/>
    <w:rPr>
      <w:rFonts w:cstheme="minorBidi"/>
      <w:b/>
      <w:bCs/>
      <w:kern w:val="2"/>
      <w:sz w:val="24"/>
      <w:szCs w:val="22"/>
    </w:rPr>
  </w:style>
  <w:style w:type="paragraph" w:customStyle="1" w:styleId="19">
    <w:name w:val="修订1"/>
    <w:hidden/>
    <w:semiHidden/>
    <w:qFormat/>
    <w:uiPriority w:val="99"/>
    <w:rPr>
      <w:rFonts w:ascii="Times New Roman" w:hAnsi="Times New Roman" w:eastAsia="宋体" w:cstheme="minorBidi"/>
      <w:kern w:val="2"/>
      <w:sz w:val="24"/>
      <w:szCs w:val="22"/>
      <w:lang w:val="en-US" w:eastAsia="zh-CN" w:bidi="ar-SA"/>
    </w:rPr>
  </w:style>
  <w:style w:type="paragraph" w:customStyle="1" w:styleId="20">
    <w:name w:val="修订2"/>
    <w:hidden/>
    <w:unhideWhenUsed/>
    <w:qFormat/>
    <w:uiPriority w:val="99"/>
    <w:rPr>
      <w:rFonts w:ascii="Times New Roman" w:hAnsi="Times New Roman" w:eastAsia="宋体" w:cstheme="minorBidi"/>
      <w:kern w:val="2"/>
      <w:sz w:val="24"/>
      <w:szCs w:val="22"/>
      <w:lang w:val="en-US" w:eastAsia="zh-CN" w:bidi="ar-SA"/>
    </w:rPr>
  </w:style>
  <w:style w:type="paragraph" w:customStyle="1" w:styleId="21">
    <w:name w:val="修订3"/>
    <w:hidden/>
    <w:unhideWhenUsed/>
    <w:qFormat/>
    <w:uiPriority w:val="99"/>
    <w:rPr>
      <w:rFonts w:ascii="Times New Roman" w:hAnsi="Times New Roman" w:eastAsia="宋体" w:cstheme="minorBidi"/>
      <w:kern w:val="2"/>
      <w:sz w:val="24"/>
      <w:szCs w:val="22"/>
      <w:lang w:val="en-US" w:eastAsia="zh-CN" w:bidi="ar-SA"/>
    </w:rPr>
  </w:style>
  <w:style w:type="paragraph" w:customStyle="1" w:styleId="22">
    <w:name w:val="修订4"/>
    <w:hidden/>
    <w:unhideWhenUsed/>
    <w:qFormat/>
    <w:uiPriority w:val="99"/>
    <w:rPr>
      <w:rFonts w:ascii="Times New Roman" w:hAnsi="Times New Roman" w:eastAsia="宋体" w:cstheme="minorBidi"/>
      <w:kern w:val="2"/>
      <w:sz w:val="24"/>
      <w:szCs w:val="22"/>
      <w:lang w:val="en-US" w:eastAsia="zh-CN" w:bidi="ar-SA"/>
    </w:rPr>
  </w:style>
  <w:style w:type="paragraph" w:customStyle="1" w:styleId="23">
    <w:name w:val="修订5"/>
    <w:hidden/>
    <w:unhideWhenUsed/>
    <w:qFormat/>
    <w:uiPriority w:val="99"/>
    <w:rPr>
      <w:rFonts w:ascii="Times New Roman" w:hAnsi="Times New Roman" w:eastAsia="宋体" w:cstheme="minorBidi"/>
      <w:kern w:val="2"/>
      <w:sz w:val="24"/>
      <w:szCs w:val="22"/>
      <w:lang w:val="en-US" w:eastAsia="zh-CN" w:bidi="ar-SA"/>
    </w:rPr>
  </w:style>
  <w:style w:type="character" w:customStyle="1" w:styleId="24">
    <w:name w:val="标题 5 Char"/>
    <w:qFormat/>
    <w:uiPriority w:val="9"/>
    <w:rPr>
      <w:b/>
      <w:bCs/>
      <w:kern w:val="2"/>
      <w:sz w:val="21"/>
      <w:szCs w:val="28"/>
    </w:rPr>
  </w:style>
  <w:style w:type="paragraph" w:customStyle="1" w:styleId="25">
    <w:name w:val="修订6"/>
    <w:hidden/>
    <w:unhideWhenUsed/>
    <w:qFormat/>
    <w:uiPriority w:val="99"/>
    <w:rPr>
      <w:rFonts w:ascii="Times New Roman" w:hAnsi="Times New Roman" w:eastAsia="宋体" w:cstheme="minorBidi"/>
      <w:kern w:val="2"/>
      <w:sz w:val="24"/>
      <w:szCs w:val="22"/>
      <w:lang w:val="en-US" w:eastAsia="zh-CN" w:bidi="ar-SA"/>
    </w:rPr>
  </w:style>
  <w:style w:type="paragraph" w:customStyle="1" w:styleId="26">
    <w:name w:val="Revision"/>
    <w:hidden/>
    <w:unhideWhenUsed/>
    <w:qFormat/>
    <w:uiPriority w:val="99"/>
    <w:rPr>
      <w:rFonts w:ascii="Times New Roman" w:hAnsi="Times New Roman" w:eastAsia="宋体" w:cstheme="minorBidi"/>
      <w:kern w:val="2"/>
      <w:sz w:val="24"/>
      <w:szCs w:val="22"/>
      <w:lang w:val="en-US" w:eastAsia="zh-CN" w:bidi="ar-SA"/>
    </w:rPr>
  </w:style>
</w:styles>
</file>

<file path=word/_rels/document.xml.rels>&#65279;<?xml version="1.0" encoding="utf-8"?><Relationships xmlns="http://schemas.openxmlformats.org/package/2006/relationships"><Relationship Type="http://schemas.openxmlformats.org/officeDocument/2006/relationships/fontTable" Target="fontTable.xml" Id="rId7" /><Relationship Type="http://schemas.openxmlformats.org/officeDocument/2006/relationships/numbering" Target="numbering.xml" Id="rId6" /><Relationship Type="http://schemas.openxmlformats.org/officeDocument/2006/relationships/customXml" Target="../customXml/item1.xml" Id="rId5" /><Relationship Type="http://schemas.openxmlformats.org/officeDocument/2006/relationships/theme" Target="theme/theme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2946</Words>
  <Characters>3113</Characters>
  <Lines>1</Lines>
  <Paragraphs>1</Paragraphs>
  <TotalTime>1</TotalTime>
  <ScaleCrop>false</ScaleCrop>
  <LinksUpToDate>false</LinksUpToDate>
  <CharactersWithSpaces>3221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2026-08-29T11:18:00Z</dcterms:created>
  <dc:creator>荣大-李雷</dc:creator>
  <cp:lastModifiedBy>Rita</cp:lastModifiedBy>
  <dcterms:modified xsi:type="dcterms:W3CDTF">2026-10-28T08:30:38Z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2052-12.1.0.29161</vt:lpwstr>
  </op:property>
  <op:property fmtid="{D5CDD505-2E9C-101B-9397-08002B2CF9AE}" pid="3" name="ICV">
    <vt:lpwstr>C215DE8035384D6BB1BB4ABB2DD7B52B_13</vt:lpwstr>
  </op:property>
  <op:property fmtid="{D5CDD505-2E9C-101B-9397-08002B2CF9AE}" pid="4" name="KSOTemplateDocerSaveRecord">
    <vt:lpwstr>eyJoZGlkIjoiNjlmNjM0ZGM3YWE0MzhhMGEzYzNjNjVjMmYxMzczZDIiLCJ1c2VySWQiOiI5ODUwOTIxMTQifQ==</vt:lpwstr>
  </op:property>
  <op:property fmtid="{D5CDD505-2E9C-101B-9397-08002B2CF9AE}" pid="5" name="_IPGFID">
    <vt:lpwstr>[DocID]=7364E7FA-B6AC-44B8-A7AF-981DAC026463</vt:lpwstr>
  </op:property>
  <op:property fmtid="{D5CDD505-2E9C-101B-9397-08002B2CF9AE}" pid="6" name="_IPGFLOW_P-846A_E-1_FP-1_SP-1_CV-70142AE6_CN-2D7FDE03">
    <vt:lpwstr>x1FI1iKnTISZC5VprRp16YiBUAdV52ALrD1PeH27Rpdac++0tippbaye/MeiYSzjuJgr46Wnz4LzNP2UtBJzzMAm2+juCiYc/MrLOVRft+l9t9NdVqVaCfnrGMNkjLDGXxw7PZXxvDSucRTd7bLTYlf5pZaVXiHF8N/eQsT1TfoMER4F3P/nympIKBwVGbMHaoejmFZktMOweXUQaylhv6KoL5nbinDG7hkj8c7g8O6MhjObFX7+bPvNqdTkhhj</vt:lpwstr>
  </op:property>
  <op:property fmtid="{D5CDD505-2E9C-101B-9397-08002B2CF9AE}" pid="7" name="_IPGFLOW_P-846A_E-1_FP-1_SP-2_CV-4C0E9E94_CN-71D81D49">
    <vt:lpwstr>YNobE7AbOzoo7IP3ORdo0nDTXsajMzFfqAXjUVnf//Z8Xj2FmhMIqB7d0qcqOTIa97XcZ0N3sz83f13Qz/0nq1b7/N8rBFsi/b2HAWoy/hfzRDFz6tYrkLNRqCpRwiz6e</vt:lpwstr>
  </op:property>
  <op:property fmtid="{D5CDD505-2E9C-101B-9397-08002B2CF9AE}" pid="8" name="_IPGFLOW_P-846A_E-0_FP-1_CV-1748F583_CN-7C72998D">
    <vt:lpwstr>DPSPMK|3|384|2|0</vt:lpwstr>
  </op:property>
  <op:property fmtid="{D5CDD505-2E9C-101B-9397-08002B2CF9AE}" pid="9" name="_IPGFLOW_P-846A_E-1_FP-2_SP-1_CV-DA22933A_CN-919DC853">
    <vt:lpwstr>x1FI1iKnTISZC5VprRp16eRdzAAoB8uogNLMt+ZcIzE2VefP5PbMFEVsfTTzXKXJzuP+U8aXXtyHDtqF7nulCm/76IuvTBZGrknOOf+XISP1xdm4yJBF5r+vP+clad2stLiRishBLqbH7Oa9mt54MQE+6xwnDb0cD9423IgSlTAAtS5xU4JCgft/OVzbIiGYro20uXkBn90dCwnyYELHHDm/h5bYSTVvYBDR2Llr5EfOcK19PJUOsXJljD3TyK8</vt:lpwstr>
  </op:property>
  <op:property fmtid="{D5CDD505-2E9C-101B-9397-08002B2CF9AE}" pid="10" name="_IPGFLOW_P-846A_E-1_FP-2_SP-2_CV-F451EBE_CN-3F1C95F6">
    <vt:lpwstr>mzaP1LqaB/S5sLnBMjL/JkilDfxekLZ4tQIT3Wql2QOBl0LDBDpHENQ4I9hfQJSfq4h6B1o7z2VHujO2pAfJ6Fr666vtS2XhZY+Eo4Ds/DQ7PAEEIzjPyPqgErp+vDq8X</vt:lpwstr>
  </op:property>
  <op:property fmtid="{D5CDD505-2E9C-101B-9397-08002B2CF9AE}" pid="11" name="_IPGFLOW_P-846A_E-0_FP-2_CV-1748F583_CN-C1B8F543">
    <vt:lpwstr>DPSPMK|3|384|2|0</vt:lpwstr>
  </op:property>
  <op:property fmtid="{D5CDD505-2E9C-101B-9397-08002B2CF9AE}" pid="12" name="_IPGFLOW_P-846A_E-1_FP-3_SP-1_CV-6A9DF277_CN-637BC603">
    <vt:lpwstr>x1FI1iKnTISZC5VprRp16S+Rhd0HU9hpVcXqLOe0z4xOb1KX5JVP3TWZ7dp4eISU803DBl7VQxb3Gfr386tAVuWr0+V5yoGsPNcQ1qXsdzuAc2YMCWaQ91fQg0su9JrPYz7OC2KgIs0hrJnWtHXStF/mB+XBzf4JsiOxtBg+ETx264XETkcPJ9d3ZRqglTrg5SRoHRVt6echKSLuU67bgQOlEtZN6tBszsZkqDXN1+Crl0ugK2+lgMflMDgWCpl</vt:lpwstr>
  </op:property>
  <op:property fmtid="{D5CDD505-2E9C-101B-9397-08002B2CF9AE}" pid="13" name="_IPGFLOW_P-846A_E-1_FP-3_SP-2_CV-D8DFF8B6_CN-AC90DC54">
    <vt:lpwstr>/blrxAHcPTCBLVsW+Bksl+ANF/b3JLA5jQ4C8mMAKbVSMPflXn4lDgDXLgDogWpIeMk3CPks46UOG3LQU10yrWLUgBfTj3lmKUmBD8NkZrsBymJNeUpaS2wiXBJ2Mt64i</vt:lpwstr>
  </op:property>
  <op:property fmtid="{D5CDD505-2E9C-101B-9397-08002B2CF9AE}" pid="14" name="_IPGFLOW_P-846A_E-0_FP-3_CV-1748F583_CN-1C2E2CC6">
    <vt:lpwstr>DPSPMK|3|384|2|0</vt:lpwstr>
  </op:property>
  <op:property fmtid="{D5CDD505-2E9C-101B-9397-08002B2CF9AE}" pid="15" name="_IPGFLOW_P-846A_E-1_FP-4_SP-1_CV-7CFC6AF_CN-28593090">
    <vt:lpwstr>x1FI1iKnTISZC5VprRp16aCGbHdZg7cXVlr94Wcr82jUoZmcu14n7kjAOnP0CHUjTL9y1JMo7hGPTF9XU89ZR+YQD1y4rCd1G2WYuT5N3bHVs2jxeYrKvk7ZN7nDR7h08JcJq0ZvOlKkANcHwNgNEV47Y+FA6g1L+iorJVKxRJRBj7rZRT70DOuh1XS95ofPpxs80Cls7s7ouDphRTuPO7ElofZuuaARm2ADrLSOD6EYG+CHtIgGHvVQlgGSgpg</vt:lpwstr>
  </op:property>
  <op:property fmtid="{D5CDD505-2E9C-101B-9397-08002B2CF9AE}" pid="16" name="_IPGFLOW_P-846A_E-1_FP-4_SP-2_CV-EBC57F37_CN-A6B409EE">
    <vt:lpwstr>4XWLKogJcoXaw3Qy/FlGbRXsyXmZmGe6B0FXJEKLDrkOUGlD3Jkr/pq+8xx5OR+HojfH+hKMycBgcfBVKkA47pybseMBu3kPmEqfzjjrOQ/h6QccZPWyCq+KHTNn4zK1l</vt:lpwstr>
  </op:property>
  <op:property fmtid="{D5CDD505-2E9C-101B-9397-08002B2CF9AE}" pid="17" name="_IPGFLOW_P-846A_E-0_FP-4_CV-1748F583_CN-615D2A9E">
    <vt:lpwstr>DPSPMK|3|384|2|0</vt:lpwstr>
  </op:property>
  <op:property fmtid="{D5CDD505-2E9C-101B-9397-08002B2CF9AE}" pid="18" name="_IPGFLOW_P-846A_E-1_FP-5_SP-1_CV-7A6750EB_CN-A9E11709">
    <vt:lpwstr>uSlQyGhtTOVA4YD2kaB67vgeU3B4IUqClh5ID54inCSQPGPcntX5xtTG8t7wdoS3ik+MYgyZcOsjK5SyJeNgrHg3X48xIexJZI3SQ0/Yw1g5p62BxE38ocpO/M+blh9lP12sEMpbk/JctYpUgmD8+ea3qPhoEYZ06jEfqFP4C8J47U0HIXFkAE0piiHod1Tfgyyzx9DCB+csOC8ATTb1gtidSKkBH5g4jL286x5tS5o2vOqtTlWr8oUlYNs4PvW</vt:lpwstr>
  </op:property>
  <op:property fmtid="{D5CDD505-2E9C-101B-9397-08002B2CF9AE}" pid="19" name="_IPGFLOW_P-846A_E-1_FP-5_SP-2_CV-2C4ECE8E_CN-1D15B1CD">
    <vt:lpwstr>ioHeNllUeiC0jQCfMGYJVTKCjgvWWs7+0T4z6KUgwlC0Q/aOQr4ZPxsociMkd9YaweVGwSBuEiAXKoGC36l/BrASiOfPLRkFhlv4vKcYAgfZoGpIln+U1ZLRO0Ya84A47</vt:lpwstr>
  </op:property>
  <op:property fmtid="{D5CDD505-2E9C-101B-9397-08002B2CF9AE}" pid="20" name="_IPGFLOW_P-846A_E-0_FP-5_CV-1748F583_CN-BCCBF31B">
    <vt:lpwstr>DPSPMK|3|384|2|0</vt:lpwstr>
  </op:property>
  <op:property fmtid="{D5CDD505-2E9C-101B-9397-08002B2CF9AE}" pid="21" name="_IPGFLOW_P-846A_E-1_FP-6_SP-1_CV-C7A14024_CN-1C062494">
    <vt:lpwstr>IJWzzBypZ5DuXmDIVQneznv7WV5plXJroe3LqMPYMlsTdrm9AgFdypyhKnlvD2aDlisv05WwR1Vfg1mngrMw5YEEMuC8sQRW8Y2u2dE973cojitPKUU++fJ3RFMKvWtgA72o+Lah1qmOtwRVbtKiZuA8HKEJgwrlDrqV4FoYMUetrkX0y9vmNN3GdubfFp1XjJO2QhX4ObKoSuC2SFOMihrXk+/6spK7CrFwj/vhh7kfB7DDS75jvRPZf/tHiPv</vt:lpwstr>
  </op:property>
  <op:property fmtid="{D5CDD505-2E9C-101B-9397-08002B2CF9AE}" pid="22" name="_IPGFLOW_P-846A_E-1_FP-6_SP-2_CV-A88BDA79_CN-BA34D3DB">
    <vt:lpwstr>Ksmsj63VDiI2OucLF/L3NsH2aHTVkQB75aY+9FYq9VtHGFaD5QUU9CnTicIrsml0Sb/jJP/bqr00/qxUuY9n/1JZXTt8IJzSNbjryAzraVcp8Ss24KywZ7LzeAmDi7g9e</vt:lpwstr>
  </op:property>
  <op:property fmtid="{D5CDD505-2E9C-101B-9397-08002B2CF9AE}" pid="23" name="_IPGFLOW_P-846A_E-0_FP-6_CV-1748F583_CN-1019FD5">
    <vt:lpwstr>DPSPMK|3|384|2|0</vt:lpwstr>
  </op:property>
  <op:property fmtid="{D5CDD505-2E9C-101B-9397-08002B2CF9AE}" pid="24" name="_IPGFLOW_P-846A_E-1_FP-7_SP-1_CV-C8740D74_CN-B16A20AE">
    <vt:lpwstr>3EDQ2RijEI8miJbDyzrt0ZAAjz+FkygUbNnKdLywcAm7kDHj2AP6QwOlyMeip5eVCggZ8qvIfeIilxDBssVVLocZkwR8DsDxi/PROiK8YpJ/Kca43KK+p3HGnt/k279bvhzwchiQAlAG7dueN678lISmj8HeeekuJhcPnAyCiETmBIjtw5OnZ80xVaG51NMuJVjDP17gdYA1Gc/f+6tXm3FwEKw7DSv6jprXQVS1Y/bq8/NT+aGEmH14GVWRAwc</vt:lpwstr>
  </op:property>
  <op:property fmtid="{D5CDD505-2E9C-101B-9397-08002B2CF9AE}" pid="25" name="_IPGFLOW_P-846A_E-1_FP-7_SP-2_CV-766AC58D_CN-75CF74AB">
    <vt:lpwstr>X3Okllf4wmUcvaSrNX7aIklvF0Strp/m9qssvUEB81pwZeVKYiyF9dW7IHpbcKBRkaqvw5EqqstGElfRVK7LDvbuGUlyr31zxbasOT/b7vC4pMSrY2IeQEAdyXn3mBkwB</vt:lpwstr>
  </op:property>
  <op:property fmtid="{D5CDD505-2E9C-101B-9397-08002B2CF9AE}" pid="26" name="_IPGFLOW_P-846A_E-0_FP-7_CV-1748F583_CN-DC974650">
    <vt:lpwstr>DPSPMK|3|384|2|0</vt:lpwstr>
  </op:property>
  <op:property fmtid="{D5CDD505-2E9C-101B-9397-08002B2CF9AE}" pid="27" name="_IPGFLOW_P-846A_E-1_FP-8_SP-1_CV-DC115CB1_CN-ADB5FAE8">
    <vt:lpwstr>3EDQ2RijEI8miJbDyzrt0UsQOV7plcsJaK1Qr7ITd49knyX6xiYVBGyv6iQFEhmLSevMRfQNnxdhrN9GMWkjoDmO/m+qwn+OGd06vqaWWCSys7wF7TkNbT5cY7itFtAaKXUQ3rhmH2OPkK6YpdDNBCj/n/0KC2gWXQ5nextjL+R2KxpMhzuWdBIi1g+0ovi7Gg9QUr17qCi8705JyLrSQZjFYHZ/Ifd0hzYJu5idTOVPAGGcPb3oNZAhxAmVgRD</vt:lpwstr>
  </op:property>
  <op:property fmtid="{D5CDD505-2E9C-101B-9397-08002B2CF9AE}" pid="28" name="_IPGFLOW_P-846A_E-1_FP-8_SP-2_CV-BD1F2540_CN-9B8C5F4D">
    <vt:lpwstr>wubfYzEaPBBXnewvcQQdLlwTtCzreL/KmHk/Fv87D1/2JJsyftNMoHymqVx1geGOtuTa8jfiS+8O2s3KDhgLaYmsUahzsnWXit2KcmDjGWXO13JbcfDbDUY/hOJR5e7/7</vt:lpwstr>
  </op:property>
  <op:property fmtid="{D5CDD505-2E9C-101B-9397-08002B2CF9AE}" pid="29" name="_IPGFLOW_P-846A_E-0_FP-8_CV-1748F583_CN-FBE79365">
    <vt:lpwstr>DPSPMK|3|384|2|0</vt:lpwstr>
  </op:property>
  <op:property fmtid="{D5CDD505-2E9C-101B-9397-08002B2CF9AE}" pid="30" name="_IPGFLOW_P-846A_E-1_FP-9_SP-1_CV-1076B95_CN-31C053F2">
    <vt:lpwstr>3EDQ2RijEI8miJbDyzrt0dYIw/bcu/jKJiyWr4phpq/WxQb4Emye10PCeQtL4FCt1cFeL0lCwRTmVAgx1PzswPi4y/VqoJO1zNxWoFvmn5OMuIIDWzM+5kIcUvOy6KNCx6OvTxsDLzk7tOzrnwsTxQLO8IMzRI7XL0NnirVcSqA/JNlOyAyO/eKupNp++3chVDKMVRv7nzF25K3l3iW6zJxXqtHziJEkw2h65Zbnh6ZQqizC7EJqod6Oe2ruoGB</vt:lpwstr>
  </op:property>
  <op:property fmtid="{D5CDD505-2E9C-101B-9397-08002B2CF9AE}" pid="31" name="_IPGFLOW_P-846A_E-1_FP-9_SP-2_CV-E6AE3AB0_CN-DB4F2F3F">
    <vt:lpwstr>lsyxjHN+gxE8/WGeqWKmEUFQqLtdRV2cktkGPogN6Nx23rVVOUoaNsZSGm+qU4Y5ju+UYI3mWp2wAPpifEuYTlNL7Ash3WzKs0rFP6Bs8376ONcCAtRiEhxmzIj3cSiv6</vt:lpwstr>
  </op:property>
  <op:property fmtid="{D5CDD505-2E9C-101B-9397-08002B2CF9AE}" pid="32" name="_IPGFLOW_P-846A_E-0_FP-9_CV-1748F583_CN-26714AE0">
    <vt:lpwstr>DPSPMK|3|384|2|0</vt:lpwstr>
  </op:property>
  <op:property fmtid="{D5CDD505-2E9C-101B-9397-08002B2CF9AE}" pid="33" name="_IPGFLOW_P-846A_E-1_FP-A_SP-1_CV-144A2E24_CN-3EB1BF12">
    <vt:lpwstr>Y/9p/oj5Lhc8qpG6Z2vYj55wtw8STzUlxhaXRqO819pn2z/qhYEZhmNWCzaqdG4PAWRWx7z5yPIcBXDmniXMDvVmLgksTfTEeTpeSFqw2/O6k6hNcDOAMlK863wZe7Dr7E17wXb7wEBQRKnAFvAhkwZXTBeNgiy28AoQOlStecIxzpp+zpMB4GnSFvQdOwykJmxKWWPnWdJZXgyJd08/vgekRrGRlMSztxfveQY79/FGigSGWIBQACHOUri5vqV</vt:lpwstr>
  </op:property>
  <op:property fmtid="{D5CDD505-2E9C-101B-9397-08002B2CF9AE}" pid="34" name="_IPGFLOW_P-846A_E-1_FP-A_SP-2_CV-C260115E_CN-AEAAA070">
    <vt:lpwstr>yaKmSs7swFIDzSH93Y7enpaQ2zozRACJ3QuBmiyBIZ+nsX19fHchOp6qhJz7YclkjRqtPb2Pw6cY1K/L4JAMUVTLKT4vsVr2p0/Ia+aF+OkgPLuf8UjL1fBwfoqmSh2t0</vt:lpwstr>
  </op:property>
  <op:property fmtid="{D5CDD505-2E9C-101B-9397-08002B2CF9AE}" pid="35" name="_IPGFLOW_P-846A_E-0_FP-A_CV-1748F583_CN-C686E509">
    <vt:lpwstr>DPSPMK|3|384|2|0</vt:lpwstr>
  </op:property>
  <op:property fmtid="{D5CDD505-2E9C-101B-9397-08002B2CF9AE}" pid="36" name="_IPGFLOW_P-846A_E-1_FP-B_SP-1_CV-60A916B1_CN-A3A78C98">
    <vt:lpwstr>1ZTFBlLli/+WFBtgA9pFF9pWwj8UwY6fMCShkcLGwottr8JJIatAred02lMTqS+nuRmVqLCqCiOAn4DJIYGn75nXD+OtSVAAJfQ21J65T04JPOsMIS/BO5+KUp7ummDQTlRL7RBZifR6eXBiM6OWP62yTt6SUnOK52IcuMVZih+1eB86HLDjQ0aNDLN8xhqZH6+C/ZGH3mS0ySQh3T4nNWR9LzQVVoR22GI2ttmJaW5qlTx995J/tV7IoaFphim</vt:lpwstr>
  </op:property>
  <op:property fmtid="{D5CDD505-2E9C-101B-9397-08002B2CF9AE}" pid="37" name="_IPGFLOW_P-846A_E-1_FP-B_SP-2_CV-55E4F0DD_CN-258B8817">
    <vt:lpwstr>o2LQCJqyFiAdIjpFk0LoT6kfvZHOtS8Dk26tDIT3Mft86aRFA1Tz3AqHdSewFmRnxwu8xdsMCKRIaMa1F0xyENLNBlyugE1HuZNh5k5Dd3fcq6L6saM+s5yPcaq6eJDz+</vt:lpwstr>
  </op:property>
  <op:property fmtid="{D5CDD505-2E9C-101B-9397-08002B2CF9AE}" pid="38" name="_IPGFLOW_P-846A_E-0_FP-B_CV-1748F583_CN-7B4C89C7">
    <vt:lpwstr>DPSPMK|3|384|2|0</vt:lpwstr>
  </op:property>
  <op:property fmtid="{D5CDD505-2E9C-101B-9397-08002B2CF9AE}" pid="39" name="_IPGFLOW_P-846A_E-1_FP-C_SP-1_CV-B20E202D_CN-16444889">
    <vt:lpwstr>1ZTFBlLli/+WFBtgA9pFF5P1rc74N/lj6NmdAOBdmsoMBiTUAb5Pwv65Uvf0Eps/JtGjOxgAXBw0jNqYJdQL57u6KIdwEz7OW+pKdzechJmjp4IieGDXcFB/CX4WbrK1Ursh+L3zdhqwGry5IhG1+r77OuEYxDf+LzYbpuRazMq4cbt4ORD7cN8yiu1XtDe6QkLtrfcVFkMUmepYE7tYkseYUPUsabxovlrTn7YlVEewqfLY6C4ESXuvv6FJzBp</vt:lpwstr>
  </op:property>
  <op:property fmtid="{D5CDD505-2E9C-101B-9397-08002B2CF9AE}" pid="40" name="_IPGFLOW_P-846A_E-1_FP-C_SP-2_CV-93CDC086_CN-DB72CB89">
    <vt:lpwstr>Dia2YCd0Oon4vSBApVcKOXSu7tsvDjmiTowb3Hu8pBpyjj4tMi2BZmrJYEhNilkKBarDPrzBgAppJUpqcywXs/PXQ27QepTdk4DoVQOle4tb6qyDEChaJ/AkBSVuKp8Ac</vt:lpwstr>
  </op:property>
  <op:property fmtid="{D5CDD505-2E9C-101B-9397-08002B2CF9AE}" pid="41" name="_IPGFLOW_P-846A_E-0_FP-C_CV-1748F583_CN-A6DA5042">
    <vt:lpwstr>DPSPMK|3|384|2|0</vt:lpwstr>
  </op:property>
  <op:property fmtid="{D5CDD505-2E9C-101B-9397-08002B2CF9AE}" pid="42" name="_IPGFLOW_P-846A_E-1_FP-D_SP-1_CV-CD33C9D6_CN-5F42F2B5">
    <vt:lpwstr>1ZTFBlLli/+WFBtgA9pFFxYC6oNnJJzOpnx9lhmLY8bmDeNm4ZOpxLDcOjRRK/B1+GjLewtmxbh2iJYgcBK6M63++d9+9L82JJN/uwjUoKfMNF7tDpRH8MNAtGB5ht6SNZrmiyMqkahFN/rk3kBU8KXR9aRK/GJlDf9ErWwIqQo3uvEYln2qLnE2YWKmcy26rYnX2mDCOtwLUOj1rS/afE6vtAHi0VW1IfqSoIDeB+qBNA18FB+lprtkO2vDtFm</vt:lpwstr>
  </op:property>
  <op:property fmtid="{D5CDD505-2E9C-101B-9397-08002B2CF9AE}" pid="43" name="_IPGFLOW_P-846A_E-1_FP-D_SP-2_CV-402C2B69_CN-6825870D">
    <vt:lpwstr>r0tSjmx8t3TheV1N+2mUYjz4oL4R0JOhCWhDJ5/oWpk5bdSqQtCBMigExdID2p3zMlZXpfKWFZNd/2+ncrieg/UORtPq3+GFzDbk5cmvVqcy9Fhu0uKqZ+SSqKEp4FOJ3</vt:lpwstr>
  </op:property>
  <op:property fmtid="{D5CDD505-2E9C-101B-9397-08002B2CF9AE}" pid="44" name="_IPGFLOW_P-846A_E-0_FP-D_CV-1748F583_CN-DBA9561A">
    <vt:lpwstr>DPSPMK|3|384|2|0</vt:lpwstr>
  </op:property>
  <op:property fmtid="{D5CDD505-2E9C-101B-9397-08002B2CF9AE}" pid="45" name="_IPGFLOW_P-846A_E-1_FP-E_SP-1_CV-539BEFAB_CN-C610E92E">
    <vt:lpwstr>1ZTFBlLli/+WFBtgA9pFF2fup58pw6EjWb4KpHGqgKI9gLgkiAzad8k6hmOpuNloT/st3yqkopJHqcblBnB0reUvnKo9aT2BcnfFP8nvffMRqa7+ImOwA1d5/+4eeaWxs3G2ohW1nqTt0fiirCFW7LmJzeqB2PiRQkemdITFQPoGcW62UTgFFwz1aTTUYCooA6J0lgyui8UTLDKJ9Q7U6pWOm0/ZxhWnu30GifMUNLcQmHKcXpSTVvyqQ+pdcMp</vt:lpwstr>
  </op:property>
  <op:property fmtid="{D5CDD505-2E9C-101B-9397-08002B2CF9AE}" pid="46" name="_IPGFLOW_P-846A_E-1_FP-E_SP-2_CV-9F80DF18_CN-FD388998">
    <vt:lpwstr>o5DNEej9RCpJ/1vhbsUSv+c1b+OpGqctjPY8IizeRVTxza2K1M1XlxXChcaHxJ1d2VlM4fGUvCabiQaqYs6U9Y1cWv0+1m9N2CCsALOmXx12FXYRhlvRZgJM0iMzYD1IF</vt:lpwstr>
  </op:property>
  <op:property fmtid="{D5CDD505-2E9C-101B-9397-08002B2CF9AE}" pid="47" name="_IPGFLOW_P-846A_E-0_FP-E_CV-1748F583_CN-63F8F9F">
    <vt:lpwstr>DPSPMK|3|384|2|0</vt:lpwstr>
  </op:property>
  <op:property fmtid="{D5CDD505-2E9C-101B-9397-08002B2CF9AE}" pid="48" name="_IPGFLOW_P-846A_E-1_FP-F_SP-1_CV-9FE21AEB_CN-C52517B0">
    <vt:lpwstr>1ZTFBlLli/+WFBtgA9pFFx5Hg6sXdVjCMUTvT+y8t/u0a0T8Y1ASNlvj71clULWy/8s9cToUedSmQWCAzQoaPhwGsNXtKOWPrSEgMcq5/JeypL5SauOh68Wib3D3Vu4Z5nAnZENAClCNzR4coiQsSSJ999DvNgTBKrbAY7rcWOSzkFcsoVXrxzcwb6kRFEgVgPjTpTdZ7QU8DrUJKKh7RO7Fbq720xOyPZQPSdLbAf+CYOJh1dZSyJJPliS8yrc</vt:lpwstr>
  </op:property>
  <op:property fmtid="{D5CDD505-2E9C-101B-9397-08002B2CF9AE}" pid="49" name="_IPGFLOW_P-846A_E-1_FP-F_SP-2_CV-B22E42C5_CN-35756604">
    <vt:lpwstr>czqLJSuyciYVJf6mlseTsZMjlBSifzjBl60oYroXCCfchBsQ9xmBiU/heiEf4DXCsudfZ8yv1V+93SQTZxvxHPgnMxvCerOYlZRWm5K7DhvYAmcOSP7EytTI6BYdW9qa4</vt:lpwstr>
  </op:property>
  <op:property fmtid="{D5CDD505-2E9C-101B-9397-08002B2CF9AE}" pid="50" name="_IPGFLOW_P-846A_E-0_FP-F_CV-1748F583_CN-BBF5E351">
    <vt:lpwstr>DPSPMK|3|384|2|0</vt:lpwstr>
  </op:property>
  <op:property fmtid="{D5CDD505-2E9C-101B-9397-08002B2CF9AE}" pid="51" name="_IPGFLOW_P-846A_E-1_FP-10_SP-1_CV-D559B13E_CN-1FE3ABFC">
    <vt:lpwstr>1ZTFBlLli/+WFBtgA9pFFyUP23SzmZP4aK9bASR2WGwsYuTgWiONkv0nNaE11MXTNuRBbV9nvD0mF1BWQCOIBAshSSfG/rntYW4J/Zdu+K/v26kJEUDUDthKpPG5WMZookY2wPKvsWGAZHCH9edV+M80466eCopO//Yu9nw+P1i0XjKzgMae3nvwzGbNU3nqk9wSloqICn0S4y3mQuu3jNZsUVVjEtvIID8ufkzqKpsIgIuqB57/GloG25WJXZ5</vt:lpwstr>
  </op:property>
  <op:property fmtid="{D5CDD505-2E9C-101B-9397-08002B2CF9AE}" pid="52" name="_IPGFLOW_P-846A_E-1_FP-10_SP-2_CV-4A01FE61_CN-80666E53">
    <vt:lpwstr>QjdDepBzZtt2ke30xk+N6YvZEtqFd7Bw8QxpHvC3R2ASwV/KsanbvihiC1X3eJlZOnc6sYi6TA4D938KFQvffoMXJNvj4qhbe0og5YzgN62HEadyXChfrszQTX3T6SNhW</vt:lpwstr>
  </op:property>
  <op:property fmtid="{D5CDD505-2E9C-101B-9397-08002B2CF9AE}" pid="53" name="_IPGFLOW_P-846A_E-0_FP-10_CV-1748F583_CN-11CBC32F">
    <vt:lpwstr>DPSPMK|3|384|2|0</vt:lpwstr>
  </op:property>
  <op:property fmtid="{D5CDD505-2E9C-101B-9397-08002B2CF9AE}" pid="54" name="_IPGFLOW_P-846A_E-1_FP-11_SP-1_CV-4CD797C7_CN-85903B50">
    <vt:lpwstr>1ZTFBlLli/+WFBtgA9pFF0bPk10GhwPHylduTFi0u9kv8oBIIJmWXsTy23Tdwr/5qPaMsi1dleCcaDYTmxBVD31dLjfy4P8cIlwETt62nnmBepqmUHsZpMayJUllG/XqarJFhqDnDjFxXrx++MyjolzQc0PaaNZH0Pbmp2DbVL3SgbmJz530fxnLqWi3gH0puN9hl0xRuggEAAbE0W1wrUpXrenuTAQGCdLeA8BeSyklaQE+xYhNzEgWeU0/Wcj</vt:lpwstr>
  </op:property>
  <op:property fmtid="{D5CDD505-2E9C-101B-9397-08002B2CF9AE}" pid="55" name="_IPGFLOW_P-846A_E-1_FP-11_SP-2_CV-AF29F715_CN-2CC27DE2">
    <vt:lpwstr>Wfj3Ks73SnUMzSa7qzhZ9fx6EMeohONgqMoWP1iGNzlqIZd/IdIUrvJEph4OIwey+OP9xVLmhpvG5fi/hKKYt0CMyhnbTvlvP6Ldbwf6YYDvr+TIE8ig1PWw7ZWZRPM7C</vt:lpwstr>
  </op:property>
  <op:property fmtid="{D5CDD505-2E9C-101B-9397-08002B2CF9AE}" pid="56" name="_IPGFLOW_P-846A_E-0_FP-11_CV-1748F583_CN-CC5D1AAA">
    <vt:lpwstr>DPSPMK|3|384|2|0</vt:lpwstr>
  </op:property>
  <op:property fmtid="{D5CDD505-2E9C-101B-9397-08002B2CF9AE}" pid="57" name="_IPGFLOW_P-846A_E-1_FP-12_SP-1_CV-5B2951C8_CN-B964633E">
    <vt:lpwstr>1ZTFBlLli/+WFBtgA9pFF0jV0evnAu+AFm/QapwI8LOxycJCNo53hhhTOmHRNA3lXsdOxs8TiZpaBhyF6zr0osgKL3dADxee6JB6FaFy6q3zkz5nPhNWphXl84cjyphf7FrG544tewVD+VmolAtYux4WRt0creYNeTbPYTEvgMihhW230WiYIKOat0KqL6ky1xr7cr9t6mreU+1Pmib/smtU5QlWNhixlc0q/WV8BkrFVJKFnZ0GwNOB+0xnOug</vt:lpwstr>
  </op:property>
  <op:property fmtid="{D5CDD505-2E9C-101B-9397-08002B2CF9AE}" pid="58" name="_IPGFLOW_P-846A_E-1_FP-12_SP-2_CV-5C3294D7_CN-8DB610F5">
    <vt:lpwstr>XQAEPH63bipzCnvGtI+osh8txEbatJru9xjKVnvmkknDCGaMQDioDt8EjDW+rEBjgbDuYKRN1OEcIoGxjhCWv0Z7k8RwtUWCw50HmRe8yFMA0+kZb7BujvF/eCb/s4CAy</vt:lpwstr>
  </op:property>
  <op:property fmtid="{D5CDD505-2E9C-101B-9397-08002B2CF9AE}" pid="59" name="_IPGFLOW_P-846A_E-0_FP-12_CV-1748F583_CN-71977664">
    <vt:lpwstr>DPSPMK|3|384|2|0</vt:lpwstr>
  </op:property>
  <op:property fmtid="{D5CDD505-2E9C-101B-9397-08002B2CF9AE}" pid="60" name="_IPGFLOW_P-846A_E-1_FP-13_SP-1_CV-FE13E685_CN-A1607DB4">
    <vt:lpwstr>Df2ExqLTSwv1ik5V9hmtD39M13uC1aMweKXewTBqQFMLv7egzKUR8eCav1cswqoZWG/rDvw9U6xKtkRwpSeZu7ogGkz5nx17QBuN3jYJNR5fXCvk6gU6dJF6M3DJjjHrLXtRHMKZVfm8/iNSAMzGGywzZHYI3kpliO17qlq9W3HYgcNT23fxOffBnuXQOGMiv/hm5Tg0bD2ZIpwW+6L2eBpiTB3IoXlGIem99x7UzswhTx6Rzr9TsQTdVB7bLuq</vt:lpwstr>
  </op:property>
  <op:property fmtid="{D5CDD505-2E9C-101B-9397-08002B2CF9AE}" pid="61" name="_IPGFLOW_P-846A_E-1_FP-13_SP-2_CV-DB7F945_CN-814D63D6">
    <vt:lpwstr>bZ20YzX6SgFjPglb5hDSQnXep8mvl7zliPX21x5T6hXYevynP6n2OMttkv3s9bLW27OBAAn1vGHg4M6FE8l0Oi4S4ZF0HKYtPaVZMHIRZh8wptQ7VAA19OhNjgftva7Yg</vt:lpwstr>
  </op:property>
  <op:property fmtid="{D5CDD505-2E9C-101B-9397-08002B2CF9AE}" pid="62" name="_IPGFLOW_P-846A_E-0_FP-13_CV-1748F583_CN-AC01AFE1">
    <vt:lpwstr>DPSPMK|3|384|2|0</vt:lpwstr>
  </op:property>
  <op:property fmtid="{D5CDD505-2E9C-101B-9397-08002B2CF9AE}" pid="63" name="_IPGFLOW_P-846A_E-1_FP-14_SP-1_CV-2FC83244_CN-FA6947FA">
    <vt:lpwstr>Df2ExqLTSwv1ik5V9hmtD/CYxwIQ85hOMP14c3jrNnqe+3a7c5YeLGfOroMtL9Lv47qh/N4U22XtYZhIklh0Wv6mAh+3BAztBZvOW4Q0XnSDpxAiZxYjIi6D4vNKevBn0ZCm+9GE5hmY3oEEksz07EmZpQsuJ0W5Hq6hkVVBYsSqjxBl3vqXZfLpp3chKF9t0ALEvp42Mbdnw9/FzqxndEEKFQt/viE8RykHL1Z7D3oef8DZGGhpSHafqvmJmrh</vt:lpwstr>
  </op:property>
  <op:property fmtid="{D5CDD505-2E9C-101B-9397-08002B2CF9AE}" pid="64" name="_IPGFLOW_P-846A_E-1_FP-14_SP-2_CV-A4D9CA16_CN-901F86B1">
    <vt:lpwstr>61Nl4d0d6S7XTUSLsbmQZ+euVrNoBkPxWsaKmsdXPzUmjhfNMMNQr9sQXc3vYE2UgvcxMyi1uGxrN+WLTO/wn5n57YehxKn1y843xvBtXfj2ZPTmL7IpYbAHOjtZLcP9k</vt:lpwstr>
  </op:property>
  <op:property fmtid="{D5CDD505-2E9C-101B-9397-08002B2CF9AE}" pid="65" name="_IPGFLOW_P-846A_E-0_FP-14_CV-1748F583_CN-D172A9B9">
    <vt:lpwstr>DPSPMK|3|384|2|0</vt:lpwstr>
  </op:property>
  <op:property fmtid="{D5CDD505-2E9C-101B-9397-08002B2CF9AE}" pid="66" name="_IPGFLOW_P-846A_E-1_FP-15_SP-1_CV-B946556C_CN-D62F8C15">
    <vt:lpwstr>quo38tJ4Yhpti3gbVfmLXmmq63UzkGH+E6ihJLmy3d9omWzM1eXxEPB1qQ4WTqdR3Oqym3lkvnDHLrTTxY2ZM6yYj7cw0lMA4f5Vtaiz/RqOd5ku9+PYyxqXQTC1VEgRzwEughvc9FB96ETjgdKEPgKR1UjYAQmBr1N2VFR1FppM9AeqIibvVyycUnSwfIn+NSkj3S0ZFig9yJ9Cg7auuDmA3gmELmtrUuISpr6dYD+7GdLNrwoap4BNS/IcmWL</vt:lpwstr>
  </op:property>
  <op:property fmtid="{D5CDD505-2E9C-101B-9397-08002B2CF9AE}" pid="67" name="_IPGFLOW_P-846A_E-1_FP-15_SP-2_CV-1D5E36FE_CN-50DAB3BF">
    <vt:lpwstr>vGm09m0i9sWv/E1Jz1AA4IodFcWkiv4Dk2xD+AW4Qv45ocNg/EZ/LlCuhueScCOXVpSI7UaULsuvNRWo5dNomGmlzjUKM6b6+WIJlzPlOczAFqGht9SpKVcr1hlBJqNtW</vt:lpwstr>
  </op:property>
  <op:property fmtid="{D5CDD505-2E9C-101B-9397-08002B2CF9AE}" pid="68" name="_IPGFLOW_P-846A_E-0_FP-15_CV-1748F583_CN-CE4703C">
    <vt:lpwstr>DPSPMK|3|384|2|0</vt:lpwstr>
  </op:property>
  <op:property fmtid="{D5CDD505-2E9C-101B-9397-08002B2CF9AE}" pid="69" name="_IPGFLOW_P-846A_E-1_FP-16_SP-1_CV-8BF6B139_CN-95FAA8AA">
    <vt:lpwstr>quo38tJ4Yhpti3gbVfmLXg9o1ozDpLm1nt3NwnRcekG2Sse2mgIWntcxxKzsLU9mVT8GFNLC/xjIm+sR4Z2Ce/UrXQnhiVjXDE4BwPvHyuW2lz3HJWYmyRteul+F9IoQWGMG7pH89fS9NIv7WHpu/6E+u+B+8sL2aTNsnXGq8h5LbLTqz3w8BR4Dl22BfhBY70CB7sWf/JAJzP/pb/KGnkYaO7tWPtPdVHAtLYp7iD1Qbzej2TmAU7HJo12ejAy</vt:lpwstr>
  </op:property>
  <op:property fmtid="{D5CDD505-2E9C-101B-9397-08002B2CF9AE}" pid="70" name="_IPGFLOW_P-846A_E-1_FP-16_SP-2_CV-2315BC3C_CN-45CD6086">
    <vt:lpwstr>e+IOiVVFJoq0945dpYU/DPGT596pI5q9LSYpuOiuoWKxV6LXa8TRNVL6GnjXTAeFf1WSOxdX2fNr2lnADraI8OGbgfskkrjcVMArtt0UDJ6XXjfo+8dnNyebDStMLw1M0</vt:lpwstr>
  </op:property>
  <op:property fmtid="{D5CDD505-2E9C-101B-9397-08002B2CF9AE}" pid="71" name="_IPGFLOW_P-846A_E-0_FP-16_CV-1748F583_CN-B12E1CF2">
    <vt:lpwstr>DPSPMK|3|384|2|0</vt:lpwstr>
  </op:property>
  <op:property fmtid="{D5CDD505-2E9C-101B-9397-08002B2CF9AE}" pid="72" name="_IPGFLOW_P-846A_E-1_FP-17_SP-1_CV-25B61E75_CN-1E9EE8E1">
    <vt:lpwstr>quo38tJ4Yhpti3gbVfmLXpBvsHB6tQLscwzLSnJvsrmakWc5YFkuToErBldQKvQVGrq7JxTieSxixPCS+uZjg+x+3yHJ7FTgWDvuRy0Qk8+e13cmX4IU2Llk6QuzWkMGNErLFl44vZrfsGPCc9/g4fsTq3wfa+Wx4NSI8kKO23fSxPIvwG9X5pdFksWfgFXDmbec2gprg/u7Iq58k3qq8IOp7CwZKbb2qM2fOV+iS6aNXmVw7SGtSA/Q2kkadTc</vt:lpwstr>
  </op:property>
  <op:property fmtid="{D5CDD505-2E9C-101B-9397-08002B2CF9AE}" pid="73" name="_IPGFLOW_P-846A_E-1_FP-17_SP-2_CV-4FC3BF11_CN-91FCC97F">
    <vt:lpwstr>6jXs689cZovXB+sWINShlsSdJ+HjvWN5xuMMBJ/G98yDIFC+coFw5xFsYqJyC3zAk8bxb/7T0wW++nbUrGQeP2BeQXooNOXceul+s5kqNRX5QLzzdgJrXQnRPr9MDkROy</vt:lpwstr>
  </op:property>
  <op:property fmtid="{D5CDD505-2E9C-101B-9397-08002B2CF9AE}" pid="74" name="_IPGFLOW_P-846A_E-0_FP-17_CV-1748F583_CN-6CB8C577">
    <vt:lpwstr>DPSPMK|3|384|2|0</vt:lpwstr>
  </op:property>
  <op:property fmtid="{D5CDD505-2E9C-101B-9397-08002B2CF9AE}" pid="75" name="_IPGFLOW_P-846A_E-1_FP-18_SP-1_CV-B91D8623_CN-321EB35E">
    <vt:lpwstr>iRNxuZpgyg4H/fwXL3n6xYygtzo85r0GhKbruQkrVYUw+f0jUH77wRhqvnm5T/6+uexvSEp1JCL+fTZtA6OfbX9bdBIIj/5kgYT9nbU4N0AyCYP0NombdGtJoe8hXrr/EfaGytGUND4bcskMvA60I6rlzCsGRi1gOYlehvszCHgI6AhgcEoKFrFyiLI7g7UutIIOj5nPCW1OYuwOG/Zyea6755yqaD0lDCEw+WKU7PO4HyIOmBBrm/oCn4U5NYk</vt:lpwstr>
  </op:property>
  <op:property fmtid="{D5CDD505-2E9C-101B-9397-08002B2CF9AE}" pid="76" name="_IPGFLOW_P-846A_E-1_FP-18_SP-2_CV-6C75800C_CN-9B838AF1">
    <vt:lpwstr>LhupSRx3JiNtl5KmsPB6fDIBoBQsRmzJwPm3YKqLIeSRLcj4hCPoUKm/J/jc20HVVEc/+pWatnB7fXYumudbBBy4qM7s7jBIo3/UfWXDUpm2Jwaz7VIajFnX5Y+ERDsK3</vt:lpwstr>
  </op:property>
  <op:property fmtid="{D5CDD505-2E9C-101B-9397-08002B2CF9AE}" pid="77" name="_IPGFLOW_P-846A_E-0_FP-18_CV-1748F583_CN-4BC81042">
    <vt:lpwstr>DPSPMK|3|384|2|0</vt:lpwstr>
  </op:property>
  <op:property fmtid="{D5CDD505-2E9C-101B-9397-08002B2CF9AE}" pid="78" name="_IPGFLOW_P-846A_E-1_FP-19_SP-1_CV-9449D4C_CN-588D458">
    <vt:lpwstr>iRNxuZpgyg4H/fwXL3n6xeXipzfHBNy4fBeOSEGqo//MV+ssJz2UUgWfPhM+ncKRo87hsyhRq61ZClSC+R1906SFw5nG4PSyai73LybmPXg3M5pIZERxFeG4ygU1QFoq4sCDr0WEo8D/HU1/jmMZ8NR414FPksohwrI8GjFAkM8Zz86inqADUwzFiB9ZxgjFcJ8VtvGxd04ZeThePXkXxJ7nYkzlcrHHjsHzvZa0qUT+5DLrgBpWTFN922onLoJ</vt:lpwstr>
  </op:property>
  <op:property fmtid="{D5CDD505-2E9C-101B-9397-08002B2CF9AE}" pid="79" name="_IPGFLOW_P-846A_E-1_FP-19_SP-2_CV-34E0419F_CN-71486522">
    <vt:lpwstr>VMIEZvmOeHj2qjncS+xsNbFlbLI9REK0Tsa9TbE8n46MtlAovrUtn/jeGdx+/pkLjfGX789r3sDqgJogPMIMI19Jm78uLvT9+fVajlXrtXf5+wUdVrGU6yLUQ3BX7/gbP</vt:lpwstr>
  </op:property>
  <op:property fmtid="{D5CDD505-2E9C-101B-9397-08002B2CF9AE}" pid="80" name="_IPGFLOW_P-846A_E-0_FP-19_CV-1748F583_CN-965EC9C7">
    <vt:lpwstr>DPSPMK|3|384|2|0</vt:lpwstr>
  </op:property>
  <op:property fmtid="{D5CDD505-2E9C-101B-9397-08002B2CF9AE}" pid="81" name="_IPGFLOW_P-846A_E-1_FP-1A_SP-1_CV-7774829D_CN-B2ED4D08">
    <vt:lpwstr>iRNxuZpgyg4H/fwXL3n6xbWfnawrvYPoirJ9Lxw31o337ZdGr0E8SVjENt6FHcGDmq6C1yrlrGvwxjEtZW7JrWoz24HZkJZCuOguCYsgR2Xk0MQ+3HgNz57tKSO8D5ZjTKr8qioddQ3P58GPVinOKvNhnNh96694z+zGAPoxHJVeA7SMg3nzvZXhyqSVJJu2dsuIxUXtfzuJe6bwNMtFgBcb3d2reG5o/3zSd7JtgIRbXrJTBz1xn4qlDqilfI2</vt:lpwstr>
  </op:property>
  <op:property fmtid="{D5CDD505-2E9C-101B-9397-08002B2CF9AE}" pid="82" name="_IPGFLOW_P-846A_E-1_FP-1A_SP-2_CV-BB3E6B8E_CN-D0D6D463">
    <vt:lpwstr>oaQTVx2UfEaQLnS9/nduW15aUzvAdeR03cMF53n1HZequK2bRG9P41S+ojId1J7X5B8GczlrmLtpwGX4XKLdOCFeU026oFBGT2rkpB3WQVHb+6/ktLlKughnWcQUx8kyr</vt:lpwstr>
  </op:property>
  <op:property fmtid="{D5CDD505-2E9C-101B-9397-08002B2CF9AE}" pid="83" name="_IPGFLOW_P-846A_E-0_FP-1A_CV-1748F583_CN-76A9662E">
    <vt:lpwstr>DPSPMK|3|384|2|0</vt:lpwstr>
  </op:property>
  <op:property fmtid="{D5CDD505-2E9C-101B-9397-08002B2CF9AE}" pid="84" name="_IPGFLOW_P-846A_E-1_FP-1B_SP-1_CV-95B4486D_CN-414829A2">
    <vt:lpwstr>iRNxuZpgyg4H/fwXL3n6xfXhsO2VCEzcxFDf5RkgfD5L2uOSaWaz3rrfoetJUMC0FACGNM4BjGjtx9iGQZxISCeGHzBB0aaQh2ZuCuRA5pNuEiSpgDA6RtGRl5QltLdrulqjEhDzpsKeaCnOGfiPERSpq0tk9Sy4yrk8Av11HMgwvjXmN9zdQ8I+fd/XKEOv5lR3ZKdjsyTmoYEd5G84w6jsPYf9dg6F2oe5HmAgvEd7EHpBGx1A2OBNTB2WAVL</vt:lpwstr>
  </op:property>
  <op:property fmtid="{D5CDD505-2E9C-101B-9397-08002B2CF9AE}" pid="85" name="_IPGFLOW_P-846A_E-1_FP-1B_SP-2_CV-A16AC14C_CN-83929FB9">
    <vt:lpwstr>f7yRWj6rDF+J2X4rJV6g6VeJyuP2r9DxR1U+055T1yFUNce6GgPvrhgoSr1eTOhGES/mDLoe5BDSvqicKcTlFJeraoeukDt5/tx0h3NYQ6D1gm9vLeoG05dJGHq5IOJ8C</vt:lpwstr>
  </op:property>
  <op:property fmtid="{D5CDD505-2E9C-101B-9397-08002B2CF9AE}" pid="86" name="_IPGFLOW_P-846A_E-0_FP-1B_CV-1748F583_CN-CB630AE0">
    <vt:lpwstr>DPSPMK|3|384|2|0</vt:lpwstr>
  </op:property>
  <op:property fmtid="{D5CDD505-2E9C-101B-9397-08002B2CF9AE}" pid="87" name="_IPGFLOW_P-846A_E-1_FP-1C_SP-1_CV-12A069AE_CN-77FE130D">
    <vt:lpwstr>iRNxuZpgyg4H/fwXL3n6xSt3rVUYjfGboGZhOUmKyULB4OzOrSQ1j47ol1bDpW1RvfFT7MSaROGSnJiZvrdfJamIkThvR1xSn1pfZtjKaObpxIyyUWJl953PI5Ehx8+GOBMKi1AyLU2udRps1b90bnB1B+PCsB1U1+YXe99LLeJmhSvb3NCV3Nztj5I2rzjjJ2lV7he63EM569Mbhmf2K2h6NnuLVGC8XvxQoGyQ7LBH7yxBM/ckEXXLg755Y4S</vt:lpwstr>
  </op:property>
  <op:property fmtid="{D5CDD505-2E9C-101B-9397-08002B2CF9AE}" pid="88" name="_IPGFLOW_P-846A_E-1_FP-1C_SP-2_CV-A3D93BB3_CN-60FFE66C">
    <vt:lpwstr>IgRCLPjuIb3HC69mSvEFBhOJgykXguhqaRBgVMvBQEiqxBHSg57KPQP96VjW2e2pve994zgEB2rDHVTVtlJ8Ckun9lSJ0FzWY5SBeA8IDyS+sloMbVdjaR7ppZ1QCTrDG</vt:lpwstr>
  </op:property>
  <op:property fmtid="{D5CDD505-2E9C-101B-9397-08002B2CF9AE}" pid="89" name="_IPGFLOW_P-846A_E-0_FP-1C_CV-1748F583_CN-16F5D365">
    <vt:lpwstr>DPSPMK|3|384|2|0</vt:lpwstr>
  </op:property>
  <op:property fmtid="{D5CDD505-2E9C-101B-9397-08002B2CF9AE}" pid="90" name="_IPGFLOW_P-846A_E-1_FP-1D_SP-1_CV-25462DE8_CN-90C4ED07">
    <vt:lpwstr>j60TZQv/1fYR0RErIAkK18bDpLGrEb2rriK2YgbUcvytR4ckQkEGEEaAfc2sYZIMRQMEzxN4Tnk/8cjg7n9e/SN2TQObLyqevv8CwBdDLB2hf2OtWCJBl/wsLo93CqgCRXSANnMlniQ5+d816Ht0QdwtxR1dSJkt3CT4NmSRVibueY34mSWow3gRQte+LNtGizxtGY8yFilgOx2GyUCAqV5Wd5k5uCQWxTNFNJfZQqtE6U9U+K1YSboP1t4gFo0</vt:lpwstr>
  </op:property>
  <op:property fmtid="{D5CDD505-2E9C-101B-9397-08002B2CF9AE}" pid="91" name="_IPGFLOW_P-846A_E-1_FP-1D_SP-2_CV-CCE921AD_CN-EF87EECB">
    <vt:lpwstr>9xusI3M44aNWTERwgjy4J53u88lc5yhBiN6Fc6a2JFFg1AR5DdesT5jHjuU54bYe49G66/ZTFnZzPrws948/jhdGyGr0foeOooed67DVXYlyBwoBN7nEnDfZceG8S/7Nx</vt:lpwstr>
  </op:property>
  <op:property fmtid="{D5CDD505-2E9C-101B-9397-08002B2CF9AE}" pid="92" name="_IPGFLOW_P-846A_E-0_FP-1D_CV-1748F583_CN-6B86D53D">
    <vt:lpwstr>DPSPMK|3|384|2|0</vt:lpwstr>
  </op:property>
  <op:property fmtid="{D5CDD505-2E9C-101B-9397-08002B2CF9AE}" pid="93" name="_IPGFLOW_P-846A_E-1_FP-1E_SP-1_CV-EB4E8_CN-5148AA8">
    <vt:lpwstr>/K7es59boNVH/7wcfPZz+UoDV3JIOtuKTO3DQiDUajbCkOy53AFjDxQfItjZRMYc2pPuZUi+Cx9c+x1/p3Q9uLgvC7QsayfRSQXpdsirFaDnD+nhqck4XNb49cUCGF2lknqfvu3Lm9nkDbOQUXZYQlgaleIwf59lX0+CJsPa1MalelYDzdVU3icc274ojVIOYdERcs6vDOnjMMap98SagTUfU/soqPOK1qy40d6op/J4CrxCsvYhwhcU244Jnue</vt:lpwstr>
  </op:property>
  <op:property fmtid="{D5CDD505-2E9C-101B-9397-08002B2CF9AE}" pid="94" name="_IPGFLOW_P-846A_E-1_FP-1E_SP-2_CV-57D251CF_CN-8FAEEDA6">
    <vt:lpwstr>lA8VJj1Q9YCBAgaf4718i7nl/aHCLDYxavxYCTiphJqOMfyEBH61p/mUYnLRsG9KGKb2efSBnNLAPtkrh2N0Cxhvc9VAtvDHP9hm7PwBE3Yjkyqt/Sh78M2KFqDPEfsoP</vt:lpwstr>
  </op:property>
  <op:property fmtid="{D5CDD505-2E9C-101B-9397-08002B2CF9AE}" pid="95" name="_IPGFLOW_P-846A_E-0_FP-1E_CV-1748F583_CN-B6100CB8">
    <vt:lpwstr>DPSPMK|3|384|2|0</vt:lpwstr>
  </op:property>
  <op:property fmtid="{D5CDD505-2E9C-101B-9397-08002B2CF9AE}" pid="96" name="_IPGLAB_P-846A_E-1_CV-B69693C7_CN-8CFE8263">
    <vt:lpwstr>zfeNTqenjqRed91ttgP9ka5BUVaEZFL7krp4olHuobhSisyxQ9ZpJQb26Pz6lrohctspT0MaShz+L90BBqMOHTzodIxZQm1XoPSCF+1Gg8s=</vt:lpwstr>
  </op:property>
  <op:property fmtid="{D5CDD505-2E9C-101B-9397-08002B2CF9AE}" pid="97" name="_IPGFLOW_P-846A_E-0_CV-D368F56F_CN-DDE2F5C">
    <vt:lpwstr>DPFPMK|3|50|31|0</vt:lpwstr>
  </op:property>
  <op:property fmtid="{D5CDD505-2E9C-101B-9397-08002B2CF9AE}" pid="98" name="_IPGFLOW_P-846A_E-1_FP-1F_SP-1_CV-FD896371_CN-B88EDF89">
    <vt:lpwstr>/K7es59boNVH/7wcfPZz+WNCAE6MZQgKSSJd447Bno79o5bI3s0Zwu7Hvb1w4C8ALPDPoho8aeGOr+Cr/lxKZ+bS2YA5GjszJNHlx/UhHAk37Jp3AhaUhCh57jRRxAXC2kkU7R/JrZ6hS2wTK4NdsQjSmXGo6aqsvb8ctOsOEufKiPd9SETZa5VSbz8MgZh+7VkIGY43hJE36w5zhPKSQfjLUUq2asLrlN8FVmjuCN+KOKNY68/kFl6LkKeEPIV</vt:lpwstr>
  </op:property>
  <op:property fmtid="{D5CDD505-2E9C-101B-9397-08002B2CF9AE}" pid="99" name="_IPGFLOW_P-846A_E-1_FP-1F_SP-2_CV-D7D3EF6F_CN-507BDB80">
    <vt:lpwstr>pVV66jvmfqIrQf9wYB6he4yzLDB5sb1W2vRLULHJLiuLgvAfHT/XrnyaYs9ixWm2EnLMWexDfjAS7a89DKVKtpMeOR4V7qswtKbAKEJzXiFM6JyB/V+hpW4hSPpEi9bED</vt:lpwstr>
  </op:property>
  <op:property fmtid="{D5CDD505-2E9C-101B-9397-08002B2CF9AE}" pid="100" name="_IPGFLOW_P-846A_E-0_FP-1F_CV-1748F583_CN-BDA6076">
    <vt:lpwstr>DPSPMK|3|384|2|0</vt:lpwstr>
  </op:property>
</op:Properties>
</file>