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6E3E4" w14:textId="77777777" w:rsidR="003A089C" w:rsidRDefault="007C6F2A">
      <w:pPr>
        <w:spacing w:line="360" w:lineRule="auto"/>
        <w:rPr>
          <w:b/>
          <w:kern w:val="0"/>
          <w:sz w:val="30"/>
          <w:szCs w:val="30"/>
          <w:lang w:val="zh-CN" w:bidi="zh-CN"/>
        </w:rPr>
      </w:pPr>
      <w:r>
        <w:rPr>
          <w:b/>
          <w:kern w:val="0"/>
          <w:sz w:val="24"/>
          <w:szCs w:val="24"/>
          <w:lang w:val="zh-CN" w:bidi="zh-CN"/>
        </w:rPr>
        <w:t>证券代码：</w:t>
      </w:r>
      <w:r>
        <w:rPr>
          <w:b/>
          <w:kern w:val="0"/>
          <w:sz w:val="24"/>
          <w:szCs w:val="24"/>
          <w:lang w:val="zh-CN" w:bidi="zh-CN"/>
        </w:rPr>
        <w:t xml:space="preserve">688037                       </w:t>
      </w:r>
      <w:r>
        <w:rPr>
          <w:b/>
          <w:kern w:val="0"/>
          <w:sz w:val="24"/>
          <w:szCs w:val="24"/>
          <w:lang w:bidi="zh-CN"/>
        </w:rPr>
        <w:t xml:space="preserve">             </w:t>
      </w:r>
      <w:r>
        <w:rPr>
          <w:b/>
          <w:kern w:val="0"/>
          <w:sz w:val="24"/>
          <w:szCs w:val="24"/>
          <w:lang w:val="zh-CN" w:bidi="zh-CN"/>
        </w:rPr>
        <w:t>证券简称：芯源微</w:t>
      </w:r>
    </w:p>
    <w:p w14:paraId="4A218974" w14:textId="77777777" w:rsidR="003A089C" w:rsidRDefault="007C6F2A">
      <w:pPr>
        <w:spacing w:beforeLines="100" w:before="312" w:afterLines="50" w:after="156" w:line="360" w:lineRule="auto"/>
        <w:ind w:firstLineChars="200" w:firstLine="602"/>
        <w:jc w:val="center"/>
        <w:rPr>
          <w:b/>
          <w:kern w:val="0"/>
          <w:sz w:val="30"/>
          <w:szCs w:val="30"/>
          <w:lang w:val="zh-CN" w:bidi="zh-CN"/>
        </w:rPr>
      </w:pPr>
      <w:r>
        <w:rPr>
          <w:b/>
          <w:kern w:val="0"/>
          <w:sz w:val="30"/>
          <w:szCs w:val="30"/>
          <w:lang w:val="zh-CN" w:bidi="zh-CN"/>
        </w:rPr>
        <w:t>沈阳芯源微电子设备股份有限公司投资者关系活动记录表</w:t>
      </w:r>
    </w:p>
    <w:p w14:paraId="03A30900" w14:textId="77777777" w:rsidR="003A089C" w:rsidRDefault="007C6F2A">
      <w:pPr>
        <w:wordWrap w:val="0"/>
        <w:spacing w:line="360" w:lineRule="auto"/>
        <w:ind w:firstLineChars="50" w:firstLine="120"/>
        <w:jc w:val="right"/>
        <w:rPr>
          <w:kern w:val="0"/>
          <w:sz w:val="24"/>
          <w:szCs w:val="24"/>
          <w:lang w:bidi="zh-CN"/>
        </w:rPr>
      </w:pPr>
      <w:r>
        <w:rPr>
          <w:kern w:val="0"/>
          <w:sz w:val="24"/>
          <w:szCs w:val="24"/>
          <w:lang w:val="zh-CN" w:bidi="zh-CN"/>
        </w:rPr>
        <w:t>编号：</w:t>
      </w:r>
      <w:r>
        <w:rPr>
          <w:rFonts w:hint="eastAsia"/>
          <w:kern w:val="0"/>
          <w:sz w:val="24"/>
          <w:szCs w:val="24"/>
          <w:lang w:bidi="zh-CN"/>
        </w:rPr>
        <w:t>202</w:t>
      </w:r>
      <w:r>
        <w:rPr>
          <w:kern w:val="0"/>
          <w:sz w:val="24"/>
          <w:szCs w:val="24"/>
          <w:lang w:bidi="zh-CN"/>
        </w:rPr>
        <w:t>6</w:t>
      </w:r>
      <w:r>
        <w:rPr>
          <w:rFonts w:hint="eastAsia"/>
          <w:kern w:val="0"/>
          <w:sz w:val="24"/>
          <w:szCs w:val="24"/>
          <w:lang w:bidi="zh-CN"/>
        </w:rPr>
        <w:t>-0</w:t>
      </w:r>
      <w:r>
        <w:rPr>
          <w:kern w:val="0"/>
          <w:sz w:val="24"/>
          <w:szCs w:val="24"/>
          <w:lang w:bidi="zh-CN"/>
        </w:rPr>
        <w:t>5</w:t>
      </w:r>
    </w:p>
    <w:tbl>
      <w:tblPr>
        <w:tblW w:w="8276" w:type="dxa"/>
        <w:tblInd w:w="9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828"/>
        <w:gridCol w:w="6448"/>
      </w:tblGrid>
      <w:tr w:rsidR="003A089C" w14:paraId="6F9D6148" w14:textId="77777777">
        <w:trPr>
          <w:trHeight w:val="1396"/>
        </w:trPr>
        <w:tc>
          <w:tcPr>
            <w:tcW w:w="1828" w:type="dxa"/>
            <w:vAlign w:val="center"/>
          </w:tcPr>
          <w:p w14:paraId="209D0105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  <w:t>投资者关系活动类别</w:t>
            </w:r>
          </w:p>
        </w:tc>
        <w:tc>
          <w:tcPr>
            <w:tcW w:w="6448" w:type="dxa"/>
            <w:vAlign w:val="center"/>
          </w:tcPr>
          <w:p w14:paraId="423CE340" w14:textId="77777777" w:rsidR="003A089C" w:rsidRDefault="007C6F2A">
            <w:pPr>
              <w:autoSpaceDE w:val="0"/>
              <w:autoSpaceDN w:val="0"/>
              <w:spacing w:line="360" w:lineRule="auto"/>
              <w:rPr>
                <w:kern w:val="0"/>
                <w:sz w:val="24"/>
                <w:szCs w:val="24"/>
                <w:lang w:bidi="zh-CN"/>
              </w:rPr>
            </w:pP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特定对象调研</w:t>
            </w:r>
            <w:r>
              <w:rPr>
                <w:kern w:val="0"/>
                <w:sz w:val="24"/>
                <w:szCs w:val="24"/>
                <w:lang w:bidi="zh-CN"/>
              </w:rPr>
              <w:t xml:space="preserve">       </w:t>
            </w: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分析师会议</w:t>
            </w:r>
            <w:r>
              <w:rPr>
                <w:kern w:val="0"/>
                <w:sz w:val="24"/>
                <w:szCs w:val="24"/>
                <w:lang w:bidi="zh-CN"/>
              </w:rPr>
              <w:t xml:space="preserve"> </w:t>
            </w:r>
          </w:p>
          <w:p w14:paraId="34E6DE33" w14:textId="77777777" w:rsidR="003A089C" w:rsidRDefault="007C6F2A">
            <w:pPr>
              <w:autoSpaceDE w:val="0"/>
              <w:autoSpaceDN w:val="0"/>
              <w:spacing w:line="360" w:lineRule="auto"/>
              <w:rPr>
                <w:kern w:val="0"/>
                <w:sz w:val="24"/>
                <w:szCs w:val="24"/>
                <w:lang w:val="zh-CN" w:bidi="zh-CN"/>
              </w:rPr>
            </w:pP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媒体采访</w:t>
            </w:r>
            <w:r>
              <w:rPr>
                <w:kern w:val="0"/>
                <w:sz w:val="24"/>
                <w:szCs w:val="24"/>
                <w:lang w:val="zh-CN" w:bidi="zh-CN"/>
              </w:rPr>
              <w:t xml:space="preserve">           </w:t>
            </w: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业绩说明会</w:t>
            </w:r>
            <w:r>
              <w:rPr>
                <w:kern w:val="0"/>
                <w:sz w:val="24"/>
                <w:szCs w:val="24"/>
                <w:lang w:val="zh-CN" w:bidi="zh-CN"/>
              </w:rPr>
              <w:t xml:space="preserve"> </w:t>
            </w:r>
          </w:p>
          <w:p w14:paraId="17E71D1A" w14:textId="77777777" w:rsidR="003A089C" w:rsidRDefault="007C6F2A">
            <w:pPr>
              <w:autoSpaceDE w:val="0"/>
              <w:autoSpaceDN w:val="0"/>
              <w:spacing w:line="360" w:lineRule="auto"/>
              <w:rPr>
                <w:kern w:val="0"/>
                <w:sz w:val="24"/>
                <w:szCs w:val="24"/>
                <w:lang w:val="zh-CN" w:bidi="zh-CN"/>
              </w:rPr>
            </w:pP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新闻发布会</w:t>
            </w:r>
            <w:r>
              <w:rPr>
                <w:kern w:val="0"/>
                <w:sz w:val="24"/>
                <w:szCs w:val="24"/>
                <w:lang w:bidi="zh-CN"/>
              </w:rPr>
              <w:t xml:space="preserve">         </w:t>
            </w: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路演活动</w:t>
            </w:r>
          </w:p>
          <w:p w14:paraId="1854285E" w14:textId="77777777" w:rsidR="003A089C" w:rsidRDefault="007C6F2A">
            <w:pPr>
              <w:autoSpaceDE w:val="0"/>
              <w:autoSpaceDN w:val="0"/>
              <w:spacing w:line="360" w:lineRule="auto"/>
              <w:rPr>
                <w:b/>
                <w:bCs/>
                <w:kern w:val="0"/>
                <w:sz w:val="24"/>
                <w:szCs w:val="24"/>
                <w:lang w:val="zh-CN" w:bidi="zh-CN"/>
              </w:rPr>
            </w:pP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A3"/>
            </w:r>
            <w:r>
              <w:rPr>
                <w:kern w:val="0"/>
                <w:sz w:val="24"/>
                <w:szCs w:val="24"/>
                <w:lang w:val="zh-CN" w:bidi="zh-CN"/>
              </w:rPr>
              <w:t>现场参观</w:t>
            </w:r>
            <w:r>
              <w:rPr>
                <w:kern w:val="0"/>
                <w:sz w:val="24"/>
                <w:szCs w:val="24"/>
                <w:lang w:val="zh-CN" w:bidi="zh-CN"/>
              </w:rPr>
              <w:t xml:space="preserve">           </w:t>
            </w:r>
            <w:r>
              <w:rPr>
                <w:iCs/>
                <w:color w:val="000000"/>
                <w:kern w:val="0"/>
                <w:sz w:val="24"/>
                <w:szCs w:val="24"/>
                <w:lang w:val="zh-CN" w:eastAsia="en-US" w:bidi="zh-CN"/>
              </w:rPr>
              <w:sym w:font="Wingdings 2" w:char="0052"/>
            </w:r>
            <w:r>
              <w:rPr>
                <w:kern w:val="0"/>
                <w:sz w:val="24"/>
                <w:szCs w:val="24"/>
                <w:lang w:val="zh-CN" w:bidi="zh-CN"/>
              </w:rPr>
              <w:t>其他</w:t>
            </w:r>
          </w:p>
        </w:tc>
      </w:tr>
      <w:tr w:rsidR="003A089C" w14:paraId="3A3634C9" w14:textId="77777777">
        <w:trPr>
          <w:trHeight w:val="90"/>
        </w:trPr>
        <w:tc>
          <w:tcPr>
            <w:tcW w:w="1828" w:type="dxa"/>
            <w:vAlign w:val="center"/>
          </w:tcPr>
          <w:p w14:paraId="03A9FDC6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  <w:t>参与单位名称</w:t>
            </w:r>
          </w:p>
        </w:tc>
        <w:tc>
          <w:tcPr>
            <w:tcW w:w="6448" w:type="dxa"/>
            <w:vAlign w:val="center"/>
          </w:tcPr>
          <w:p w14:paraId="6AE94B6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百年保险资产管理有限责任公司</w:t>
            </w:r>
          </w:p>
          <w:p w14:paraId="12FEB7E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宝盈基金管理有限公司</w:t>
            </w:r>
          </w:p>
          <w:p w14:paraId="50E24B7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北京鑫翰资本管理有限公司</w:t>
            </w:r>
          </w:p>
          <w:p w14:paraId="1476350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北京禹田资本管理有限公司</w:t>
            </w:r>
          </w:p>
          <w:p w14:paraId="15DD1FBE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北京证券有限责任公司</w:t>
            </w:r>
          </w:p>
          <w:p w14:paraId="5F177977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北京中金众鑫投资管理有限公司</w:t>
            </w:r>
          </w:p>
          <w:p w14:paraId="229BA1F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财达证券股份有限公司</w:t>
            </w:r>
          </w:p>
          <w:p w14:paraId="47A19BD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财通证券股份有限公司</w:t>
            </w:r>
          </w:p>
          <w:p w14:paraId="1DE4141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诚通证券股份有限公司</w:t>
            </w:r>
          </w:p>
          <w:p w14:paraId="51E2BA4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创金合信基金管理有限公司</w:t>
            </w:r>
          </w:p>
          <w:p w14:paraId="0210F11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淳厚基金管理有限公司</w:t>
            </w:r>
          </w:p>
          <w:p w14:paraId="5EFCC04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大湾区发展基金管理有限公司</w:t>
            </w:r>
          </w:p>
          <w:p w14:paraId="2169A9A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东北证券股份有限公司</w:t>
            </w:r>
          </w:p>
          <w:p w14:paraId="6D9F5E0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东方财富证券股份有限公司</w:t>
            </w:r>
          </w:p>
          <w:p w14:paraId="15E779B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东海证券股份有限公司</w:t>
            </w:r>
          </w:p>
          <w:p w14:paraId="6C34C0B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法国巴黎银行</w:t>
            </w:r>
          </w:p>
          <w:p w14:paraId="3ED2DE0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佛山市东盈投资管理有限公司</w:t>
            </w:r>
          </w:p>
          <w:p w14:paraId="3A9CF54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工银瑞信基金管理有限公司</w:t>
            </w:r>
          </w:p>
          <w:p w14:paraId="327AA83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光大保德信基金管理有限公司</w:t>
            </w:r>
          </w:p>
          <w:p w14:paraId="269436C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光大证券股份有限公司</w:t>
            </w:r>
          </w:p>
          <w:p w14:paraId="1F05256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广东正圆私募基金管理有限公司</w:t>
            </w:r>
          </w:p>
          <w:p w14:paraId="2378254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广发证券股份有限公司</w:t>
            </w:r>
          </w:p>
          <w:p w14:paraId="533BC8B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国度联合（青岛）私募基金管理有限公司</w:t>
            </w:r>
          </w:p>
          <w:p w14:paraId="3791360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国海证券股份有限公司</w:t>
            </w:r>
          </w:p>
          <w:p w14:paraId="58D39BC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国华兴益保险资产管理有限公司</w:t>
            </w:r>
          </w:p>
          <w:p w14:paraId="490C730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国金证券股份有限公司</w:t>
            </w:r>
          </w:p>
          <w:p w14:paraId="7DA54A1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国联安基金管理有限公司</w:t>
            </w:r>
          </w:p>
          <w:p w14:paraId="4918A5A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国泰海通证券股份有限公司</w:t>
            </w:r>
          </w:p>
          <w:p w14:paraId="5196F7C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国投证券资产管理有限公司</w:t>
            </w:r>
          </w:p>
          <w:p w14:paraId="27ABF1B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国信证券股份有限公司</w:t>
            </w:r>
          </w:p>
          <w:p w14:paraId="0A64FFAE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和谐健康保险股份有限公司</w:t>
            </w:r>
          </w:p>
          <w:p w14:paraId="5FB175E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鸿运私募基金管理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海南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有限公司</w:t>
            </w:r>
          </w:p>
          <w:p w14:paraId="3604E18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lastRenderedPageBreak/>
              <w:t>湖南潇湘资本投资管理有限公司</w:t>
            </w:r>
          </w:p>
          <w:p w14:paraId="744CE43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华创证券有限责任公司</w:t>
            </w:r>
          </w:p>
          <w:p w14:paraId="44DCDD17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华福证券股份有限公司</w:t>
            </w:r>
          </w:p>
          <w:p w14:paraId="681A889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华泰联合证券有限责任公司</w:t>
            </w:r>
          </w:p>
          <w:p w14:paraId="5CF7869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华泰证券股份有限公司</w:t>
            </w:r>
          </w:p>
          <w:p w14:paraId="1EF21D8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华西证券股份有限公司</w:t>
            </w:r>
          </w:p>
          <w:p w14:paraId="4962938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华夏基金管理有限公司</w:t>
            </w:r>
          </w:p>
          <w:p w14:paraId="65C1E48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江苏瑞华投资控股集团有限公司</w:t>
            </w:r>
          </w:p>
          <w:p w14:paraId="5A68E40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金鹰基金管理有限公司</w:t>
            </w:r>
          </w:p>
          <w:p w14:paraId="0500202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开弦资本管理有限公司</w:t>
            </w:r>
          </w:p>
          <w:p w14:paraId="70DF5D6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凯基证券亚洲有限公司</w:t>
            </w:r>
          </w:p>
          <w:p w14:paraId="440FFAD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康橙投资管理股份有限公司</w:t>
            </w:r>
          </w:p>
          <w:p w14:paraId="3416AE4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立格资本投资有限公司</w:t>
            </w:r>
          </w:p>
          <w:p w14:paraId="6529692E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联创云景资产管理有限公司</w:t>
            </w:r>
          </w:p>
          <w:p w14:paraId="00B5062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临沂市宏恩资产管理有限公司</w:t>
            </w:r>
          </w:p>
          <w:p w14:paraId="3BBA6E2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路博迈亚洲有限公司</w:t>
            </w:r>
          </w:p>
          <w:p w14:paraId="7A20691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麦格理集团有限公司</w:t>
            </w:r>
          </w:p>
          <w:p w14:paraId="486B9E7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麦格理资本股份有限公司</w:t>
            </w:r>
          </w:p>
          <w:p w14:paraId="63AC489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民生加银基金管理有限公司</w:t>
            </w:r>
          </w:p>
          <w:p w14:paraId="6369127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摩根大通证券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有限公司</w:t>
            </w:r>
          </w:p>
          <w:p w14:paraId="50F5F14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摩根士丹利基金管理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有限公司</w:t>
            </w:r>
          </w:p>
          <w:p w14:paraId="0636751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南华基金管理有限公司</w:t>
            </w:r>
          </w:p>
          <w:p w14:paraId="723762C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南京青云合益投资管理有限公司</w:t>
            </w:r>
          </w:p>
          <w:p w14:paraId="51D446B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宁波宝隽资产管理有限公司</w:t>
            </w:r>
          </w:p>
          <w:p w14:paraId="57A9310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宁波莲盛投资管理有限公司</w:t>
            </w:r>
          </w:p>
          <w:p w14:paraId="10CB620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平安基金管理有限公司</w:t>
            </w:r>
          </w:p>
          <w:p w14:paraId="657CFAD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平安资产管理有限责任公司</w:t>
            </w:r>
          </w:p>
          <w:p w14:paraId="06AEEDF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青岛金光紫金创业投资管理有限公司</w:t>
            </w:r>
          </w:p>
          <w:p w14:paraId="7FEB952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群益证券投资信托股份有限公司</w:t>
            </w:r>
          </w:p>
          <w:p w14:paraId="0BC638D7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瑞士银行</w:t>
            </w:r>
          </w:p>
          <w:p w14:paraId="4E7F35C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瑞银集团</w:t>
            </w:r>
          </w:p>
          <w:p w14:paraId="013F949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瑞银证券有限责任公司</w:t>
            </w:r>
          </w:p>
          <w:p w14:paraId="7F3481F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三井住友德思私募基金管理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有限公司</w:t>
            </w:r>
          </w:p>
          <w:p w14:paraId="1C6B503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厦门泰牛私募基金管理有限公司</w:t>
            </w:r>
          </w:p>
          <w:p w14:paraId="5BF0ADF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山东嘉信私募基金管理有限公司</w:t>
            </w:r>
          </w:p>
          <w:p w14:paraId="3B4F873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山东金仕达投资管理有限公司</w:t>
            </w:r>
          </w:p>
          <w:p w14:paraId="7504488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山东泽润私募投资基金管理有限公司</w:t>
            </w:r>
          </w:p>
          <w:p w14:paraId="405FA90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山西证券股份有限公司</w:t>
            </w:r>
          </w:p>
          <w:p w14:paraId="30E3614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上海博笃投资管理有限公司</w:t>
            </w:r>
          </w:p>
          <w:p w14:paraId="1E18D44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上海道仁资产管理有限公司</w:t>
            </w:r>
          </w:p>
          <w:p w14:paraId="3994E46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上海道衍私募基金管理有限公司</w:t>
            </w:r>
          </w:p>
          <w:p w14:paraId="200A8B1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上海度势投资有限公司</w:t>
            </w:r>
          </w:p>
          <w:p w14:paraId="4F861AF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上海国泰海通证券资产管理有限公司</w:t>
            </w:r>
          </w:p>
          <w:p w14:paraId="66C53F0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上海恒复投资管理有限公司</w:t>
            </w:r>
          </w:p>
          <w:p w14:paraId="380F224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lastRenderedPageBreak/>
              <w:t>上海恒穗资产管理中心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有限合伙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</w:p>
          <w:p w14:paraId="37A366A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上海嘉世私募基金管理有限公司</w:t>
            </w:r>
          </w:p>
          <w:p w14:paraId="12A69CA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上海健顺投资管理有限公司</w:t>
            </w:r>
          </w:p>
          <w:p w14:paraId="1CD4165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上海景林资产管理有限公司</w:t>
            </w:r>
          </w:p>
          <w:p w14:paraId="0F6A14D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上海瞰道资产管理有限公司</w:t>
            </w:r>
          </w:p>
          <w:p w14:paraId="73AE8B5E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上海名世私募基金管理有限公司</w:t>
            </w:r>
          </w:p>
          <w:p w14:paraId="0A257A6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上海七叶树资产管理有限公司</w:t>
            </w:r>
          </w:p>
          <w:p w14:paraId="5AD49E0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上海钦沐资产管理合伙企业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有限合伙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</w:p>
          <w:p w14:paraId="29BE39C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上海润义投资管理有限公司</w:t>
            </w:r>
          </w:p>
          <w:p w14:paraId="01BB174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上海尚颀投资管理合伙企业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有限合伙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</w:p>
          <w:p w14:paraId="0177E68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上海彤舜科技有限公司</w:t>
            </w:r>
          </w:p>
          <w:p w14:paraId="6FD4126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上海潼骁投资发展中心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有限合伙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</w:p>
          <w:p w14:paraId="35D1E05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上海喜世润投资管理有限公司</w:t>
            </w:r>
          </w:p>
          <w:p w14:paraId="4F98067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上海禧弘私募基金管理有限公司</w:t>
            </w:r>
          </w:p>
          <w:p w14:paraId="163C675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上海益和源资产管理有限公司</w:t>
            </w:r>
          </w:p>
          <w:p w14:paraId="2655F86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上海涌铧投资管理有限公司</w:t>
            </w:r>
          </w:p>
          <w:p w14:paraId="4B2697C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上海域秀资产管理有限公司</w:t>
            </w:r>
          </w:p>
          <w:p w14:paraId="22996E6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上海证券有限责任公司</w:t>
            </w:r>
          </w:p>
          <w:p w14:paraId="732D5FB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上海中域资产管理中心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有限合伙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</w:p>
          <w:p w14:paraId="2EBD40A7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申万宏源证券有限公司</w:t>
            </w:r>
          </w:p>
          <w:p w14:paraId="2D660C6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深圳富存投资公司</w:t>
            </w:r>
          </w:p>
          <w:p w14:paraId="3EF78F8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深圳河床投资管理有限公司</w:t>
            </w:r>
          </w:p>
          <w:p w14:paraId="3A4B323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深圳宏鼎财富管理有限公司</w:t>
            </w:r>
          </w:p>
          <w:p w14:paraId="71D377C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深圳进门财经科技股份有限公司</w:t>
            </w:r>
          </w:p>
          <w:p w14:paraId="58A7AFF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深圳市伯利恒资产管理有限公司</w:t>
            </w:r>
          </w:p>
          <w:p w14:paraId="34157A8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深圳市国晖投资有限公司</w:t>
            </w:r>
          </w:p>
          <w:p w14:paraId="37098B6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深圳市金之灏基金管理有限公司</w:t>
            </w:r>
          </w:p>
          <w:p w14:paraId="0436589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深圳市前海诚域私募证券基金管理有限公司</w:t>
            </w:r>
          </w:p>
          <w:p w14:paraId="33F0A49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深圳市尚诚资产管理有限责任公司</w:t>
            </w:r>
          </w:p>
          <w:p w14:paraId="31E62C1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深圳市泰石投资管理有限公司</w:t>
            </w:r>
          </w:p>
          <w:p w14:paraId="66371B6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深圳市泽鑫毅德投资管理企业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有限合伙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</w:p>
          <w:p w14:paraId="6B23AB4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太平基金管理有限公司</w:t>
            </w:r>
          </w:p>
          <w:p w14:paraId="526E2FE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泰信基金管理有限公司</w:t>
            </w:r>
          </w:p>
          <w:p w14:paraId="6830E02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天恩私募股权基金管理（深圳）有限公司</w:t>
            </w:r>
          </w:p>
          <w:p w14:paraId="3614F2B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天风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证券资产管理有限公司</w:t>
            </w:r>
          </w:p>
          <w:p w14:paraId="5CB0448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天风证券股份有限公司</w:t>
            </w:r>
          </w:p>
          <w:p w14:paraId="7142A88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天津远望资产管理咨询有限公司</w:t>
            </w:r>
          </w:p>
          <w:p w14:paraId="2548B5B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西安敦成私募基金管理有限公司</w:t>
            </w:r>
          </w:p>
          <w:p w14:paraId="7170D40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西安江岳私募基金管理有限公司</w:t>
            </w:r>
          </w:p>
          <w:p w14:paraId="1082C52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西部利得基金管理有限公司</w:t>
            </w:r>
          </w:p>
          <w:p w14:paraId="03D1E3B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西部证券股份有限公司</w:t>
            </w:r>
          </w:p>
          <w:p w14:paraId="261919E7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星展銀行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香港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有限公司</w:t>
            </w:r>
          </w:p>
          <w:p w14:paraId="2C037E8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玄卜投资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上海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有限公司</w:t>
            </w:r>
          </w:p>
          <w:p w14:paraId="1D1998B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亚太财产保险有限公司</w:t>
            </w:r>
          </w:p>
          <w:p w14:paraId="7A04B3F7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lastRenderedPageBreak/>
              <w:t>阳光资产管理股份有限公司</w:t>
            </w:r>
          </w:p>
          <w:p w14:paraId="217904DE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银华基金管理股份有限公司</w:t>
            </w:r>
          </w:p>
          <w:p w14:paraId="3ABC6F1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永安财产保险股份有限公司</w:t>
            </w:r>
          </w:p>
          <w:p w14:paraId="69FFD41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誉辉资本管理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(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北京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)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有限责任公司</w:t>
            </w:r>
          </w:p>
          <w:p w14:paraId="16799DA1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张家港高竹私募基金管理有限公司</w:t>
            </w:r>
          </w:p>
          <w:p w14:paraId="52A0E05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长江证券股份有限公司</w:t>
            </w:r>
          </w:p>
          <w:p w14:paraId="00CB1B9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长盛基金管理有限公司</w:t>
            </w:r>
          </w:p>
          <w:p w14:paraId="0AEE02E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招商基金管理有限公司</w:t>
            </w:r>
          </w:p>
          <w:p w14:paraId="67F19D8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招商证券股份有限公司</w:t>
            </w:r>
          </w:p>
          <w:p w14:paraId="3B35FC7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浙江米仓资产管理有限公司</w:t>
            </w:r>
          </w:p>
          <w:p w14:paraId="2122E893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浙商证券股份有限公司</w:t>
            </w:r>
          </w:p>
          <w:p w14:paraId="5341219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中国国际金融股份有限公司</w:t>
            </w:r>
          </w:p>
          <w:p w14:paraId="04B2CE6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中国人寿养老保险股份有限公司</w:t>
            </w:r>
          </w:p>
          <w:p w14:paraId="5AA483B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中国人寿资产管理有限公司</w:t>
            </w:r>
          </w:p>
          <w:p w14:paraId="745D8520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中国长城资产管理股份有限公司</w:t>
            </w:r>
          </w:p>
          <w:p w14:paraId="42C91CA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中海基金管理有限公司</w:t>
            </w:r>
          </w:p>
          <w:p w14:paraId="385E030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中荷人寿保险有限公司</w:t>
            </w:r>
          </w:p>
          <w:p w14:paraId="09A6BF6C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中泰证券股份有限公司</w:t>
            </w:r>
          </w:p>
          <w:p w14:paraId="5D0A353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中信保诚基金管理有限公司</w:t>
            </w:r>
          </w:p>
          <w:p w14:paraId="6BA8C53D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中信金石投资有限公司</w:t>
            </w:r>
          </w:p>
          <w:p w14:paraId="44A3A6D4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中信期货有限公司</w:t>
            </w:r>
          </w:p>
          <w:p w14:paraId="5543DB9F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中原证券股份有限公司</w:t>
            </w:r>
          </w:p>
          <w:p w14:paraId="274D3CFA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重庆两江创投基金管理有限公司</w:t>
            </w:r>
          </w:p>
          <w:p w14:paraId="592910F8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朱雀基金管理有限公司</w:t>
            </w:r>
          </w:p>
          <w:p w14:paraId="0B705C6B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珠海万力达投资有限公司</w:t>
            </w:r>
          </w:p>
          <w:p w14:paraId="7096362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野村东方国际证券有限公司</w:t>
            </w:r>
          </w:p>
          <w:p w14:paraId="4DA79835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中国国际金融股份有限公司</w:t>
            </w:r>
          </w:p>
          <w:p w14:paraId="31870BC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bidi="zh-CN"/>
              </w:rPr>
              <w:t>HSBC Global Asset Management</w:t>
            </w:r>
          </w:p>
          <w:p w14:paraId="24DBF264" w14:textId="38122B60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IGWT Investment</w:t>
            </w:r>
            <w:bookmarkStart w:id="0" w:name="_GoBack"/>
            <w:bookmarkEnd w:id="0"/>
            <w:r w:rsidR="002D3AEB">
              <w:rPr>
                <w:kern w:val="0"/>
                <w:sz w:val="24"/>
                <w:szCs w:val="24"/>
                <w:lang w:bidi="zh-CN"/>
              </w:rPr>
              <w:t xml:space="preserve"> </w:t>
            </w:r>
          </w:p>
          <w:p w14:paraId="24EEAE0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bidi="zh-CN"/>
              </w:rPr>
              <w:t>J.P.MORGANSECURITIES(ASIAPACIFIC)LIMITED</w:t>
            </w:r>
          </w:p>
          <w:p w14:paraId="73976296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bidi="zh-CN"/>
              </w:rPr>
              <w:t>Point72 Hong Kong Limited</w:t>
            </w:r>
          </w:p>
          <w:p w14:paraId="11AE1419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bidi="zh-CN"/>
              </w:rPr>
              <w:t>TOPAZ FAMILY OFFICE LIMITED</w:t>
            </w:r>
          </w:p>
          <w:p w14:paraId="75CFA692" w14:textId="77777777" w:rsidR="003A089C" w:rsidRDefault="007C6F2A">
            <w:pPr>
              <w:autoSpaceDE w:val="0"/>
              <w:autoSpaceDN w:val="0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bidi="zh-CN"/>
              </w:rPr>
              <w:t>UG Investment Advisers</w:t>
            </w:r>
          </w:p>
        </w:tc>
      </w:tr>
      <w:tr w:rsidR="003A089C" w14:paraId="089430B6" w14:textId="77777777">
        <w:trPr>
          <w:trHeight w:val="883"/>
        </w:trPr>
        <w:tc>
          <w:tcPr>
            <w:tcW w:w="1828" w:type="dxa"/>
            <w:vAlign w:val="center"/>
          </w:tcPr>
          <w:p w14:paraId="4C93E5B3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  <w:lastRenderedPageBreak/>
              <w:t>时间</w:t>
            </w:r>
          </w:p>
        </w:tc>
        <w:tc>
          <w:tcPr>
            <w:tcW w:w="6448" w:type="dxa"/>
            <w:vAlign w:val="center"/>
          </w:tcPr>
          <w:p w14:paraId="60DFE655" w14:textId="77777777" w:rsidR="003A089C" w:rsidRDefault="007C6F2A">
            <w:pPr>
              <w:autoSpaceDE w:val="0"/>
              <w:autoSpaceDN w:val="0"/>
              <w:spacing w:line="360" w:lineRule="auto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eastAsia="en-US" w:bidi="zh-CN"/>
              </w:rPr>
              <w:t>2026</w:t>
            </w:r>
            <w:r>
              <w:rPr>
                <w:kern w:val="0"/>
                <w:sz w:val="24"/>
                <w:szCs w:val="24"/>
                <w:lang w:eastAsia="en-US" w:bidi="zh-CN"/>
              </w:rPr>
              <w:t>年</w:t>
            </w:r>
            <w:r>
              <w:rPr>
                <w:kern w:val="0"/>
                <w:sz w:val="24"/>
                <w:szCs w:val="24"/>
                <w:lang w:eastAsia="en-US" w:bidi="zh-CN"/>
              </w:rPr>
              <w:t>10</w:t>
            </w:r>
            <w:r>
              <w:rPr>
                <w:kern w:val="0"/>
                <w:sz w:val="24"/>
                <w:szCs w:val="24"/>
                <w:lang w:eastAsia="en-US" w:bidi="zh-CN"/>
              </w:rPr>
              <w:t>月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2</w:t>
            </w:r>
            <w:r>
              <w:rPr>
                <w:kern w:val="0"/>
                <w:sz w:val="24"/>
                <w:szCs w:val="24"/>
                <w:lang w:eastAsia="en-US" w:bidi="zh-CN"/>
              </w:rPr>
              <w:t>9</w:t>
            </w:r>
            <w:r>
              <w:rPr>
                <w:rFonts w:hint="eastAsia"/>
                <w:kern w:val="0"/>
                <w:sz w:val="24"/>
                <w:szCs w:val="24"/>
                <w:lang w:eastAsia="en-US" w:bidi="zh-CN"/>
              </w:rPr>
              <w:t>日</w:t>
            </w:r>
          </w:p>
        </w:tc>
      </w:tr>
      <w:tr w:rsidR="003A089C" w14:paraId="311BD3A3" w14:textId="77777777">
        <w:trPr>
          <w:trHeight w:val="861"/>
        </w:trPr>
        <w:tc>
          <w:tcPr>
            <w:tcW w:w="1828" w:type="dxa"/>
            <w:vAlign w:val="center"/>
          </w:tcPr>
          <w:p w14:paraId="381D63D3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val="zh-CN" w:eastAsia="en-US" w:bidi="zh-CN"/>
              </w:rPr>
              <w:t>地点</w:t>
            </w:r>
          </w:p>
        </w:tc>
        <w:tc>
          <w:tcPr>
            <w:tcW w:w="6448" w:type="dxa"/>
            <w:vAlign w:val="center"/>
          </w:tcPr>
          <w:p w14:paraId="5A8B67D9" w14:textId="77777777" w:rsidR="003A089C" w:rsidRDefault="007C6F2A">
            <w:pPr>
              <w:autoSpaceDE w:val="0"/>
              <w:autoSpaceDN w:val="0"/>
              <w:spacing w:line="360" w:lineRule="auto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kern w:val="0"/>
                <w:sz w:val="24"/>
                <w:szCs w:val="24"/>
                <w:lang w:bidi="zh-CN"/>
              </w:rPr>
              <w:t>公司会议室</w:t>
            </w:r>
          </w:p>
        </w:tc>
      </w:tr>
      <w:tr w:rsidR="003A089C" w14:paraId="00B036EE" w14:textId="77777777">
        <w:trPr>
          <w:trHeight w:val="971"/>
        </w:trPr>
        <w:tc>
          <w:tcPr>
            <w:tcW w:w="1828" w:type="dxa"/>
            <w:vAlign w:val="center"/>
          </w:tcPr>
          <w:p w14:paraId="1392EBF5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val="zh-CN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val="zh-CN" w:bidi="zh-CN"/>
              </w:rPr>
              <w:t>上市公司接待人员姓名</w:t>
            </w:r>
          </w:p>
        </w:tc>
        <w:tc>
          <w:tcPr>
            <w:tcW w:w="6448" w:type="dxa"/>
            <w:vAlign w:val="center"/>
          </w:tcPr>
          <w:p w14:paraId="0AD91804" w14:textId="77777777" w:rsidR="003A089C" w:rsidRDefault="007C6F2A">
            <w:pPr>
              <w:autoSpaceDE w:val="0"/>
              <w:autoSpaceDN w:val="0"/>
              <w:spacing w:line="360" w:lineRule="auto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董事、执行委员会委员、副总裁、财务总监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张新超先生</w:t>
            </w:r>
          </w:p>
          <w:p w14:paraId="0672E462" w14:textId="77777777" w:rsidR="003A089C" w:rsidRDefault="007C6F2A">
            <w:pPr>
              <w:autoSpaceDE w:val="0"/>
              <w:autoSpaceDN w:val="0"/>
              <w:spacing w:line="360" w:lineRule="auto"/>
              <w:jc w:val="left"/>
              <w:rPr>
                <w:kern w:val="0"/>
                <w:sz w:val="24"/>
                <w:szCs w:val="24"/>
                <w:lang w:bidi="zh-CN"/>
              </w:rPr>
            </w:pP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执行委员会委员、副总裁、董事会秘书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 xml:space="preserve"> </w:t>
            </w:r>
            <w:r>
              <w:rPr>
                <w:rFonts w:hint="eastAsia"/>
                <w:kern w:val="0"/>
                <w:sz w:val="24"/>
                <w:szCs w:val="24"/>
                <w:lang w:bidi="zh-CN"/>
              </w:rPr>
              <w:t>刘书杰先生</w:t>
            </w:r>
          </w:p>
        </w:tc>
      </w:tr>
      <w:tr w:rsidR="003A089C" w14:paraId="0AD0CA9F" w14:textId="77777777">
        <w:trPr>
          <w:trHeight w:val="2860"/>
        </w:trPr>
        <w:tc>
          <w:tcPr>
            <w:tcW w:w="1828" w:type="dxa"/>
            <w:vAlign w:val="center"/>
          </w:tcPr>
          <w:p w14:paraId="03380C33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val="zh-CN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val="zh-CN" w:bidi="zh-CN"/>
              </w:rPr>
              <w:lastRenderedPageBreak/>
              <w:t>投资者关系活动主要内容介绍</w:t>
            </w:r>
          </w:p>
        </w:tc>
        <w:tc>
          <w:tcPr>
            <w:tcW w:w="6448" w:type="dxa"/>
            <w:vAlign w:val="center"/>
          </w:tcPr>
          <w:p w14:paraId="1838BBCD" w14:textId="77777777" w:rsidR="003A089C" w:rsidRDefault="007C6F2A">
            <w:pPr>
              <w:spacing w:afterLines="50" w:after="156" w:line="360" w:lineRule="auto"/>
              <w:jc w:val="left"/>
              <w:rPr>
                <w:rFonts w:ascii="宋体" w:hAnsi="宋体" w:cs="宋体"/>
                <w:b/>
                <w:bCs/>
                <w:sz w:val="24"/>
                <w:szCs w:val="32"/>
              </w:rPr>
            </w:pPr>
            <w:r>
              <w:rPr>
                <w:rFonts w:ascii="宋体" w:hAnsi="宋体" w:cs="宋体" w:hint="eastAsia"/>
                <w:b/>
                <w:bCs/>
                <w:sz w:val="24"/>
                <w:szCs w:val="32"/>
              </w:rPr>
              <w:t>一、介绍公司2</w:t>
            </w:r>
            <w:r>
              <w:rPr>
                <w:rFonts w:ascii="宋体" w:hAnsi="宋体" w:cs="宋体"/>
                <w:b/>
                <w:bCs/>
                <w:sz w:val="24"/>
                <w:szCs w:val="32"/>
              </w:rPr>
              <w:t>026年前三季度</w:t>
            </w:r>
            <w:r>
              <w:rPr>
                <w:rFonts w:ascii="宋体" w:hAnsi="宋体" w:cs="宋体" w:hint="eastAsia"/>
                <w:b/>
                <w:bCs/>
                <w:sz w:val="24"/>
                <w:szCs w:val="32"/>
              </w:rPr>
              <w:t>经营情况</w:t>
            </w:r>
          </w:p>
          <w:p w14:paraId="6BFE42D9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4"/>
                <w:szCs w:val="32"/>
              </w:rPr>
              <w:t>2026年三季度公司实现营业收入</w:t>
            </w:r>
            <w:r>
              <w:rPr>
                <w:rFonts w:ascii="宋体" w:hAnsi="宋体" w:cs="宋体"/>
                <w:sz w:val="24"/>
                <w:szCs w:val="32"/>
              </w:rPr>
              <w:t>4.37</w:t>
            </w:r>
            <w:r>
              <w:rPr>
                <w:rFonts w:ascii="宋体" w:hAnsi="宋体" w:cs="宋体" w:hint="eastAsia"/>
                <w:sz w:val="24"/>
                <w:szCs w:val="32"/>
              </w:rPr>
              <w:t>亿元，同比增长</w:t>
            </w:r>
            <w:r>
              <w:rPr>
                <w:rFonts w:ascii="宋体" w:hAnsi="宋体" w:cs="宋体"/>
                <w:sz w:val="24"/>
                <w:szCs w:val="32"/>
              </w:rPr>
              <w:t>55.56</w:t>
            </w:r>
            <w:r>
              <w:rPr>
                <w:rFonts w:ascii="宋体" w:hAnsi="宋体" w:cs="宋体" w:hint="eastAsia"/>
                <w:sz w:val="24"/>
                <w:szCs w:val="32"/>
              </w:rPr>
              <w:t>%，前三季度实现营业收入</w:t>
            </w:r>
            <w:r>
              <w:rPr>
                <w:rFonts w:ascii="宋体" w:hAnsi="宋体" w:cs="宋体"/>
                <w:sz w:val="24"/>
                <w:szCs w:val="32"/>
              </w:rPr>
              <w:t>13.34</w:t>
            </w:r>
            <w:r>
              <w:rPr>
                <w:rFonts w:ascii="宋体" w:hAnsi="宋体" w:cs="宋体" w:hint="eastAsia"/>
                <w:sz w:val="24"/>
                <w:szCs w:val="32"/>
              </w:rPr>
              <w:t>亿元，同比增长</w:t>
            </w:r>
            <w:r>
              <w:rPr>
                <w:rFonts w:ascii="宋体" w:hAnsi="宋体" w:cs="宋体"/>
                <w:sz w:val="24"/>
                <w:szCs w:val="32"/>
              </w:rPr>
              <w:t>34.73</w:t>
            </w:r>
            <w:r>
              <w:rPr>
                <w:rFonts w:ascii="宋体" w:hAnsi="宋体" w:cs="宋体" w:hint="eastAsia"/>
                <w:sz w:val="24"/>
                <w:szCs w:val="32"/>
              </w:rPr>
              <w:t>%。2026年前三季度实现归母净利润-</w:t>
            </w:r>
            <w:r>
              <w:rPr>
                <w:rFonts w:ascii="宋体" w:hAnsi="宋体" w:cs="宋体"/>
                <w:sz w:val="24"/>
                <w:szCs w:val="32"/>
              </w:rPr>
              <w:t>5499.65</w:t>
            </w:r>
            <w:r>
              <w:rPr>
                <w:rFonts w:ascii="宋体" w:hAnsi="宋体" w:cs="宋体" w:hint="eastAsia"/>
                <w:sz w:val="24"/>
                <w:szCs w:val="32"/>
              </w:rPr>
              <w:t>万元，前三季度经营活动产生的现金流量净额-4.</w:t>
            </w:r>
            <w:r>
              <w:rPr>
                <w:rFonts w:ascii="宋体" w:hAnsi="宋体" w:cs="宋体"/>
                <w:sz w:val="24"/>
                <w:szCs w:val="32"/>
              </w:rPr>
              <w:t>47</w:t>
            </w:r>
            <w:r>
              <w:rPr>
                <w:rFonts w:ascii="宋体" w:hAnsi="宋体" w:cs="宋体" w:hint="eastAsia"/>
                <w:sz w:val="24"/>
                <w:szCs w:val="32"/>
              </w:rPr>
              <w:t>亿元。</w:t>
            </w:r>
          </w:p>
          <w:p w14:paraId="1457730C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4"/>
                <w:szCs w:val="32"/>
              </w:rPr>
              <w:t>研发方面，公司三季度研发投入超1亿元，单季度研发投入占营业收入的比例为2</w:t>
            </w:r>
            <w:r>
              <w:rPr>
                <w:rFonts w:ascii="宋体" w:hAnsi="宋体" w:cs="宋体"/>
                <w:sz w:val="24"/>
                <w:szCs w:val="32"/>
              </w:rPr>
              <w:t>3.78%</w:t>
            </w:r>
            <w:r>
              <w:rPr>
                <w:rFonts w:ascii="宋体" w:hAnsi="宋体" w:cs="宋体" w:hint="eastAsia"/>
                <w:sz w:val="24"/>
                <w:szCs w:val="32"/>
              </w:rPr>
              <w:t>。前三季度累计研发投入2.</w:t>
            </w:r>
            <w:r>
              <w:rPr>
                <w:rFonts w:ascii="宋体" w:hAnsi="宋体" w:cs="宋体"/>
                <w:sz w:val="24"/>
                <w:szCs w:val="32"/>
              </w:rPr>
              <w:t>57亿，</w:t>
            </w:r>
            <w:r>
              <w:rPr>
                <w:rFonts w:ascii="宋体" w:hAnsi="宋体" w:cs="宋体" w:hint="eastAsia"/>
                <w:sz w:val="24"/>
                <w:szCs w:val="32"/>
              </w:rPr>
              <w:t>累计研发投入占营业收入的比例为1</w:t>
            </w:r>
            <w:r>
              <w:rPr>
                <w:rFonts w:ascii="宋体" w:hAnsi="宋体" w:cs="宋体"/>
                <w:sz w:val="24"/>
                <w:szCs w:val="32"/>
              </w:rPr>
              <w:t>9.3%。研发投入处于较高水平。</w:t>
            </w:r>
          </w:p>
          <w:p w14:paraId="79E562B5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 w:hint="eastAsia"/>
                <w:sz w:val="24"/>
                <w:szCs w:val="32"/>
              </w:rPr>
              <w:t>签单方面，前三季度公司签单继续保持增长态势，三季度单季度签单同比环比均有较大幅度增长。存货、合同负债等同步增长。</w:t>
            </w:r>
          </w:p>
          <w:p w14:paraId="223EB355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/>
                <w:sz w:val="24"/>
                <w:szCs w:val="32"/>
              </w:rPr>
              <w:t>费用方面，由于签单向收入转化需要一定周期，叠加公司现阶段收入规模相对偏小，各项费用投入前置等因素，公司整体费用率</w:t>
            </w:r>
            <w:r>
              <w:rPr>
                <w:rFonts w:ascii="宋体" w:hAnsi="宋体" w:cs="宋体" w:hint="eastAsia"/>
                <w:sz w:val="24"/>
                <w:szCs w:val="32"/>
              </w:rPr>
              <w:t>相对</w:t>
            </w:r>
            <w:r>
              <w:rPr>
                <w:rFonts w:ascii="宋体" w:hAnsi="宋体" w:cs="宋体"/>
                <w:sz w:val="24"/>
                <w:szCs w:val="32"/>
              </w:rPr>
              <w:t>较高。</w:t>
            </w:r>
          </w:p>
          <w:p w14:paraId="4BAE9DCC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/>
                <w:sz w:val="24"/>
                <w:szCs w:val="32"/>
              </w:rPr>
              <w:t>毛利率方面，</w:t>
            </w:r>
            <w:r>
              <w:rPr>
                <w:rFonts w:ascii="宋体" w:hAnsi="宋体" w:cs="宋体" w:hint="eastAsia"/>
                <w:sz w:val="24"/>
                <w:szCs w:val="32"/>
              </w:rPr>
              <w:t>封装品类</w:t>
            </w:r>
            <w:r>
              <w:rPr>
                <w:rFonts w:ascii="宋体" w:hAnsi="宋体" w:cs="宋体"/>
                <w:sz w:val="24"/>
                <w:szCs w:val="32"/>
              </w:rPr>
              <w:t>对战略客户进行适当让利，产品订单毛利率有所下滑</w:t>
            </w:r>
            <w:r>
              <w:rPr>
                <w:rFonts w:ascii="宋体" w:hAnsi="宋体" w:cs="宋体" w:hint="eastAsia"/>
                <w:sz w:val="24"/>
                <w:szCs w:val="32"/>
              </w:rPr>
              <w:t>，</w:t>
            </w:r>
            <w:r>
              <w:rPr>
                <w:rFonts w:ascii="宋体" w:hAnsi="宋体" w:cs="宋体"/>
                <w:sz w:val="24"/>
                <w:szCs w:val="32"/>
              </w:rPr>
              <w:t>未来</w:t>
            </w:r>
            <w:r>
              <w:rPr>
                <w:rFonts w:ascii="宋体" w:hAnsi="宋体" w:cs="宋体" w:hint="eastAsia"/>
                <w:sz w:val="24"/>
                <w:szCs w:val="32"/>
              </w:rPr>
              <w:t>将</w:t>
            </w:r>
            <w:r>
              <w:rPr>
                <w:rFonts w:ascii="宋体" w:hAnsi="宋体" w:cs="宋体"/>
                <w:sz w:val="24"/>
                <w:szCs w:val="32"/>
              </w:rPr>
              <w:t>通过持续降本和精细化运营，</w:t>
            </w:r>
            <w:r>
              <w:rPr>
                <w:rFonts w:ascii="宋体" w:hAnsi="宋体" w:cs="宋体" w:hint="eastAsia"/>
                <w:sz w:val="24"/>
                <w:szCs w:val="32"/>
              </w:rPr>
              <w:t>助推</w:t>
            </w:r>
            <w:r>
              <w:rPr>
                <w:rFonts w:ascii="宋体" w:hAnsi="宋体" w:cs="宋体"/>
                <w:sz w:val="24"/>
                <w:szCs w:val="32"/>
              </w:rPr>
              <w:t>封装产品毛利率回到合理水平。此外，公司</w:t>
            </w:r>
            <w:r>
              <w:rPr>
                <w:rFonts w:ascii="宋体" w:hAnsi="宋体" w:cs="宋体" w:hint="eastAsia"/>
                <w:sz w:val="24"/>
                <w:szCs w:val="32"/>
              </w:rPr>
              <w:t>新产品</w:t>
            </w:r>
            <w:r>
              <w:rPr>
                <w:rFonts w:ascii="宋体" w:hAnsi="宋体" w:cs="宋体"/>
                <w:sz w:val="24"/>
                <w:szCs w:val="32"/>
              </w:rPr>
              <w:t>化学清洗机</w:t>
            </w:r>
            <w:r>
              <w:rPr>
                <w:rFonts w:ascii="宋体" w:hAnsi="宋体" w:cs="宋体" w:hint="eastAsia"/>
                <w:sz w:val="24"/>
                <w:szCs w:val="32"/>
              </w:rPr>
              <w:t>签单高速增长，</w:t>
            </w:r>
            <w:r>
              <w:rPr>
                <w:rFonts w:ascii="宋体" w:hAnsi="宋体" w:cs="宋体"/>
                <w:sz w:val="24"/>
                <w:szCs w:val="32"/>
              </w:rPr>
              <w:t>客户端渗透率</w:t>
            </w:r>
            <w:r>
              <w:rPr>
                <w:rFonts w:ascii="宋体" w:hAnsi="宋体" w:cs="宋体" w:hint="eastAsia"/>
                <w:sz w:val="24"/>
                <w:szCs w:val="32"/>
              </w:rPr>
              <w:t>快速提升</w:t>
            </w:r>
            <w:r>
              <w:rPr>
                <w:rFonts w:ascii="宋体" w:hAnsi="宋体" w:cs="宋体"/>
                <w:sz w:val="24"/>
                <w:szCs w:val="32"/>
              </w:rPr>
              <w:t>，</w:t>
            </w:r>
            <w:r>
              <w:rPr>
                <w:rFonts w:ascii="宋体" w:hAnsi="宋体" w:cs="宋体" w:hint="eastAsia"/>
                <w:sz w:val="24"/>
                <w:szCs w:val="32"/>
              </w:rPr>
              <w:t>不同产品初期毛利率差异较大，整体毛利率后续仍有较大提升空间</w:t>
            </w:r>
            <w:r>
              <w:rPr>
                <w:rFonts w:ascii="宋体" w:hAnsi="宋体" w:cs="宋体"/>
                <w:sz w:val="24"/>
                <w:szCs w:val="32"/>
              </w:rPr>
              <w:t>。综合前述因素</w:t>
            </w:r>
            <w:r>
              <w:rPr>
                <w:rFonts w:ascii="宋体" w:hAnsi="宋体" w:cs="宋体" w:hint="eastAsia"/>
                <w:sz w:val="24"/>
                <w:szCs w:val="32"/>
              </w:rPr>
              <w:t>及收入结构</w:t>
            </w:r>
            <w:r>
              <w:rPr>
                <w:rFonts w:ascii="宋体" w:hAnsi="宋体" w:cs="宋体"/>
                <w:sz w:val="24"/>
                <w:szCs w:val="32"/>
              </w:rPr>
              <w:t>，公司前三季度毛利率阶段性承压。</w:t>
            </w:r>
          </w:p>
          <w:p w14:paraId="6F666B43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/>
                <w:sz w:val="24"/>
                <w:szCs w:val="32"/>
              </w:rPr>
              <w:t>生产方面，行业景气度</w:t>
            </w:r>
            <w:r>
              <w:rPr>
                <w:rFonts w:ascii="宋体" w:hAnsi="宋体" w:cs="宋体" w:hint="eastAsia"/>
                <w:sz w:val="24"/>
                <w:szCs w:val="32"/>
              </w:rPr>
              <w:t>依然维持较</w:t>
            </w:r>
            <w:r>
              <w:rPr>
                <w:rFonts w:ascii="宋体" w:hAnsi="宋体" w:cs="宋体"/>
                <w:sz w:val="24"/>
                <w:szCs w:val="32"/>
              </w:rPr>
              <w:t>高</w:t>
            </w:r>
            <w:r>
              <w:rPr>
                <w:rFonts w:ascii="宋体" w:hAnsi="宋体" w:cs="宋体" w:hint="eastAsia"/>
                <w:sz w:val="24"/>
                <w:szCs w:val="32"/>
              </w:rPr>
              <w:t>状态</w:t>
            </w:r>
            <w:r>
              <w:rPr>
                <w:rFonts w:ascii="宋体" w:hAnsi="宋体" w:cs="宋体"/>
                <w:sz w:val="24"/>
                <w:szCs w:val="32"/>
              </w:rPr>
              <w:t>，客户端对机台需求</w:t>
            </w:r>
            <w:r>
              <w:rPr>
                <w:rFonts w:ascii="宋体" w:hAnsi="宋体" w:cs="宋体" w:hint="eastAsia"/>
                <w:sz w:val="24"/>
                <w:szCs w:val="32"/>
              </w:rPr>
              <w:t>的</w:t>
            </w:r>
            <w:r>
              <w:rPr>
                <w:rFonts w:ascii="宋体" w:hAnsi="宋体" w:cs="宋体"/>
                <w:sz w:val="24"/>
                <w:szCs w:val="32"/>
              </w:rPr>
              <w:t>紧迫性</w:t>
            </w:r>
            <w:r>
              <w:rPr>
                <w:rFonts w:ascii="宋体" w:hAnsi="宋体" w:cs="宋体" w:hint="eastAsia"/>
                <w:sz w:val="24"/>
                <w:szCs w:val="32"/>
              </w:rPr>
              <w:t>和持续性</w:t>
            </w:r>
            <w:r>
              <w:rPr>
                <w:rFonts w:ascii="宋体" w:hAnsi="宋体" w:cs="宋体"/>
                <w:sz w:val="24"/>
                <w:szCs w:val="32"/>
              </w:rPr>
              <w:t>强，公司整体生产处于超负荷状态，正在加快</w:t>
            </w:r>
            <w:r>
              <w:rPr>
                <w:rFonts w:ascii="宋体" w:hAnsi="宋体" w:cs="宋体" w:hint="eastAsia"/>
                <w:sz w:val="24"/>
                <w:szCs w:val="32"/>
              </w:rPr>
              <w:t>推进</w:t>
            </w:r>
            <w:r>
              <w:rPr>
                <w:rFonts w:ascii="宋体" w:hAnsi="宋体" w:cs="宋体"/>
                <w:sz w:val="24"/>
                <w:szCs w:val="32"/>
              </w:rPr>
              <w:t>客户订单交付，保障全年营收目标实现。</w:t>
            </w:r>
          </w:p>
          <w:p w14:paraId="215C0C1C" w14:textId="77777777" w:rsidR="003A089C" w:rsidRDefault="007C6F2A">
            <w:pPr>
              <w:spacing w:afterLines="50" w:after="156" w:line="360" w:lineRule="auto"/>
              <w:ind w:firstLineChars="200" w:firstLine="480"/>
              <w:rPr>
                <w:rFonts w:ascii="宋体" w:hAnsi="宋体" w:cs="宋体"/>
                <w:sz w:val="24"/>
                <w:szCs w:val="32"/>
              </w:rPr>
            </w:pPr>
            <w:r>
              <w:rPr>
                <w:rFonts w:ascii="宋体" w:hAnsi="宋体" w:cs="宋体"/>
                <w:sz w:val="24"/>
                <w:szCs w:val="32"/>
              </w:rPr>
              <w:t>国产替代方面，海外厂商在半导体设备和零部件方面整体市占率仍</w:t>
            </w:r>
            <w:r>
              <w:rPr>
                <w:rFonts w:ascii="宋体" w:hAnsi="宋体" w:cs="宋体" w:hint="eastAsia"/>
                <w:sz w:val="24"/>
                <w:szCs w:val="32"/>
              </w:rPr>
              <w:t>然</w:t>
            </w:r>
            <w:r>
              <w:rPr>
                <w:rFonts w:ascii="宋体" w:hAnsi="宋体" w:cs="宋体"/>
                <w:sz w:val="24"/>
                <w:szCs w:val="32"/>
              </w:rPr>
              <w:t>较高，公司所处的涂胶显影、化学清洗等</w:t>
            </w:r>
            <w:r>
              <w:rPr>
                <w:rFonts w:ascii="宋体" w:hAnsi="宋体" w:cs="宋体" w:hint="eastAsia"/>
                <w:sz w:val="24"/>
                <w:szCs w:val="32"/>
              </w:rPr>
              <w:t>领域</w:t>
            </w:r>
            <w:r>
              <w:rPr>
                <w:rFonts w:ascii="宋体" w:hAnsi="宋体" w:cs="宋体"/>
                <w:sz w:val="24"/>
                <w:szCs w:val="32"/>
              </w:rPr>
              <w:t>国产替代的空间</w:t>
            </w:r>
            <w:r>
              <w:rPr>
                <w:rFonts w:ascii="宋体" w:hAnsi="宋体" w:cs="宋体" w:hint="eastAsia"/>
                <w:sz w:val="24"/>
                <w:szCs w:val="32"/>
              </w:rPr>
              <w:t>很</w:t>
            </w:r>
            <w:r>
              <w:rPr>
                <w:rFonts w:ascii="宋体" w:hAnsi="宋体" w:cs="宋体"/>
                <w:sz w:val="24"/>
                <w:szCs w:val="32"/>
              </w:rPr>
              <w:t>大</w:t>
            </w:r>
            <w:r>
              <w:rPr>
                <w:rFonts w:ascii="宋体" w:hAnsi="宋体" w:cs="宋体" w:hint="eastAsia"/>
                <w:sz w:val="24"/>
                <w:szCs w:val="32"/>
              </w:rPr>
              <w:t>，</w:t>
            </w:r>
            <w:r>
              <w:rPr>
                <w:rFonts w:ascii="宋体" w:hAnsi="宋体" w:cs="宋体"/>
                <w:sz w:val="24"/>
                <w:szCs w:val="32"/>
              </w:rPr>
              <w:t>对未来几年的订单</w:t>
            </w:r>
            <w:r>
              <w:rPr>
                <w:rFonts w:ascii="宋体" w:hAnsi="宋体" w:cs="宋体" w:hint="eastAsia"/>
                <w:sz w:val="24"/>
                <w:szCs w:val="32"/>
              </w:rPr>
              <w:t>增长</w:t>
            </w:r>
            <w:r>
              <w:rPr>
                <w:rFonts w:ascii="宋体" w:hAnsi="宋体" w:cs="宋体"/>
                <w:sz w:val="24"/>
                <w:szCs w:val="32"/>
              </w:rPr>
              <w:t>和市场份额</w:t>
            </w:r>
            <w:r>
              <w:rPr>
                <w:rFonts w:ascii="宋体" w:hAnsi="宋体" w:cs="宋体" w:hint="eastAsia"/>
                <w:sz w:val="24"/>
                <w:szCs w:val="32"/>
              </w:rPr>
              <w:t>提升</w:t>
            </w:r>
            <w:r>
              <w:rPr>
                <w:rFonts w:ascii="宋体" w:hAnsi="宋体" w:cs="宋体"/>
                <w:sz w:val="24"/>
                <w:szCs w:val="32"/>
              </w:rPr>
              <w:lastRenderedPageBreak/>
              <w:t>充满信心，</w:t>
            </w:r>
            <w:r>
              <w:rPr>
                <w:rFonts w:ascii="宋体" w:hAnsi="宋体" w:cs="宋体" w:hint="eastAsia"/>
                <w:sz w:val="24"/>
                <w:szCs w:val="32"/>
              </w:rPr>
              <w:t>希望广大投资者能够继续支持芯源微的发展，公司也将继续为投资者带来增量价值，感谢大家的参与！</w:t>
            </w:r>
          </w:p>
          <w:p w14:paraId="634959FF" w14:textId="77777777" w:rsidR="003A089C" w:rsidRDefault="007C6F2A">
            <w:pPr>
              <w:spacing w:afterLines="50" w:after="156" w:line="360" w:lineRule="auto"/>
              <w:jc w:val="left"/>
              <w:rPr>
                <w:rFonts w:ascii="宋体" w:hAnsi="宋体" w:cs="宋体"/>
                <w:b/>
                <w:bCs/>
                <w:sz w:val="24"/>
                <w:szCs w:val="32"/>
              </w:rPr>
            </w:pPr>
            <w:r>
              <w:rPr>
                <w:rFonts w:ascii="monospace" w:eastAsia="monospace" w:hAnsi="monospace" w:cs="monospace"/>
                <w:b/>
                <w:bCs/>
                <w:sz w:val="24"/>
                <w:szCs w:val="24"/>
                <w:shd w:val="clear" w:color="auto" w:fill="FFFFFF"/>
              </w:rPr>
              <w:t>二、互动交流</w:t>
            </w:r>
          </w:p>
          <w:p w14:paraId="100E84F3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Q1</w:t>
            </w:r>
            <w:r>
              <w:rPr>
                <w:b/>
                <w:bCs/>
                <w:sz w:val="24"/>
                <w:szCs w:val="24"/>
              </w:rPr>
              <w:t>：公司涂胶显影设备新机型进展及预期</w:t>
            </w:r>
            <w:r>
              <w:rPr>
                <w:rFonts w:hint="eastAsia"/>
                <w:b/>
                <w:bCs/>
                <w:sz w:val="24"/>
                <w:szCs w:val="24"/>
              </w:rPr>
              <w:t>？</w:t>
            </w:r>
          </w:p>
          <w:p w14:paraId="180F14AE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A1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公司前道</w:t>
            </w:r>
            <w:r>
              <w:rPr>
                <w:bCs/>
                <w:sz w:val="24"/>
                <w:szCs w:val="24"/>
              </w:rPr>
              <w:t>涂胶显影设备新机型</w:t>
            </w:r>
            <w:r>
              <w:rPr>
                <w:rFonts w:hint="eastAsia"/>
                <w:bCs/>
                <w:sz w:val="24"/>
                <w:szCs w:val="24"/>
              </w:rPr>
              <w:t>客户端验证及导入</w:t>
            </w:r>
            <w:r>
              <w:rPr>
                <w:bCs/>
                <w:sz w:val="24"/>
                <w:szCs w:val="24"/>
              </w:rPr>
              <w:t>进展顺利，今年是公司新机型的验证大年，</w:t>
            </w:r>
            <w:r>
              <w:rPr>
                <w:rFonts w:hint="eastAsia"/>
                <w:bCs/>
                <w:sz w:val="24"/>
                <w:szCs w:val="24"/>
              </w:rPr>
              <w:t>预计</w:t>
            </w:r>
            <w:r>
              <w:rPr>
                <w:bCs/>
                <w:sz w:val="24"/>
                <w:szCs w:val="24"/>
              </w:rPr>
              <w:t>明年将开始</w:t>
            </w:r>
            <w:r>
              <w:rPr>
                <w:rFonts w:hint="eastAsia"/>
                <w:bCs/>
                <w:sz w:val="24"/>
                <w:szCs w:val="24"/>
              </w:rPr>
              <w:t>陆续起</w:t>
            </w:r>
            <w:r>
              <w:rPr>
                <w:bCs/>
                <w:sz w:val="24"/>
                <w:szCs w:val="24"/>
              </w:rPr>
              <w:t>量</w:t>
            </w:r>
            <w:r>
              <w:rPr>
                <w:rFonts w:hint="eastAsia"/>
                <w:sz w:val="24"/>
                <w:szCs w:val="24"/>
              </w:rPr>
              <w:t>。从签单结构来看，明年公司有望形成前道涂胶显影</w:t>
            </w:r>
            <w:r>
              <w:rPr>
                <w:sz w:val="24"/>
                <w:szCs w:val="24"/>
              </w:rPr>
              <w:t>、前道化学清洗</w:t>
            </w:r>
            <w:r>
              <w:rPr>
                <w:rFonts w:hint="eastAsia"/>
                <w:sz w:val="24"/>
                <w:szCs w:val="24"/>
              </w:rPr>
              <w:t>、</w:t>
            </w:r>
            <w:r>
              <w:rPr>
                <w:sz w:val="24"/>
                <w:szCs w:val="24"/>
              </w:rPr>
              <w:t>后道先进封装三领域共振状态。</w:t>
            </w:r>
          </w:p>
          <w:p w14:paraId="159905BF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Q</w:t>
            </w:r>
            <w:r>
              <w:rPr>
                <w:rFonts w:hint="eastAsia"/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：清洗设备的市场份额、未来展望及盈利水平？</w:t>
            </w:r>
          </w:p>
          <w:p w14:paraId="2A7E1C26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</w:t>
            </w:r>
            <w:r>
              <w:rPr>
                <w:rFonts w:hint="eastAsia"/>
                <w:b/>
                <w:bCs/>
                <w:sz w:val="24"/>
                <w:szCs w:val="24"/>
              </w:rPr>
              <w:t>2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公司清洗设备采取“高带低”策略</w:t>
            </w:r>
            <w:r>
              <w:rPr>
                <w:rFonts w:hint="eastAsia"/>
                <w:sz w:val="24"/>
                <w:szCs w:val="24"/>
              </w:rPr>
              <w:t>，先突破高端设备，填补国内高端清洗产品空白，在客户端整体市占率快速提升。同时，</w:t>
            </w:r>
            <w:r>
              <w:rPr>
                <w:sz w:val="24"/>
                <w:szCs w:val="24"/>
              </w:rPr>
              <w:t>也在</w:t>
            </w:r>
            <w:r>
              <w:rPr>
                <w:rFonts w:hint="eastAsia"/>
                <w:sz w:val="24"/>
                <w:szCs w:val="24"/>
              </w:rPr>
              <w:t>积极</w:t>
            </w:r>
            <w:r>
              <w:rPr>
                <w:sz w:val="24"/>
                <w:szCs w:val="24"/>
              </w:rPr>
              <w:t>推进中低端设备的销售，今年化学清洗机的新签订单中，已经有比较可观的一部分是中低端设备。清洗设备的市场空间</w:t>
            </w:r>
            <w:r>
              <w:rPr>
                <w:rFonts w:hint="eastAsia"/>
                <w:sz w:val="24"/>
                <w:szCs w:val="24"/>
              </w:rPr>
              <w:t>足够</w:t>
            </w:r>
            <w:r>
              <w:rPr>
                <w:sz w:val="24"/>
                <w:szCs w:val="24"/>
              </w:rPr>
              <w:t>大，并且随着未来加工工艺精细化、高端化，清洗设备的用量、价值量及高端设备的需求量</w:t>
            </w:r>
            <w:r>
              <w:rPr>
                <w:rFonts w:hint="eastAsia"/>
                <w:sz w:val="24"/>
                <w:szCs w:val="24"/>
              </w:rPr>
              <w:t>也将</w:t>
            </w:r>
            <w:r>
              <w:rPr>
                <w:sz w:val="24"/>
                <w:szCs w:val="24"/>
              </w:rPr>
              <w:t>逐步提升。考虑到公司</w:t>
            </w:r>
            <w:r>
              <w:rPr>
                <w:rFonts w:hint="eastAsia"/>
                <w:sz w:val="24"/>
                <w:szCs w:val="24"/>
              </w:rPr>
              <w:t>产品切入客户端时间不长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部分清洗产品毛利率尚未达到理想水平，</w:t>
            </w:r>
            <w:r>
              <w:rPr>
                <w:sz w:val="24"/>
                <w:szCs w:val="24"/>
              </w:rPr>
              <w:t>随着公司加快推进国产零部件的验证和导入，产品毛利率</w:t>
            </w:r>
            <w:r>
              <w:rPr>
                <w:rFonts w:hint="eastAsia"/>
                <w:sz w:val="24"/>
                <w:szCs w:val="24"/>
              </w:rPr>
              <w:t>预计</w:t>
            </w:r>
            <w:r>
              <w:rPr>
                <w:sz w:val="24"/>
                <w:szCs w:val="24"/>
              </w:rPr>
              <w:t>将</w:t>
            </w:r>
            <w:r>
              <w:rPr>
                <w:rFonts w:hint="eastAsia"/>
                <w:sz w:val="24"/>
                <w:szCs w:val="24"/>
              </w:rPr>
              <w:t>陆续</w:t>
            </w:r>
            <w:r>
              <w:rPr>
                <w:sz w:val="24"/>
                <w:szCs w:val="24"/>
              </w:rPr>
              <w:t>修复。</w:t>
            </w:r>
          </w:p>
          <w:p w14:paraId="638BBE74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rFonts w:hint="eastAsia"/>
                <w:b/>
                <w:bCs/>
                <w:sz w:val="24"/>
                <w:szCs w:val="24"/>
              </w:rPr>
              <w:t>：四季度收入情况及产品交付展望？</w:t>
            </w:r>
          </w:p>
          <w:p w14:paraId="1453A6EA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3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今年</w:t>
            </w:r>
            <w:r>
              <w:rPr>
                <w:rFonts w:hint="eastAsia"/>
                <w:sz w:val="24"/>
                <w:szCs w:val="24"/>
              </w:rPr>
              <w:t>下游客户扩产积极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公司新签订单快速增长，</w:t>
            </w:r>
            <w:r>
              <w:rPr>
                <w:sz w:val="24"/>
                <w:szCs w:val="24"/>
              </w:rPr>
              <w:t>交付压力</w:t>
            </w:r>
            <w:r>
              <w:rPr>
                <w:rFonts w:hint="eastAsia"/>
                <w:sz w:val="24"/>
                <w:szCs w:val="24"/>
              </w:rPr>
              <w:t>陡增</w:t>
            </w:r>
            <w:r>
              <w:rPr>
                <w:sz w:val="24"/>
                <w:szCs w:val="24"/>
              </w:rPr>
              <w:t>。公司通过滚动预投</w:t>
            </w:r>
            <w:r>
              <w:rPr>
                <w:rFonts w:hint="eastAsia"/>
                <w:sz w:val="24"/>
                <w:szCs w:val="24"/>
              </w:rPr>
              <w:t>、战略预投等</w:t>
            </w:r>
            <w:r>
              <w:rPr>
                <w:sz w:val="24"/>
                <w:szCs w:val="24"/>
              </w:rPr>
              <w:t>方式</w:t>
            </w:r>
            <w:r>
              <w:rPr>
                <w:rFonts w:hint="eastAsia"/>
                <w:sz w:val="24"/>
                <w:szCs w:val="24"/>
              </w:rPr>
              <w:t>持续对核心部件等开展战略性</w:t>
            </w:r>
            <w:r>
              <w:rPr>
                <w:sz w:val="24"/>
                <w:szCs w:val="24"/>
              </w:rPr>
              <w:t>备货，缓解</w:t>
            </w:r>
            <w:r>
              <w:rPr>
                <w:rFonts w:hint="eastAsia"/>
                <w:sz w:val="24"/>
                <w:szCs w:val="24"/>
              </w:rPr>
              <w:t>因物料拖期对</w:t>
            </w:r>
            <w:r>
              <w:rPr>
                <w:sz w:val="24"/>
                <w:szCs w:val="24"/>
              </w:rPr>
              <w:t>机台</w:t>
            </w:r>
            <w:r>
              <w:rPr>
                <w:rFonts w:hint="eastAsia"/>
                <w:sz w:val="24"/>
                <w:szCs w:val="24"/>
              </w:rPr>
              <w:t>交付产生</w:t>
            </w:r>
            <w:r>
              <w:rPr>
                <w:sz w:val="24"/>
                <w:szCs w:val="24"/>
              </w:rPr>
              <w:t>的压力。同时</w:t>
            </w:r>
            <w:r>
              <w:rPr>
                <w:rFonts w:hint="eastAsia"/>
                <w:sz w:val="24"/>
                <w:szCs w:val="24"/>
              </w:rPr>
              <w:t>也在</w:t>
            </w:r>
            <w:r>
              <w:rPr>
                <w:sz w:val="24"/>
                <w:szCs w:val="24"/>
              </w:rPr>
              <w:t>加快对国产零部件的验证和导入，保证供应链安全并降低成本。展望四季度，依然是公司全年收入确认的</w:t>
            </w:r>
            <w:r>
              <w:rPr>
                <w:rFonts w:hint="eastAsia"/>
                <w:sz w:val="24"/>
                <w:szCs w:val="24"/>
              </w:rPr>
              <w:t>主要阶段</w:t>
            </w:r>
            <w:r>
              <w:rPr>
                <w:sz w:val="24"/>
                <w:szCs w:val="24"/>
              </w:rPr>
              <w:t>，公司</w:t>
            </w:r>
            <w:r>
              <w:rPr>
                <w:rFonts w:hint="eastAsia"/>
                <w:sz w:val="24"/>
                <w:szCs w:val="24"/>
              </w:rPr>
              <w:t>存量</w:t>
            </w:r>
            <w:r>
              <w:rPr>
                <w:sz w:val="24"/>
                <w:szCs w:val="24"/>
              </w:rPr>
              <w:t>订单资源充足</w:t>
            </w:r>
            <w:r>
              <w:rPr>
                <w:rFonts w:hint="eastAsia"/>
                <w:sz w:val="24"/>
                <w:szCs w:val="24"/>
              </w:rPr>
              <w:t>，能够保障全年交付目标的实现</w:t>
            </w:r>
            <w:r>
              <w:rPr>
                <w:sz w:val="24"/>
                <w:szCs w:val="24"/>
              </w:rPr>
              <w:t>。</w:t>
            </w:r>
          </w:p>
          <w:p w14:paraId="540B6D88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lastRenderedPageBreak/>
              <w:t>Q</w:t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rFonts w:hint="eastAsia"/>
                <w:b/>
                <w:bCs/>
                <w:sz w:val="24"/>
                <w:szCs w:val="24"/>
              </w:rPr>
              <w:t>：全年签单和明年签单展望？</w:t>
            </w:r>
          </w:p>
          <w:p w14:paraId="100646E9" w14:textId="77777777" w:rsidR="003A089C" w:rsidRDefault="007C6F2A">
            <w:pPr>
              <w:spacing w:afterLines="50" w:after="156" w:line="360" w:lineRule="auto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4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公司预计明年</w:t>
            </w:r>
            <w:r>
              <w:rPr>
                <w:sz w:val="24"/>
                <w:szCs w:val="24"/>
              </w:rPr>
              <w:t>下游客</w:t>
            </w:r>
            <w:r>
              <w:rPr>
                <w:bCs/>
                <w:sz w:val="24"/>
                <w:szCs w:val="24"/>
              </w:rPr>
              <w:t>户扩产</w:t>
            </w:r>
            <w:r>
              <w:rPr>
                <w:rFonts w:hint="eastAsia"/>
                <w:bCs/>
                <w:sz w:val="24"/>
                <w:szCs w:val="24"/>
              </w:rPr>
              <w:t>量级</w:t>
            </w:r>
            <w:r>
              <w:rPr>
                <w:bCs/>
                <w:sz w:val="24"/>
                <w:szCs w:val="24"/>
              </w:rPr>
              <w:t>依然较大</w:t>
            </w:r>
            <w:r>
              <w:rPr>
                <w:sz w:val="24"/>
                <w:szCs w:val="24"/>
              </w:rPr>
              <w:t>。后道市场</w:t>
            </w:r>
            <w:r>
              <w:rPr>
                <w:rFonts w:hint="eastAsia"/>
                <w:sz w:val="24"/>
                <w:szCs w:val="24"/>
              </w:rPr>
              <w:t>规模</w:t>
            </w:r>
            <w:r>
              <w:rPr>
                <w:sz w:val="24"/>
                <w:szCs w:val="24"/>
              </w:rPr>
              <w:t>随着端封装的发展持续提升，</w:t>
            </w:r>
            <w:r>
              <w:rPr>
                <w:rFonts w:hint="eastAsia"/>
                <w:sz w:val="24"/>
                <w:szCs w:val="24"/>
              </w:rPr>
              <w:t>叠加公司对临时键合等新品类的持续拓展，预计</w:t>
            </w:r>
            <w:r>
              <w:rPr>
                <w:sz w:val="24"/>
                <w:szCs w:val="24"/>
              </w:rPr>
              <w:t>公司后道</w:t>
            </w:r>
            <w:r>
              <w:rPr>
                <w:rFonts w:hint="eastAsia"/>
                <w:sz w:val="24"/>
                <w:szCs w:val="24"/>
              </w:rPr>
              <w:t>高端封装</w:t>
            </w:r>
            <w:r>
              <w:rPr>
                <w:sz w:val="24"/>
                <w:szCs w:val="24"/>
              </w:rPr>
              <w:t>订单</w:t>
            </w:r>
            <w:r>
              <w:rPr>
                <w:rFonts w:hint="eastAsia"/>
                <w:sz w:val="24"/>
                <w:szCs w:val="24"/>
              </w:rPr>
              <w:t>将</w:t>
            </w:r>
            <w:r>
              <w:rPr>
                <w:sz w:val="24"/>
                <w:szCs w:val="24"/>
              </w:rPr>
              <w:t>持续增长。</w:t>
            </w:r>
            <w:r>
              <w:rPr>
                <w:rFonts w:hint="eastAsia"/>
                <w:sz w:val="24"/>
                <w:szCs w:val="24"/>
              </w:rPr>
              <w:t>此外，</w:t>
            </w:r>
            <w:r>
              <w:rPr>
                <w:sz w:val="24"/>
                <w:szCs w:val="24"/>
              </w:rPr>
              <w:t>公司前道产品</w:t>
            </w:r>
            <w:r>
              <w:rPr>
                <w:rFonts w:hint="eastAsia"/>
                <w:sz w:val="24"/>
                <w:szCs w:val="24"/>
              </w:rPr>
              <w:t>整体市占率仍然</w:t>
            </w:r>
            <w:r>
              <w:rPr>
                <w:sz w:val="24"/>
                <w:szCs w:val="24"/>
              </w:rPr>
              <w:t>较低，</w:t>
            </w:r>
            <w:r>
              <w:rPr>
                <w:rFonts w:hint="eastAsia"/>
                <w:sz w:val="24"/>
                <w:szCs w:val="24"/>
              </w:rPr>
              <w:t>随着客户认可度的不断提升，</w:t>
            </w:r>
            <w:r>
              <w:rPr>
                <w:sz w:val="24"/>
                <w:szCs w:val="24"/>
              </w:rPr>
              <w:t>未来增长空间较大</w:t>
            </w:r>
            <w:r>
              <w:rPr>
                <w:rFonts w:hint="eastAsia"/>
                <w:sz w:val="24"/>
                <w:szCs w:val="24"/>
              </w:rPr>
              <w:t>，将成为公司签单的主要来源。</w:t>
            </w:r>
          </w:p>
          <w:p w14:paraId="7EDE6440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5</w:t>
            </w:r>
            <w:r>
              <w:rPr>
                <w:rFonts w:hint="eastAsia"/>
                <w:b/>
                <w:bCs/>
                <w:sz w:val="24"/>
                <w:szCs w:val="24"/>
              </w:rPr>
              <w:t>：公司分产品毛利率及整体毛利率预期？</w:t>
            </w:r>
          </w:p>
          <w:p w14:paraId="3D68BC03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5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目前前道涂胶显影</w:t>
            </w:r>
            <w:r>
              <w:rPr>
                <w:sz w:val="24"/>
                <w:szCs w:val="24"/>
              </w:rPr>
              <w:t>毛利率</w:t>
            </w:r>
            <w:r>
              <w:rPr>
                <w:rFonts w:hint="eastAsia"/>
                <w:sz w:val="24"/>
                <w:szCs w:val="24"/>
              </w:rPr>
              <w:t>整体</w:t>
            </w:r>
            <w:r>
              <w:rPr>
                <w:sz w:val="24"/>
                <w:szCs w:val="24"/>
              </w:rPr>
              <w:t>低于清洗，清洗的标准化程度相对</w:t>
            </w:r>
            <w:r>
              <w:rPr>
                <w:rFonts w:hint="eastAsia"/>
                <w:sz w:val="24"/>
                <w:szCs w:val="24"/>
              </w:rPr>
              <w:t>较</w:t>
            </w:r>
            <w:r>
              <w:rPr>
                <w:sz w:val="24"/>
                <w:szCs w:val="24"/>
              </w:rPr>
              <w:t>高。前道</w:t>
            </w:r>
            <w:r>
              <w:rPr>
                <w:rFonts w:hint="eastAsia"/>
                <w:sz w:val="24"/>
                <w:szCs w:val="24"/>
              </w:rPr>
              <w:t>涂胶显影受光刻机限制，</w:t>
            </w:r>
            <w:r>
              <w:rPr>
                <w:sz w:val="24"/>
                <w:szCs w:val="24"/>
              </w:rPr>
              <w:t>架构</w:t>
            </w:r>
            <w:r>
              <w:rPr>
                <w:rFonts w:hint="eastAsia"/>
                <w:sz w:val="24"/>
                <w:szCs w:val="24"/>
              </w:rPr>
              <w:t>和工艺</w:t>
            </w:r>
            <w:r>
              <w:rPr>
                <w:sz w:val="24"/>
                <w:szCs w:val="24"/>
              </w:rPr>
              <w:t>复杂度高，现阶段毛利率</w:t>
            </w:r>
            <w:r>
              <w:rPr>
                <w:rFonts w:hint="eastAsia"/>
                <w:sz w:val="24"/>
                <w:szCs w:val="24"/>
              </w:rPr>
              <w:t>整体</w:t>
            </w:r>
            <w:r>
              <w:rPr>
                <w:sz w:val="24"/>
                <w:szCs w:val="24"/>
              </w:rPr>
              <w:t>较低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sz w:val="24"/>
                <w:szCs w:val="24"/>
              </w:rPr>
              <w:t>未来随着机台成熟度提升、出货量增加，毛利率</w:t>
            </w:r>
            <w:r>
              <w:rPr>
                <w:rFonts w:hint="eastAsia"/>
                <w:sz w:val="24"/>
                <w:szCs w:val="24"/>
              </w:rPr>
              <w:t>预计可</w:t>
            </w:r>
            <w:r>
              <w:rPr>
                <w:sz w:val="24"/>
                <w:szCs w:val="24"/>
              </w:rPr>
              <w:t>持续提升。</w:t>
            </w:r>
            <w:r>
              <w:rPr>
                <w:rFonts w:hint="eastAsia"/>
                <w:sz w:val="24"/>
                <w:szCs w:val="24"/>
              </w:rPr>
              <w:t>后道先进封装产品国内市占率稳步提升，对部分战略客户进行了适当让利，阶段性毛利率有所下滑，后续随着生产量级提升及设计降本，有望推动毛利率水平改善。</w:t>
            </w:r>
          </w:p>
          <w:p w14:paraId="4BB54575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</w:rPr>
              <w:t>：新签订单结构及未来订单结构展望？</w:t>
            </w:r>
          </w:p>
          <w:p w14:paraId="04367944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6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前三季度公司新签订单中后道和前道</w:t>
            </w:r>
            <w:r>
              <w:rPr>
                <w:sz w:val="24"/>
                <w:szCs w:val="24"/>
              </w:rPr>
              <w:t>大概为</w:t>
            </w:r>
            <w:r>
              <w:rPr>
                <w:rFonts w:hint="eastAsia"/>
                <w:sz w:val="24"/>
                <w:szCs w:val="24"/>
              </w:rPr>
              <w:t>四六开</w:t>
            </w:r>
            <w:r>
              <w:rPr>
                <w:sz w:val="24"/>
                <w:szCs w:val="24"/>
              </w:rPr>
              <w:t>。后道先进封装中传统优势产品后道涂胶显影设备占比较高，其他为湿法清洗、湿法刻蚀及键合类设备。前道设备中清洗产品占比</w:t>
            </w:r>
            <w:r>
              <w:rPr>
                <w:rFonts w:hint="eastAsia"/>
                <w:sz w:val="24"/>
                <w:szCs w:val="24"/>
              </w:rPr>
              <w:t>较高。</w:t>
            </w:r>
            <w:r>
              <w:rPr>
                <w:sz w:val="24"/>
                <w:szCs w:val="24"/>
              </w:rPr>
              <w:t>未来随着前道产品</w:t>
            </w:r>
            <w:r>
              <w:rPr>
                <w:rFonts w:hint="eastAsia"/>
                <w:sz w:val="24"/>
                <w:szCs w:val="24"/>
              </w:rPr>
              <w:t>陆续</w:t>
            </w:r>
            <w:r>
              <w:rPr>
                <w:sz w:val="24"/>
                <w:szCs w:val="24"/>
              </w:rPr>
              <w:t>放量，其在新签订单中的占比</w:t>
            </w:r>
            <w:r>
              <w:rPr>
                <w:rFonts w:hint="eastAsia"/>
                <w:sz w:val="24"/>
                <w:szCs w:val="24"/>
              </w:rPr>
              <w:t>预计</w:t>
            </w:r>
            <w:r>
              <w:rPr>
                <w:sz w:val="24"/>
                <w:szCs w:val="24"/>
              </w:rPr>
              <w:t>将</w:t>
            </w:r>
            <w:r>
              <w:rPr>
                <w:rFonts w:hint="eastAsia"/>
                <w:sz w:val="24"/>
                <w:szCs w:val="24"/>
              </w:rPr>
              <w:t>继续</w:t>
            </w:r>
            <w:r>
              <w:rPr>
                <w:sz w:val="24"/>
                <w:szCs w:val="24"/>
              </w:rPr>
              <w:t>提升。</w:t>
            </w:r>
            <w:r>
              <w:rPr>
                <w:rFonts w:hint="eastAsia"/>
                <w:sz w:val="24"/>
                <w:szCs w:val="24"/>
              </w:rPr>
              <w:t xml:space="preserve"> </w:t>
            </w:r>
          </w:p>
          <w:p w14:paraId="7B3C5B54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7</w:t>
            </w:r>
            <w:r>
              <w:rPr>
                <w:rFonts w:hint="eastAsia"/>
                <w:b/>
                <w:bCs/>
                <w:sz w:val="24"/>
                <w:szCs w:val="24"/>
              </w:rPr>
              <w:t>：公司零部件交期、储备情况及国产化进程？</w:t>
            </w:r>
          </w:p>
          <w:p w14:paraId="5588AE8F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7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sz w:val="24"/>
                <w:szCs w:val="24"/>
              </w:rPr>
              <w:t>不同产品交期拉长情况有一定差异，</w:t>
            </w:r>
            <w:r>
              <w:rPr>
                <w:sz w:val="24"/>
                <w:szCs w:val="24"/>
              </w:rPr>
              <w:t>前道产品本身复杂程度更高，交期延长程度略高于后道产品。公司</w:t>
            </w:r>
            <w:r>
              <w:rPr>
                <w:rFonts w:hint="eastAsia"/>
                <w:sz w:val="24"/>
                <w:szCs w:val="24"/>
              </w:rPr>
              <w:t>正</w:t>
            </w:r>
            <w:r>
              <w:rPr>
                <w:sz w:val="24"/>
                <w:szCs w:val="24"/>
              </w:rPr>
              <w:t>通过滚动预投</w:t>
            </w:r>
            <w:r>
              <w:rPr>
                <w:rFonts w:hint="eastAsia"/>
                <w:sz w:val="24"/>
                <w:szCs w:val="24"/>
              </w:rPr>
              <w:t>、战略备货等方式</w:t>
            </w:r>
            <w:r>
              <w:rPr>
                <w:sz w:val="24"/>
                <w:szCs w:val="24"/>
              </w:rPr>
              <w:t>降低零部件交期对整体</w:t>
            </w:r>
            <w:r>
              <w:rPr>
                <w:rFonts w:hint="eastAsia"/>
                <w:sz w:val="24"/>
                <w:szCs w:val="24"/>
              </w:rPr>
              <w:t>机台</w:t>
            </w:r>
            <w:r>
              <w:rPr>
                <w:sz w:val="24"/>
                <w:szCs w:val="24"/>
              </w:rPr>
              <w:t>交付的影响。在国产替代方面，</w:t>
            </w:r>
            <w:r>
              <w:rPr>
                <w:rFonts w:hint="eastAsia"/>
                <w:sz w:val="24"/>
                <w:szCs w:val="24"/>
              </w:rPr>
              <w:t>公司也在加快推进国产物料的验证导入，未来几年国产物料占比将持续提升。</w:t>
            </w:r>
          </w:p>
          <w:p w14:paraId="21FECA93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lastRenderedPageBreak/>
              <w:t>Q</w:t>
            </w:r>
            <w:r>
              <w:rPr>
                <w:b/>
                <w:bCs/>
                <w:sz w:val="24"/>
                <w:szCs w:val="24"/>
              </w:rPr>
              <w:t>8</w:t>
            </w:r>
            <w:r>
              <w:rPr>
                <w:rFonts w:hint="eastAsia"/>
                <w:b/>
                <w:bCs/>
                <w:sz w:val="24"/>
                <w:szCs w:val="24"/>
              </w:rPr>
              <w:t>：键合类设备的整体布局？</w:t>
            </w:r>
          </w:p>
          <w:p w14:paraId="46AE2CEA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8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键合类设备是增长弹性相对较高的领域，一是因为国产化率不是特别高，二是下游客户目前尚未启动大批量扩产</w:t>
            </w:r>
            <w:r>
              <w:rPr>
                <w:sz w:val="24"/>
                <w:szCs w:val="24"/>
              </w:rPr>
              <w:t>。在产品布局方面，芯源微目前产品品类有临时键合机、解键合机、</w:t>
            </w:r>
            <w:r>
              <w:rPr>
                <w:rFonts w:hint="eastAsia"/>
                <w:sz w:val="24"/>
                <w:szCs w:val="24"/>
              </w:rPr>
              <w:t>Frame</w:t>
            </w:r>
            <w:r>
              <w:rPr>
                <w:rFonts w:hint="eastAsia"/>
                <w:sz w:val="24"/>
                <w:szCs w:val="24"/>
              </w:rPr>
              <w:t>清洗机，并在研发其他键合新品类</w:t>
            </w:r>
            <w:r>
              <w:rPr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积极</w:t>
            </w:r>
            <w:r>
              <w:rPr>
                <w:sz w:val="24"/>
                <w:szCs w:val="24"/>
              </w:rPr>
              <w:t>给客户提供整体</w:t>
            </w:r>
            <w:r>
              <w:rPr>
                <w:rFonts w:hint="eastAsia"/>
                <w:sz w:val="24"/>
                <w:szCs w:val="24"/>
              </w:rPr>
              <w:t>化</w:t>
            </w:r>
            <w:r>
              <w:rPr>
                <w:sz w:val="24"/>
                <w:szCs w:val="24"/>
              </w:rPr>
              <w:t>解决方案。</w:t>
            </w:r>
          </w:p>
          <w:p w14:paraId="3AA1B55F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rFonts w:hint="eastAsia"/>
                <w:b/>
                <w:bCs/>
                <w:sz w:val="24"/>
                <w:szCs w:val="24"/>
              </w:rPr>
              <w:t>：公司后道封装业务市占率及毛利率展望？</w:t>
            </w:r>
          </w:p>
          <w:p w14:paraId="68B7E12A" w14:textId="77777777" w:rsidR="003A089C" w:rsidRDefault="007C6F2A">
            <w:pPr>
              <w:spacing w:afterLines="50" w:after="156" w:line="360" w:lineRule="auto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9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公司后道设备在国内市占率提升较快</w:t>
            </w:r>
            <w:r>
              <w:rPr>
                <w:sz w:val="24"/>
                <w:szCs w:val="24"/>
              </w:rPr>
              <w:t>。今年新签订单增长一是来源于客户扩产，二是公司市占率提升。同时，公司对战略客户进行适当让利，以绑定明后年客户扩产需求。在后续降本方面，</w:t>
            </w:r>
            <w:r>
              <w:rPr>
                <w:rFonts w:hint="eastAsia"/>
                <w:sz w:val="24"/>
                <w:szCs w:val="24"/>
              </w:rPr>
              <w:t>公司将通过</w:t>
            </w:r>
            <w:r>
              <w:rPr>
                <w:sz w:val="24"/>
                <w:szCs w:val="24"/>
              </w:rPr>
              <w:t>设计及供应链端的降本</w:t>
            </w:r>
            <w:r>
              <w:rPr>
                <w:rFonts w:hint="eastAsia"/>
                <w:sz w:val="24"/>
                <w:szCs w:val="24"/>
              </w:rPr>
              <w:t>，持续降低机台生产成本</w:t>
            </w:r>
            <w:r>
              <w:rPr>
                <w:sz w:val="24"/>
                <w:szCs w:val="24"/>
              </w:rPr>
              <w:t>。此外，</w:t>
            </w:r>
            <w:r>
              <w:rPr>
                <w:rFonts w:hint="eastAsia"/>
                <w:sz w:val="24"/>
                <w:szCs w:val="24"/>
              </w:rPr>
              <w:t>公司与北方华创集团后道产品高度互补，</w:t>
            </w:r>
            <w:r>
              <w:rPr>
                <w:sz w:val="24"/>
                <w:szCs w:val="24"/>
              </w:rPr>
              <w:t>未来</w:t>
            </w:r>
            <w:r>
              <w:rPr>
                <w:rFonts w:hint="eastAsia"/>
                <w:sz w:val="24"/>
                <w:szCs w:val="24"/>
              </w:rPr>
              <w:t>集团化</w:t>
            </w:r>
            <w:r>
              <w:rPr>
                <w:sz w:val="24"/>
                <w:szCs w:val="24"/>
              </w:rPr>
              <w:t>打包销售优势将非常明显，这也</w:t>
            </w:r>
            <w:r>
              <w:rPr>
                <w:rFonts w:hint="eastAsia"/>
                <w:sz w:val="24"/>
                <w:szCs w:val="24"/>
              </w:rPr>
              <w:t>有助于签单提升及毛利率稳定</w:t>
            </w:r>
            <w:r>
              <w:rPr>
                <w:sz w:val="24"/>
                <w:szCs w:val="24"/>
              </w:rPr>
              <w:t>。</w:t>
            </w:r>
          </w:p>
          <w:p w14:paraId="0134391B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10</w:t>
            </w:r>
            <w:r>
              <w:rPr>
                <w:rFonts w:hint="eastAsia"/>
                <w:b/>
                <w:bCs/>
                <w:sz w:val="24"/>
                <w:szCs w:val="24"/>
              </w:rPr>
              <w:t>：前三季度亏损原因？</w:t>
            </w:r>
          </w:p>
          <w:p w14:paraId="4B7F605A" w14:textId="77777777" w:rsidR="003A089C" w:rsidRDefault="007C6F2A">
            <w:pPr>
              <w:spacing w:afterLines="50" w:after="156"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10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rFonts w:hint="eastAsia"/>
                <w:bCs/>
                <w:sz w:val="24"/>
                <w:szCs w:val="24"/>
              </w:rPr>
              <w:t>公司收入保持较快增长，毛利率阶段性承压；</w:t>
            </w:r>
            <w:r>
              <w:rPr>
                <w:sz w:val="24"/>
                <w:szCs w:val="24"/>
              </w:rPr>
              <w:t>匹配订单增长，人员规模增加，人力成本增长；随客户端</w:t>
            </w:r>
            <w:r>
              <w:rPr>
                <w:rFonts w:hint="eastAsia"/>
                <w:sz w:val="24"/>
                <w:szCs w:val="24"/>
              </w:rPr>
              <w:t>存量机台</w:t>
            </w:r>
            <w:r>
              <w:rPr>
                <w:sz w:val="24"/>
                <w:szCs w:val="24"/>
              </w:rPr>
              <w:t>增多，销售费用增长；由于新产品研发推进，研发费用保持增长；政府补助同比下降。整体上，公司目前利润阶段性承压，这也是业务起量过程中必须经历的阶段。成本费用的投入与收入转化存在阶段性错配，公司将持续加强内部精细化管理和成本管控，逐步提升盈利水平。</w:t>
            </w:r>
          </w:p>
          <w:p w14:paraId="1BB4B999" w14:textId="77777777" w:rsidR="003A089C" w:rsidRDefault="007C6F2A">
            <w:pPr>
              <w:spacing w:afterLines="50" w:after="156" w:line="360" w:lineRule="auto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Q</w:t>
            </w:r>
            <w:r>
              <w:rPr>
                <w:b/>
                <w:bCs/>
                <w:sz w:val="24"/>
                <w:szCs w:val="24"/>
              </w:rPr>
              <w:t>11</w:t>
            </w:r>
            <w:r>
              <w:rPr>
                <w:rFonts w:hint="eastAsia"/>
                <w:b/>
                <w:bCs/>
                <w:sz w:val="24"/>
                <w:szCs w:val="24"/>
              </w:rPr>
              <w:t>：研发投入、期间费用及人员招聘未来展望？</w:t>
            </w:r>
          </w:p>
          <w:p w14:paraId="0316553E" w14:textId="77777777" w:rsidR="003A089C" w:rsidRDefault="007C6F2A">
            <w:pPr>
              <w:spacing w:afterLines="50" w:after="156"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A</w:t>
            </w:r>
            <w:r>
              <w:rPr>
                <w:b/>
                <w:bCs/>
                <w:sz w:val="24"/>
                <w:szCs w:val="24"/>
              </w:rPr>
              <w:t>11</w:t>
            </w:r>
            <w:r>
              <w:rPr>
                <w:rFonts w:hint="eastAsia"/>
                <w:b/>
                <w:bCs/>
                <w:sz w:val="24"/>
                <w:szCs w:val="24"/>
              </w:rPr>
              <w:t>：</w:t>
            </w:r>
            <w:r>
              <w:rPr>
                <w:bCs/>
                <w:sz w:val="24"/>
                <w:szCs w:val="24"/>
              </w:rPr>
              <w:t>随着市场景气度</w:t>
            </w:r>
            <w:r>
              <w:rPr>
                <w:rFonts w:hint="eastAsia"/>
                <w:bCs/>
                <w:sz w:val="24"/>
                <w:szCs w:val="24"/>
              </w:rPr>
              <w:t>持续</w:t>
            </w:r>
            <w:r>
              <w:rPr>
                <w:bCs/>
                <w:sz w:val="24"/>
                <w:szCs w:val="24"/>
              </w:rPr>
              <w:t>、订单</w:t>
            </w:r>
            <w:r>
              <w:rPr>
                <w:rFonts w:hint="eastAsia"/>
                <w:bCs/>
                <w:sz w:val="24"/>
                <w:szCs w:val="24"/>
              </w:rPr>
              <w:t>快速</w:t>
            </w:r>
            <w:r>
              <w:rPr>
                <w:bCs/>
                <w:sz w:val="24"/>
                <w:szCs w:val="24"/>
              </w:rPr>
              <w:t>增长</w:t>
            </w:r>
            <w:r>
              <w:rPr>
                <w:rFonts w:hint="eastAsia"/>
                <w:bCs/>
                <w:sz w:val="24"/>
                <w:szCs w:val="24"/>
              </w:rPr>
              <w:t>以及</w:t>
            </w:r>
            <w:r>
              <w:rPr>
                <w:bCs/>
                <w:sz w:val="24"/>
                <w:szCs w:val="24"/>
              </w:rPr>
              <w:t>新产品研发布局，</w:t>
            </w:r>
            <w:r>
              <w:rPr>
                <w:sz w:val="24"/>
                <w:szCs w:val="24"/>
              </w:rPr>
              <w:t>未来</w:t>
            </w:r>
            <w:r>
              <w:rPr>
                <w:rFonts w:hint="eastAsia"/>
                <w:sz w:val="24"/>
                <w:szCs w:val="24"/>
              </w:rPr>
              <w:t>2-</w:t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年</w:t>
            </w:r>
            <w:r>
              <w:rPr>
                <w:bCs/>
                <w:sz w:val="24"/>
                <w:szCs w:val="24"/>
              </w:rPr>
              <w:t>公司</w:t>
            </w:r>
            <w:r>
              <w:rPr>
                <w:rFonts w:hint="eastAsia"/>
                <w:bCs/>
                <w:sz w:val="24"/>
                <w:szCs w:val="24"/>
              </w:rPr>
              <w:t>预计</w:t>
            </w:r>
            <w:r>
              <w:rPr>
                <w:bCs/>
                <w:sz w:val="24"/>
                <w:szCs w:val="24"/>
              </w:rPr>
              <w:t>将持续保持人员</w:t>
            </w:r>
            <w:r>
              <w:rPr>
                <w:rFonts w:hint="eastAsia"/>
                <w:bCs/>
                <w:sz w:val="24"/>
                <w:szCs w:val="24"/>
              </w:rPr>
              <w:t>招聘和研发投入的</w:t>
            </w:r>
            <w:r>
              <w:rPr>
                <w:bCs/>
                <w:sz w:val="24"/>
                <w:szCs w:val="24"/>
              </w:rPr>
              <w:t>合理增长</w:t>
            </w:r>
            <w:r>
              <w:rPr>
                <w:sz w:val="24"/>
                <w:szCs w:val="24"/>
              </w:rPr>
              <w:t>。人员方面，</w:t>
            </w:r>
            <w:r>
              <w:rPr>
                <w:rFonts w:hint="eastAsia"/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</w:rPr>
              <w:t>公司</w:t>
            </w:r>
            <w:r>
              <w:rPr>
                <w:sz w:val="24"/>
                <w:szCs w:val="24"/>
              </w:rPr>
              <w:t>因订单</w:t>
            </w:r>
            <w:r>
              <w:rPr>
                <w:rFonts w:hint="eastAsia"/>
                <w:sz w:val="24"/>
                <w:szCs w:val="24"/>
              </w:rPr>
              <w:t>快速增长，公司</w:t>
            </w:r>
            <w:r>
              <w:rPr>
                <w:sz w:val="24"/>
                <w:szCs w:val="24"/>
              </w:rPr>
              <w:t>一定程度上加大了人员储备，</w:t>
            </w:r>
            <w:r>
              <w:rPr>
                <w:rFonts w:hint="eastAsia"/>
                <w:sz w:val="24"/>
                <w:szCs w:val="24"/>
              </w:rPr>
              <w:t>2027</w:t>
            </w:r>
            <w:r>
              <w:rPr>
                <w:sz w:val="24"/>
                <w:szCs w:val="24"/>
              </w:rPr>
              <w:t>年人员</w:t>
            </w:r>
            <w:r>
              <w:rPr>
                <w:rFonts w:hint="eastAsia"/>
                <w:sz w:val="24"/>
                <w:szCs w:val="24"/>
              </w:rPr>
              <w:t>增长</w:t>
            </w:r>
            <w:r>
              <w:rPr>
                <w:sz w:val="24"/>
                <w:szCs w:val="24"/>
              </w:rPr>
              <w:t>和人力成本增</w:t>
            </w:r>
            <w:r>
              <w:rPr>
                <w:sz w:val="24"/>
                <w:szCs w:val="24"/>
              </w:rPr>
              <w:lastRenderedPageBreak/>
              <w:t>速预计将</w:t>
            </w:r>
            <w:r>
              <w:rPr>
                <w:rFonts w:hint="eastAsia"/>
                <w:sz w:val="24"/>
                <w:szCs w:val="24"/>
              </w:rPr>
              <w:t>有所</w:t>
            </w:r>
            <w:r>
              <w:rPr>
                <w:sz w:val="24"/>
                <w:szCs w:val="24"/>
              </w:rPr>
              <w:t>放缓。研发投入方面，</w:t>
            </w:r>
            <w:r>
              <w:rPr>
                <w:rFonts w:hint="eastAsia"/>
                <w:sz w:val="24"/>
                <w:szCs w:val="24"/>
              </w:rPr>
              <w:t>公司将继续</w:t>
            </w:r>
            <w:r>
              <w:rPr>
                <w:sz w:val="24"/>
                <w:szCs w:val="24"/>
              </w:rPr>
              <w:t>聚焦</w:t>
            </w:r>
            <w:r>
              <w:rPr>
                <w:rFonts w:hint="eastAsia"/>
                <w:sz w:val="24"/>
                <w:szCs w:val="24"/>
              </w:rPr>
              <w:t>前道涂胶显影、前道清洗、高端封装等</w:t>
            </w:r>
            <w:r>
              <w:rPr>
                <w:sz w:val="24"/>
                <w:szCs w:val="24"/>
              </w:rPr>
              <w:t>核心赛道核心产品，</w:t>
            </w:r>
            <w:r>
              <w:rPr>
                <w:rFonts w:hint="eastAsia"/>
                <w:sz w:val="24"/>
                <w:szCs w:val="24"/>
              </w:rPr>
              <w:t>持续加大研发投入力度</w:t>
            </w:r>
            <w:r>
              <w:rPr>
                <w:sz w:val="24"/>
                <w:szCs w:val="24"/>
              </w:rPr>
              <w:t>。费用方面，未来费用总额将保持一定</w:t>
            </w:r>
            <w:r>
              <w:rPr>
                <w:rFonts w:hint="eastAsia"/>
                <w:sz w:val="24"/>
                <w:szCs w:val="24"/>
              </w:rPr>
              <w:t>程度</w:t>
            </w:r>
            <w:r>
              <w:rPr>
                <w:sz w:val="24"/>
                <w:szCs w:val="24"/>
              </w:rPr>
              <w:t>增长，但随着收入体量提升，</w:t>
            </w:r>
            <w:r>
              <w:rPr>
                <w:rFonts w:hint="eastAsia"/>
                <w:sz w:val="24"/>
                <w:szCs w:val="24"/>
              </w:rPr>
              <w:t>预计</w:t>
            </w:r>
            <w:r>
              <w:rPr>
                <w:sz w:val="24"/>
                <w:szCs w:val="24"/>
              </w:rPr>
              <w:t>费用率将逐渐回归</w:t>
            </w:r>
            <w:r>
              <w:rPr>
                <w:rFonts w:hint="eastAsia"/>
                <w:sz w:val="24"/>
                <w:szCs w:val="24"/>
              </w:rPr>
              <w:t>到合理</w:t>
            </w:r>
            <w:r>
              <w:rPr>
                <w:sz w:val="24"/>
                <w:szCs w:val="24"/>
              </w:rPr>
              <w:t>水平。</w:t>
            </w:r>
          </w:p>
        </w:tc>
      </w:tr>
      <w:tr w:rsidR="003A089C" w14:paraId="09D67BC4" w14:textId="77777777">
        <w:trPr>
          <w:trHeight w:val="820"/>
        </w:trPr>
        <w:tc>
          <w:tcPr>
            <w:tcW w:w="1828" w:type="dxa"/>
            <w:vAlign w:val="center"/>
          </w:tcPr>
          <w:p w14:paraId="06F9F7DB" w14:textId="77777777" w:rsidR="003A089C" w:rsidRDefault="007C6F2A">
            <w:pPr>
              <w:autoSpaceDE w:val="0"/>
              <w:autoSpaceDN w:val="0"/>
              <w:spacing w:line="360" w:lineRule="auto"/>
              <w:jc w:val="center"/>
              <w:rPr>
                <w:b/>
                <w:bCs/>
                <w:kern w:val="0"/>
                <w:sz w:val="24"/>
                <w:szCs w:val="24"/>
                <w:lang w:eastAsia="en-US" w:bidi="zh-CN"/>
              </w:rPr>
            </w:pPr>
            <w:r>
              <w:rPr>
                <w:b/>
                <w:bCs/>
                <w:kern w:val="0"/>
                <w:sz w:val="24"/>
                <w:szCs w:val="24"/>
                <w:lang w:eastAsia="en-US" w:bidi="zh-CN"/>
              </w:rPr>
              <w:lastRenderedPageBreak/>
              <w:t>附件清单</w:t>
            </w:r>
          </w:p>
        </w:tc>
        <w:tc>
          <w:tcPr>
            <w:tcW w:w="6448" w:type="dxa"/>
            <w:vAlign w:val="center"/>
          </w:tcPr>
          <w:p w14:paraId="3EA6389C" w14:textId="77777777" w:rsidR="003A089C" w:rsidRDefault="007C6F2A">
            <w:pPr>
              <w:autoSpaceDE w:val="0"/>
              <w:autoSpaceDN w:val="0"/>
              <w:spacing w:line="360" w:lineRule="auto"/>
              <w:jc w:val="left"/>
              <w:rPr>
                <w:kern w:val="0"/>
                <w:sz w:val="24"/>
                <w:szCs w:val="24"/>
                <w:lang w:eastAsia="en-US" w:bidi="zh-CN"/>
              </w:rPr>
            </w:pPr>
            <w:r>
              <w:rPr>
                <w:kern w:val="0"/>
                <w:sz w:val="24"/>
                <w:szCs w:val="24"/>
                <w:lang w:eastAsia="en-US" w:bidi="zh-CN"/>
              </w:rPr>
              <w:t>无</w:t>
            </w:r>
          </w:p>
        </w:tc>
      </w:tr>
      <w:tr w:rsidR="003A089C" w14:paraId="24339DD5" w14:textId="77777777">
        <w:trPr>
          <w:trHeight w:val="58"/>
        </w:trPr>
        <w:tc>
          <w:tcPr>
            <w:tcW w:w="1828" w:type="dxa"/>
            <w:vAlign w:val="center"/>
          </w:tcPr>
          <w:p w14:paraId="0456B88B" w14:textId="77777777" w:rsidR="003A089C" w:rsidRDefault="007C6F2A">
            <w:pPr>
              <w:spacing w:line="360" w:lineRule="auto"/>
              <w:jc w:val="center"/>
              <w:rPr>
                <w:b/>
                <w:iCs/>
                <w:color w:val="000000"/>
                <w:sz w:val="24"/>
                <w:szCs w:val="24"/>
              </w:rPr>
            </w:pPr>
            <w:r>
              <w:rPr>
                <w:b/>
                <w:iCs/>
                <w:color w:val="000000"/>
                <w:sz w:val="24"/>
                <w:szCs w:val="24"/>
              </w:rPr>
              <w:t>本次活动是否涉及应当披露重大信息</w:t>
            </w:r>
          </w:p>
        </w:tc>
        <w:tc>
          <w:tcPr>
            <w:tcW w:w="6448" w:type="dxa"/>
            <w:vAlign w:val="center"/>
          </w:tcPr>
          <w:p w14:paraId="0DF251AA" w14:textId="77777777" w:rsidR="003A089C" w:rsidRDefault="007C6F2A">
            <w:pPr>
              <w:spacing w:line="360" w:lineRule="auto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kern w:val="0"/>
                <w:sz w:val="24"/>
                <w:szCs w:val="24"/>
                <w:lang w:val="zh-CN" w:bidi="zh-CN"/>
              </w:rPr>
              <w:t>不涉及</w:t>
            </w:r>
          </w:p>
        </w:tc>
      </w:tr>
    </w:tbl>
    <w:p w14:paraId="6B3ABB42" w14:textId="77777777" w:rsidR="003A089C" w:rsidRDefault="003A089C"/>
    <w:sectPr w:rsidR="003A089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8DA21C" w14:textId="77777777" w:rsidR="00FC011F" w:rsidRDefault="00FC011F" w:rsidP="002E6BAB">
      <w:r>
        <w:separator/>
      </w:r>
    </w:p>
  </w:endnote>
  <w:endnote w:type="continuationSeparator" w:id="0">
    <w:p w14:paraId="0319E6AA" w14:textId="77777777" w:rsidR="00FC011F" w:rsidRDefault="00FC011F" w:rsidP="002E6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ospace">
    <w:altName w:val="Segoe Print"/>
    <w:charset w:val="00"/>
    <w:family w:val="auto"/>
    <w:pitch w:val="default"/>
    <w:sig w:usb0="00000000" w:usb1="00000000" w:usb2="0000000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710BEA" w14:textId="77777777" w:rsidR="00FC011F" w:rsidRDefault="00FC011F" w:rsidP="002E6BAB">
      <w:r>
        <w:separator/>
      </w:r>
    </w:p>
  </w:footnote>
  <w:footnote w:type="continuationSeparator" w:id="0">
    <w:p w14:paraId="47C24308" w14:textId="77777777" w:rsidR="00FC011F" w:rsidRDefault="00FC011F" w:rsidP="002E6B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FC"/>
    <w:rsid w:val="00015B6F"/>
    <w:rsid w:val="00024B50"/>
    <w:rsid w:val="00032697"/>
    <w:rsid w:val="0007773F"/>
    <w:rsid w:val="00085E86"/>
    <w:rsid w:val="000B1E29"/>
    <w:rsid w:val="000D3AE6"/>
    <w:rsid w:val="000D53E5"/>
    <w:rsid w:val="000E167D"/>
    <w:rsid w:val="00133A6C"/>
    <w:rsid w:val="001A3835"/>
    <w:rsid w:val="001D37FA"/>
    <w:rsid w:val="00222002"/>
    <w:rsid w:val="00245D84"/>
    <w:rsid w:val="0025014F"/>
    <w:rsid w:val="002D3AEB"/>
    <w:rsid w:val="002E6BAB"/>
    <w:rsid w:val="002F6A6A"/>
    <w:rsid w:val="00307F4E"/>
    <w:rsid w:val="0034452D"/>
    <w:rsid w:val="003A089C"/>
    <w:rsid w:val="003A3CFE"/>
    <w:rsid w:val="003D1301"/>
    <w:rsid w:val="004548F0"/>
    <w:rsid w:val="004738FC"/>
    <w:rsid w:val="004740CB"/>
    <w:rsid w:val="00480213"/>
    <w:rsid w:val="004C0A5A"/>
    <w:rsid w:val="00536942"/>
    <w:rsid w:val="005416CE"/>
    <w:rsid w:val="00552B16"/>
    <w:rsid w:val="00577F6A"/>
    <w:rsid w:val="00594A7D"/>
    <w:rsid w:val="006011C1"/>
    <w:rsid w:val="006B4B81"/>
    <w:rsid w:val="006C4D0C"/>
    <w:rsid w:val="006E3AB9"/>
    <w:rsid w:val="006F1030"/>
    <w:rsid w:val="006F6D40"/>
    <w:rsid w:val="007113B7"/>
    <w:rsid w:val="00724DF7"/>
    <w:rsid w:val="00744606"/>
    <w:rsid w:val="00773063"/>
    <w:rsid w:val="007C6F2A"/>
    <w:rsid w:val="00815C09"/>
    <w:rsid w:val="00861EE8"/>
    <w:rsid w:val="00897154"/>
    <w:rsid w:val="008A524E"/>
    <w:rsid w:val="008A76AA"/>
    <w:rsid w:val="008B3036"/>
    <w:rsid w:val="008B467C"/>
    <w:rsid w:val="008C0276"/>
    <w:rsid w:val="008D641B"/>
    <w:rsid w:val="009252CA"/>
    <w:rsid w:val="00950A46"/>
    <w:rsid w:val="009A5461"/>
    <w:rsid w:val="009E1FCD"/>
    <w:rsid w:val="00A26E32"/>
    <w:rsid w:val="00A37DC5"/>
    <w:rsid w:val="00AD2CC7"/>
    <w:rsid w:val="00AF34B1"/>
    <w:rsid w:val="00B51646"/>
    <w:rsid w:val="00C02B4A"/>
    <w:rsid w:val="00C22E9E"/>
    <w:rsid w:val="00C824D7"/>
    <w:rsid w:val="00CB783C"/>
    <w:rsid w:val="00CD14E1"/>
    <w:rsid w:val="00CD5E1D"/>
    <w:rsid w:val="00DB0D7F"/>
    <w:rsid w:val="00DB65FC"/>
    <w:rsid w:val="00DD5DD5"/>
    <w:rsid w:val="00E05DFB"/>
    <w:rsid w:val="00E2121E"/>
    <w:rsid w:val="00E2157A"/>
    <w:rsid w:val="00E54217"/>
    <w:rsid w:val="00E707F6"/>
    <w:rsid w:val="00E74D96"/>
    <w:rsid w:val="00E84981"/>
    <w:rsid w:val="00EA3D7D"/>
    <w:rsid w:val="00EB2B26"/>
    <w:rsid w:val="00ED5B4D"/>
    <w:rsid w:val="00F64A9E"/>
    <w:rsid w:val="00F711B5"/>
    <w:rsid w:val="00F8346B"/>
    <w:rsid w:val="00FC011F"/>
    <w:rsid w:val="00FC442C"/>
    <w:rsid w:val="00FD5CF1"/>
    <w:rsid w:val="00FE729F"/>
    <w:rsid w:val="061B45E4"/>
    <w:rsid w:val="08C2754C"/>
    <w:rsid w:val="0AAF0A2A"/>
    <w:rsid w:val="0B311E8B"/>
    <w:rsid w:val="0DB05743"/>
    <w:rsid w:val="0E7539BD"/>
    <w:rsid w:val="12224FE4"/>
    <w:rsid w:val="1D3B4E12"/>
    <w:rsid w:val="1EED7141"/>
    <w:rsid w:val="22390F32"/>
    <w:rsid w:val="24EC5EDF"/>
    <w:rsid w:val="281D55B7"/>
    <w:rsid w:val="289A2731"/>
    <w:rsid w:val="2D7050C6"/>
    <w:rsid w:val="2D7F4033"/>
    <w:rsid w:val="351C3713"/>
    <w:rsid w:val="37091276"/>
    <w:rsid w:val="383E3BD1"/>
    <w:rsid w:val="39400D5F"/>
    <w:rsid w:val="491334FE"/>
    <w:rsid w:val="4C9C6079"/>
    <w:rsid w:val="4DE039EC"/>
    <w:rsid w:val="4F325E17"/>
    <w:rsid w:val="55597FA7"/>
    <w:rsid w:val="56AC2753"/>
    <w:rsid w:val="57603BB1"/>
    <w:rsid w:val="58A51255"/>
    <w:rsid w:val="595D37AB"/>
    <w:rsid w:val="5A78258D"/>
    <w:rsid w:val="5F396ED2"/>
    <w:rsid w:val="6292056C"/>
    <w:rsid w:val="62B6730F"/>
    <w:rsid w:val="661B7096"/>
    <w:rsid w:val="6D8844BE"/>
    <w:rsid w:val="6EC72CB8"/>
    <w:rsid w:val="6EEF1BA2"/>
    <w:rsid w:val="6F560557"/>
    <w:rsid w:val="714C4AAE"/>
    <w:rsid w:val="78CF030E"/>
    <w:rsid w:val="7A3743E7"/>
    <w:rsid w:val="7E641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A2E901E-6AE8-4C11-9186-E31CA23C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annotation reference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qFormat/>
    <w:rPr>
      <w:sz w:val="18"/>
      <w:szCs w:val="18"/>
    </w:rPr>
  </w:style>
  <w:style w:type="paragraph" w:styleId="a5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annotation reference"/>
    <w:qFormat/>
    <w:rPr>
      <w:sz w:val="21"/>
      <w:szCs w:val="21"/>
    </w:rPr>
  </w:style>
  <w:style w:type="character" w:customStyle="1" w:styleId="Char0">
    <w:name w:val="批注框文本 Char"/>
    <w:link w:val="a4"/>
    <w:qFormat/>
    <w:rPr>
      <w:kern w:val="2"/>
      <w:sz w:val="18"/>
      <w:szCs w:val="18"/>
    </w:rPr>
  </w:style>
  <w:style w:type="character" w:customStyle="1" w:styleId="Char1">
    <w:name w:val="页脚 Char"/>
    <w:link w:val="a5"/>
    <w:qFormat/>
    <w:rPr>
      <w:kern w:val="2"/>
      <w:sz w:val="18"/>
      <w:szCs w:val="18"/>
    </w:rPr>
  </w:style>
  <w:style w:type="character" w:customStyle="1" w:styleId="Char2">
    <w:name w:val="页眉 Char"/>
    <w:link w:val="a6"/>
    <w:qFormat/>
    <w:rPr>
      <w:kern w:val="2"/>
      <w:sz w:val="18"/>
      <w:szCs w:val="18"/>
    </w:rPr>
  </w:style>
  <w:style w:type="character" w:customStyle="1" w:styleId="Char">
    <w:name w:val="批注文字 Char"/>
    <w:basedOn w:val="a0"/>
    <w:link w:val="a3"/>
    <w:qFormat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757</Words>
  <Characters>4319</Characters>
  <Application>Microsoft Office Word</Application>
  <DocSecurity>0</DocSecurity>
  <Lines>35</Lines>
  <Paragraphs>10</Paragraphs>
  <ScaleCrop>false</ScaleCrop>
  <Company>Microsoft</Company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尚小诗</cp:lastModifiedBy>
  <cp:revision>3</cp:revision>
  <dcterms:created xsi:type="dcterms:W3CDTF">2026-10-30T07:32:00Z</dcterms:created>
  <dcterms:modified xsi:type="dcterms:W3CDTF">2026-10-30T07:47:00Z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0E260B7BE15B4986B34016B201280DD1_13</vt:lpwstr>
  </property>
  <property fmtid="{D5CDD505-2E9C-101B-9397-08002B2CF9AE}" pid="4" name="KSOTemplateDocerSaveRecord">
    <vt:lpwstr>eyJoZGlkIjoiY2ViZjRhNTk4NjBkNjAwZTBiOTQ1YWEyOGJiODE5NjAiLCJ1c2VySWQiOiI2MTQ1MTI5OTEifQ==</vt:lpwstr>
  </property>
</Properties>
</file>