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02E120">
      <w:pPr>
        <w:snapToGrid w:val="0"/>
        <w:spacing w:line="360" w:lineRule="auto"/>
        <w:rPr>
          <w:rFonts w:hint="eastAsia" w:ascii="宋体" w:hAnsi="宋体" w:eastAsia="宋体"/>
          <w:bCs/>
          <w:iCs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bCs/>
          <w:iCs/>
          <w:color w:val="000000"/>
          <w:sz w:val="24"/>
          <w:szCs w:val="24"/>
        </w:rPr>
        <w:t>证券代码：6</w:t>
      </w:r>
      <w:r>
        <w:rPr>
          <w:rFonts w:ascii="宋体" w:hAnsi="宋体"/>
          <w:bCs/>
          <w:iCs/>
          <w:color w:val="000000"/>
          <w:sz w:val="24"/>
          <w:szCs w:val="24"/>
        </w:rPr>
        <w:t>00</w:t>
      </w:r>
      <w:r>
        <w:rPr>
          <w:rFonts w:hint="eastAsia" w:ascii="宋体" w:hAnsi="宋体"/>
          <w:bCs/>
          <w:iCs/>
          <w:color w:val="000000"/>
          <w:sz w:val="24"/>
          <w:szCs w:val="24"/>
          <w:lang w:val="en-US" w:eastAsia="zh-CN"/>
        </w:rPr>
        <w:t>826</w:t>
      </w:r>
      <w:r>
        <w:rPr>
          <w:rFonts w:hint="eastAsia" w:ascii="宋体" w:hAnsi="宋体"/>
          <w:bCs/>
          <w:iCs/>
          <w:color w:val="000000"/>
          <w:sz w:val="24"/>
          <w:szCs w:val="24"/>
        </w:rPr>
        <w:t xml:space="preserve">                         </w:t>
      </w:r>
      <w:r>
        <w:rPr>
          <w:rFonts w:ascii="宋体" w:hAnsi="宋体"/>
          <w:bCs/>
          <w:iCs/>
          <w:color w:val="000000"/>
          <w:sz w:val="24"/>
          <w:szCs w:val="24"/>
        </w:rPr>
        <w:t xml:space="preserve">          </w:t>
      </w:r>
      <w:r>
        <w:rPr>
          <w:rFonts w:hint="eastAsia" w:ascii="宋体" w:hAnsi="宋体"/>
          <w:bCs/>
          <w:iCs/>
          <w:color w:val="000000"/>
          <w:sz w:val="24"/>
          <w:szCs w:val="24"/>
        </w:rPr>
        <w:t>证券简称：</w:t>
      </w:r>
      <w:r>
        <w:rPr>
          <w:rFonts w:hint="eastAsia" w:ascii="宋体" w:hAnsi="宋体"/>
          <w:bCs/>
          <w:iCs/>
          <w:color w:val="000000"/>
          <w:sz w:val="24"/>
          <w:szCs w:val="24"/>
          <w:lang w:eastAsia="zh-CN"/>
        </w:rPr>
        <w:t>兰生股份</w:t>
      </w:r>
    </w:p>
    <w:p w14:paraId="48C6C2AF">
      <w:pPr>
        <w:snapToGrid w:val="0"/>
        <w:spacing w:line="360" w:lineRule="auto"/>
        <w:rPr>
          <w:rFonts w:ascii="仿宋" w:hAnsi="仿宋" w:eastAsia="仿宋"/>
          <w:bCs/>
          <w:iCs/>
          <w:color w:val="000000"/>
          <w:sz w:val="28"/>
          <w:szCs w:val="28"/>
        </w:rPr>
      </w:pPr>
    </w:p>
    <w:p w14:paraId="656222B9">
      <w:pPr>
        <w:adjustRightInd w:val="0"/>
        <w:snapToGrid w:val="0"/>
        <w:spacing w:line="360" w:lineRule="auto"/>
        <w:jc w:val="center"/>
        <w:rPr>
          <w:rFonts w:ascii="华文中宋" w:hAnsi="华文中宋" w:eastAsia="华文中宋"/>
          <w:b/>
          <w:bCs/>
          <w:iCs/>
          <w:color w:val="000000"/>
          <w:sz w:val="32"/>
          <w:szCs w:val="32"/>
        </w:rPr>
      </w:pPr>
      <w:r>
        <w:rPr>
          <w:rFonts w:hint="eastAsia" w:ascii="华文中宋" w:hAnsi="华文中宋" w:eastAsia="华文中宋"/>
          <w:b/>
          <w:bCs/>
          <w:iCs/>
          <w:color w:val="000000"/>
          <w:sz w:val="32"/>
          <w:szCs w:val="32"/>
        </w:rPr>
        <w:t>东浩兰生会展集团股份有限公司</w:t>
      </w:r>
    </w:p>
    <w:p w14:paraId="268351C2">
      <w:pPr>
        <w:adjustRightInd w:val="0"/>
        <w:snapToGrid w:val="0"/>
        <w:spacing w:line="360" w:lineRule="auto"/>
        <w:jc w:val="center"/>
        <w:rPr>
          <w:rFonts w:ascii="华文中宋" w:hAnsi="华文中宋" w:eastAsia="华文中宋"/>
          <w:b/>
          <w:bCs/>
          <w:iCs/>
          <w:color w:val="000000"/>
          <w:sz w:val="32"/>
          <w:szCs w:val="32"/>
        </w:rPr>
      </w:pPr>
      <w:r>
        <w:rPr>
          <w:rFonts w:hint="eastAsia" w:ascii="华文中宋" w:hAnsi="华文中宋" w:eastAsia="华文中宋"/>
          <w:b/>
          <w:bCs/>
          <w:iCs/>
          <w:color w:val="000000"/>
          <w:sz w:val="32"/>
          <w:szCs w:val="32"/>
        </w:rPr>
        <w:t>投资者关系活动记录表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6458"/>
      </w:tblGrid>
      <w:tr w14:paraId="55A4D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066788"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8"/>
                <w:szCs w:val="28"/>
              </w:rPr>
              <w:t xml:space="preserve">                                                     </w:t>
            </w:r>
          </w:p>
          <w:p w14:paraId="4D217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313" w:beforeLines="10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投资者关系活动类别</w:t>
            </w:r>
          </w:p>
          <w:p w14:paraId="184642B6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79F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 xml:space="preserve">特定对象调研        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分析师会议</w:t>
            </w:r>
          </w:p>
          <w:p w14:paraId="141B390A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 xml:space="preserve">媒体采访            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业绩说明会</w:t>
            </w:r>
          </w:p>
          <w:p w14:paraId="7367F36B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 xml:space="preserve">新闻发布会          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路演活动</w:t>
            </w:r>
          </w:p>
          <w:p w14:paraId="75F25850">
            <w:pPr>
              <w:tabs>
                <w:tab w:val="left" w:pos="3045"/>
                <w:tab w:val="center" w:pos="3199"/>
              </w:tabs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现场参观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ab/>
            </w:r>
          </w:p>
          <w:p w14:paraId="6D32EC6C">
            <w:pPr>
              <w:tabs>
                <w:tab w:val="center" w:pos="3199"/>
              </w:tabs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其他 （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  <w:u w:val="single"/>
              </w:rPr>
              <w:t>请文字说明其他活动内容）</w:t>
            </w:r>
          </w:p>
        </w:tc>
      </w:tr>
      <w:tr w14:paraId="558C5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641D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sz w:val="24"/>
                <w:szCs w:val="24"/>
                <w:highlight w:val="none"/>
              </w:rPr>
              <w:t>参与人员</w:t>
            </w: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D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hint="default"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嘉实基金、创金合信基金、申万菱信基金、摩根士丹利基金、太平资产、富国基金、国联基金、银河基金、华宝基金、银河证券、华夏基金、南方基金、建信基金、平安基金、银华基金、国联安基金、嘉合基金、长信基金、信达澳亚基金、万家基金、鹏华基金、信诚基金、长城基金、融通基金、睿远基金、华安基金、海富通基金、汇添富基金、诺安基金、景顺长城基金、农银汇理基金、财通证券、前海开源基金、鑫元基金、西部利得基金、浙商证券、国海富兰克林、太平洋资产、富安达基金、易方达基金、汇华理财、圆信永丰基金、泰信基金、中银基金、中信证券、平安理财、招银理财、广发证券、安信证券、IDG资本、长安基金、合众资产、中泰证券、天风证券、坚果基金、华夏久盈、华泰证券、上海信托、海港人寿、宁银理财、江苏瑞华、常春藤私募基金</w:t>
            </w:r>
            <w:r>
              <w:rPr>
                <w:rFonts w:hint="eastAsia" w:ascii="Segoe UI" w:hAnsi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、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大成基金、民生加银基金、天弘基金、西部证券、阳光资产管理、浙商资管、歌汝私募基金、荣冰私募基金、国泰海通</w:t>
            </w:r>
          </w:p>
          <w:p w14:paraId="07F17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none"/>
              </w:rPr>
              <w:t>（排名不分先后）</w:t>
            </w:r>
          </w:p>
        </w:tc>
      </w:tr>
      <w:tr w14:paraId="390F9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94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会议时间</w:t>
            </w: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EC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hint="default"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none"/>
                <w:lang w:val="en-US" w:eastAsia="zh-CN"/>
              </w:rPr>
              <w:t>2026年10月26-30日</w:t>
            </w:r>
          </w:p>
        </w:tc>
      </w:tr>
      <w:tr w14:paraId="6C471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EE5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会议地点</w:t>
            </w: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8C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jc w:val="left"/>
              <w:textAlignment w:val="auto"/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公司会议室、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val="en-US" w:eastAsia="zh-CN"/>
              </w:rPr>
              <w:t>线上</w:t>
            </w:r>
          </w:p>
        </w:tc>
      </w:tr>
      <w:tr w14:paraId="6BCAD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62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会议形式</w:t>
            </w: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C8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hint="default" w:eastAsia="宋体" w:asciiTheme="minorEastAsia" w:hAnsiTheme="minorEastAsia"/>
                <w:bCs/>
                <w:i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现场会议、电话会议</w:t>
            </w:r>
          </w:p>
        </w:tc>
      </w:tr>
      <w:tr w14:paraId="6E23B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E3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公司接待人员姓名</w:t>
            </w: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6E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highlight w:val="none"/>
              </w:rPr>
              <w:t>职工董事、副总裁、董事会秘书：张荣健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；</w:t>
            </w:r>
          </w:p>
          <w:p w14:paraId="14893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default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eastAsia="zh-CN"/>
              </w:rPr>
              <w:t>证券事务代表：俞璟贇</w:t>
            </w: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  <w:lang w:val="en-US" w:eastAsia="zh-CN"/>
              </w:rPr>
              <w:t>等</w:t>
            </w:r>
          </w:p>
        </w:tc>
      </w:tr>
      <w:tr w14:paraId="41EED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38E3A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投资者关系活动主要内容介绍</w:t>
            </w:r>
          </w:p>
          <w:p w14:paraId="79A4392F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C25D7">
            <w:pPr>
              <w:pStyle w:val="2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 w:line="360" w:lineRule="auto"/>
              <w:jc w:val="both"/>
              <w:textAlignment w:val="auto"/>
              <w:rPr>
                <w:rFonts w:hint="default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一、</w:t>
            </w:r>
            <w:r>
              <w:rPr>
                <w:rFonts w:hint="default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问答纪要</w:t>
            </w:r>
          </w:p>
          <w:p w14:paraId="10A5200E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 xml:space="preserve">1.问：公司上半年业绩不理想但三季度回升，全年营收能否实现增长？主要支撑点有哪些？请拆解各业务板块增量脉络，并说明第三季度单季毛利率同比提升的来源及持续性。 </w:t>
            </w:r>
          </w:p>
          <w:p w14:paraId="297163D8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上半年场馆业务下滑主要受两方面影响：一是个别传统展会出现一定程度的下滑，二是世博展览馆租赁收入承压、出租率走低，由于展馆运营成本较为刚性，营收下滑导致毛利率受到显著影响。但从全局看，公司业务仍具韧性，下半年核心看点在于多个高影响力项目集中落地，如世界人工智能大会、中国工博会、上海马拉松等。世界人工智能大会在展览面积、企业数量、观众人次等方面均实现大幅增长，成为重要增量来源；工博会移至四季度，进一步增强第四季度收入确定性；世界技能大赛等新增一次性项目对营收带来增量贡献。</w:t>
            </w:r>
          </w:p>
          <w:p w14:paraId="192351C7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从业务的四个板块来拆分，展览组织收入占比约为50%，前三季度同比略有增长，其中第三季度表现较好；场馆业务收入占比约为15%，前三季度收入下滑超过10%，拖累毛利率；体育赛事前三季度营收同比增长，核心赛事上马在第四季度举办，收入尚未完全体现；会展服务营收增速较快，主要是服务保障类项目带来明显一次性增量，但其业务性质决定毛利水平较低。前三季度整体毛利率为27.19%，较去年略降，全年来看，随着工博会、上马等核心项目接续落地，有望得到一定程度回升。</w:t>
            </w:r>
          </w:p>
          <w:p w14:paraId="47433B8B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0B585D7B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 xml:space="preserve">2.问：今年人工智能大会对第三季度的贡献如何？其收入与利润增长、收入构成结构、客单价提升空间，以及非展期子品牌的收入与业绩贡献分别怎样？ </w:t>
            </w:r>
          </w:p>
          <w:p w14:paraId="0BC174C8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世界人工智能大会于7月举办，对三季度营收利润贡献明显。随着大会规格的提升，政府投入与市场开拓同步增加，展览面积由7万增至10万平方米，由单馆扩展为三地四馆，参展商从去年800家左右增至1100余家，规模创历史新高。</w:t>
            </w:r>
          </w:p>
          <w:p w14:paraId="41E8DB26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从收入构成看，总体收入仍主要依托7月大会，大会的展位、门票等均处于供不应求的状态，客单价有一定提升空间；盈利模式不同于普通展会，除展位费外还有权益收入（含论坛、门票、广告等权益），因此更为多元。威客引力公司也正围绕子品牌逐步进行拓展，但全年生态收入尚处于探索阶段。</w:t>
            </w:r>
          </w:p>
          <w:p w14:paraId="69517FF4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3D101482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问：工博会为何从往年三季度调整至四季度？对后续安排有何影响？</w:t>
            </w:r>
          </w:p>
          <w:p w14:paraId="23CC1364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工博会常规档期在每年9月，今年为保障世界技能大赛，国家会展中心全馆用于该赛事，工博会档期因此推迟至第四季度，2027年工博会展期将回归第三季度。工博会今年10月在国家会展中心举办，规模31万平方米，属于成熟稳定的项目。</w:t>
            </w:r>
          </w:p>
          <w:p w14:paraId="310302F6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46BB0538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4.问：上马若明年加入大满贯序列，招商与赞助商进展、收入确认节奏、成本投入及赞助商结构如何？盈利前景怎样？</w:t>
            </w:r>
          </w:p>
          <w:p w14:paraId="5CB9F86B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上海马拉松将在今年12月6日举办，去年已经通过大满贯第一阶段评估，如本次第二轮评估通过，则上马可以在明年加入世界马拉松大满贯序列。今年全马报名达38万余人，国际跑者超1.3万人，全球关注度提升，对后续带动赞助商签约续约、赞助金额提升有正向影响。今年上马30周年叠加冲刺大满贯会增加各方面的投入，短期内对成本端会有一定影响，但中长期看随着赞助合同重签、盈利模式拓展，有望带来增量收入。</w:t>
            </w:r>
          </w:p>
          <w:p w14:paraId="69AD2F72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3944B7C8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5.问：世界技能大赛这类一次性项目对利润有何影响？明年有哪些大型项目弥补此类缺口？</w:t>
            </w:r>
          </w:p>
          <w:p w14:paraId="7111B034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世界技能大赛于9月下旬在国家会展中心举办，公司承担大量赛事保障与运营服务，对营收形成显著拉动；但世技赛属于服务保障类项目，毛利水平偏低，对利润端影响不大，其品牌效应与市场关注度有助于提升整体业务能见度，对增强全年营收提供一定保障。</w:t>
            </w:r>
          </w:p>
          <w:p w14:paraId="63F8446E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近几年公司营收相对有保障，今年有世界技能大赛，明年将参与世界无线电通信大会，均为世界级大型项目，对业务规模形成较好支撑，也会进一步提升DEXPO品牌影响力。</w:t>
            </w:r>
          </w:p>
          <w:p w14:paraId="27808943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02286A26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6.问：收购无锡汇跑少数股权的协同与业绩贡献如何？后续对无锡汇跑项目的规划怎样？</w:t>
            </w:r>
          </w:p>
          <w:p w14:paraId="7874C47B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司目前对无锡汇跑的持股比例为26%，参股不并表。无锡汇跑为民营企业，运营灵活，成本控制与效率较高；上马则具有稀缺性与独特性，不易复制。二者具有差异性定位，体育公司以往业务多集中于上海，而汇跑则具备较强的异地拓展与复制能力，因此，双方合作将有助于进一步拓展外地路跑、越野跑等赛事，有效资源互补。若未来其运营良好，公司也不排除进一步扩大收购比例。</w:t>
            </w:r>
          </w:p>
          <w:p w14:paraId="4FB7F4B1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2F2185CD">
            <w:pPr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问：请介绍当前金融资产持仓结构、第四季度或后续处置转仓安排？非经常性损益波动较大的原因是什么？投资收益中权益法核算部分占比与构成？金融资产分红是否提升？</w:t>
            </w:r>
          </w:p>
          <w:p w14:paraId="249ADA72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交易性金融资产主要持仓为上海国企ETF及两只汇添富产品，9月底市值3亿多；其他权益工具投资主要是国泰海通和银行股，9月底市值约15亿元。</w:t>
            </w:r>
          </w:p>
          <w:p w14:paraId="24797393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非经常性损益波动主要源于交易性金融资产公允价值变动，前三季度公允价值变动损失约3000万元，相较去年同期正收益形成反向拖累。投资收益中权益法核算部分主要包括东瑞会展基金、申创申辉基金等股权投资收益，以及兰生大厦等按持股比例折算的权益法收益，近年来陆续产生稳定回报。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金融资产分红较去年有所提升，主要体现在银行、券商等金融机构分红增加。</w:t>
            </w:r>
          </w:p>
          <w:p w14:paraId="356A71B3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427780AA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8.问：请介绍整体分红规划与目标，公司如何看待市值管理与股东回报？是否可能进一步提升分红比例？现金流是否足以支撑持续高分红？</w:t>
            </w:r>
          </w:p>
          <w:p w14:paraId="2009B4DD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重组以来公司已连续五年分红比例超过50%，发布了2025至2027三个年度分红规划，承诺不低于50%的分红比例，近年实际均达成且有提升趋势。公司积极响应提质增效行动，自2024年起连续三年实施中期分红，2024、2025两个年度现金分红比例达66%，今年中期分红比例超83%；公司也会继续探索更多的股东回报手段。</w:t>
            </w:r>
          </w:p>
          <w:p w14:paraId="09C75587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司高度重视市值管理与股东回报，2024年曾因股价跌破净资产进行过一次亿元级回购并已于今年完成注销，未来条件合适也不排除继续回购。公司现金流状况良好，展会与赛事项目均为优质现金流入来源、应收账款较少，加上持有大量金融资产与现金储备，每年盈利足以覆盖分红支出，具备高比例现金分红的可持续性。</w:t>
            </w:r>
          </w:p>
          <w:p w14:paraId="6C4AA2A3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5A0D1EDA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9.问：公司与久事及力盛等之间的协作与竞争主要体现在哪些方面？体育板块的定位与布局如何？</w:t>
            </w:r>
          </w:p>
          <w:p w14:paraId="77BC69EA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公司旗下体育公司主要围绕自主IP体育赛事开展运营，承办上海马拉松、上海赛艇公开赛、上海帆船公开赛等赛事，整体发展态势良好，全年赛事场次达十余场。久事集团的体育赛事业务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以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引进国际头部赛事为主，核心运营F1中国大奖赛、ATP1000上海网球大师赛、世界斯诺克上海大师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赛等项目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两者业务各有特色，并不存在明显竞争态势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2026年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公司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与力盛体育正式签署战略合作协议，双方定位为“文商旅体展”融合方向的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战略协作伙伴，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探索将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力盛在汽车运动全产业链及海南赛车场基建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的优势与公司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在路跑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水上赛事IP及会展组织、场馆运营能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力等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方面的资源进行互补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。</w:t>
            </w:r>
          </w:p>
          <w:p w14:paraId="1E6429F9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体育板块是公司未来发展的主要领域和方向之一。公司已明确锚定AI科技与体育赛事两大核心赛道，围绕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三上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赛事拓展体育产业生态链，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布局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赛事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运营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体育空间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运营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体育展览、体育旅游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数字体育五大业务，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推动文商旅体展融合发展。</w:t>
            </w:r>
          </w:p>
          <w:p w14:paraId="7E6CF203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43452521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10.问：如何展望明年宏观环境？出海业务是提供会展服务还是深耕特定赛道？出海规划与展望如何？</w:t>
            </w:r>
          </w:p>
          <w:p w14:paraId="69183DD2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世博展览馆一定程度上呈现了会展行业的缩影，可以观察到，2023至2024年行业复苏较好，近一两年展馆业务的下滑反映企业运营困难与开支缩减，受到了宏观经济的滞后影响，预计也是一个筑底过程。公司业务总体稳健，除个别传统行业展会、展馆业务受冲击较大下滑明显外，其余项目相对稳健，人工智能大会、宠物经济等赛道保持增速。</w:t>
            </w:r>
          </w:p>
          <w:p w14:paraId="18B3D577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出海方面，公司去年出资1000万美元在香港设立全资子公司，依托该平台，工博会、WAIC等项目已在新加坡、中国香港、泰国等地布局，工博会今年7月在泰国首次举办，WAIC新加坡AIMX论坛、2026 WAIC UP！全球年终盛会、WAIC CONNECT香港活动等品牌境外活动落地。出海方向更偏向核心赛道深耕，一方面带着有产业需求的中国企业“走出去”，未来条件合适本地化发展，另一方面与海外主办方、协会机构探索合作办展。</w:t>
            </w:r>
          </w:p>
          <w:p w14:paraId="677C8F92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669129D1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11.问：展馆业务明年回升趋势、上海地域内场馆竞争态势及内部提质增效举措分别是什么？四季度是否显示宏观改善？</w:t>
            </w:r>
          </w:p>
          <w:p w14:paraId="6EF2C1B1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展馆业务今年下滑趋势明显，从明年排期与订单看，基本面有望改善，初步判断今年展馆出租率触底，明年有一定回升，侧面反映宏观触底反弹。公司的展馆运营目前仍以世博展览馆为主，未来也会通过管理输出等方式进一步扩展物理空间。世博展览馆运用文商旅体展综合模式，将东北角围墙打开，与世博中心、世博天地连通，打造沉浸式互动体验场景Station X，做新型的业态尝试。</w:t>
            </w:r>
          </w:p>
          <w:p w14:paraId="0B70E521">
            <w:pPr>
              <w:adjustRightInd w:val="0"/>
              <w:snapToGrid w:val="0"/>
              <w:spacing w:line="360" w:lineRule="auto"/>
              <w:jc w:val="both"/>
              <w:rPr>
                <w:rFonts w:hint="default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  <w:p w14:paraId="198FE902">
            <w:pPr>
              <w:adjustRightInd w:val="0"/>
              <w:snapToGrid w:val="0"/>
              <w:spacing w:line="360" w:lineRule="auto"/>
              <w:jc w:val="both"/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12.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</w:rPr>
              <w:t>问：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2025年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</w:rPr>
              <w:t>公司各方面业绩均创出历史新高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val="en-US" w:eastAsia="zh-CN"/>
              </w:rPr>
              <w:t>公司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  <w:lang w:eastAsia="zh-CN"/>
              </w:rPr>
              <w:t>如何看待由“量变”到“质变”的变化？</w:t>
            </w: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</w:rPr>
              <w:t>作为会展行业龙头，公司的护城河或核心资产体现在哪些方面？</w:t>
            </w:r>
          </w:p>
          <w:p w14:paraId="161A2D79">
            <w:pPr>
              <w:adjustRightInd w:val="0"/>
              <w:snapToGrid w:val="0"/>
              <w:spacing w:line="360" w:lineRule="auto"/>
              <w:ind w:firstLine="482" w:firstLineChars="200"/>
              <w:jc w:val="both"/>
              <w:rPr>
                <w:rFonts w:hint="eastAsia" w:eastAsia="宋体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/>
                <w:b/>
                <w:bCs/>
                <w:sz w:val="24"/>
                <w:szCs w:val="24"/>
                <w:highlight w:val="none"/>
              </w:rPr>
              <w:t>答：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公司位居国内会展企业第一梯队，是国际跨国会展企业优先选择的合作对象，也是上海开展国际会展合作的重要载体。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当前会展业的竞争逻辑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正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发生三个维度的深刻转变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公司也正积极向这些方向进行着转变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一是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由“拼数量”转向“拼质量”。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上海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会展行业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的精细化运营起步较早，目前全市三大场馆的展览面积已占全市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总量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的89%，场馆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与企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业向头部集中的市场集中度效应十分稳固。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二是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由“拼面积”转向“拼客商”。行业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核心竞争力不再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仅仅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取决于展出规模，而取决于到访客商的规模与阵营质量，以及撮合交易的能力与水平。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三是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由“拼展期”转向“拼全年”。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传统展会仅持续数天，如今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行业服务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已延伸为全天候、全周期服务，下沉到企业与产业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之中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、融入市场，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实现了由“展期热闹数天”向“全年持续运营”的转变。</w:t>
            </w:r>
          </w:p>
          <w:p w14:paraId="0FF5E6FD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从公司自身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来看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，差异化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竞争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优势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主要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体现在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一是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政府IP资源的深度绑定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工博会、世界人工智能大会、上海马拉松等均为公司参与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打造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的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重要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IP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；二是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全产业链闭环。公司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已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形成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展会、赛事、场馆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等板块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的业务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闭环，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可向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客户提供一站式服务。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三是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UFI认证形成的国际项目集群。公司拥有5个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获得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国际（UFI）认证的展会，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相关项目已获得国际认可，具备全球推广基础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。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四是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世博展览馆的稀缺区位。世博展览馆地处市中心，与新国际博览中心、国家会展中心形成差异化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布局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，具备承接会议与活动的独特优势；目前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已与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张江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科学会堂联动形成矩阵，为场馆运营收入与项目孵化提供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了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稳定的空间基础。</w:t>
            </w:r>
          </w:p>
          <w:p w14:paraId="7C8B7B18">
            <w:pPr>
              <w:adjustRightInd w:val="0"/>
              <w:snapToGrid w:val="0"/>
              <w:spacing w:line="360" w:lineRule="auto"/>
              <w:ind w:firstLine="480" w:firstLineChars="200"/>
              <w:jc w:val="both"/>
              <w:rPr>
                <w:rFonts w:hint="default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面对行业周期风险，公司以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优势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IP展会作为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压舱石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稳住基本盘；以数字化转型与增值服务提升单位价值创造能力；以国际化拓展作为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依托，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</w:rPr>
              <w:t>带动中国企业走向东南亚乃至全球市场。公司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将</w:t>
            </w: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highlight w:val="none"/>
                <w:lang w:eastAsia="zh-CN"/>
              </w:rPr>
              <w:t>着力保障核心赛道的不可替代性，并持续强化这一优势。</w:t>
            </w:r>
          </w:p>
        </w:tc>
      </w:tr>
      <w:tr w14:paraId="462B1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5" w:hRule="atLeast"/>
        </w:trPr>
        <w:tc>
          <w:tcPr>
            <w:tcW w:w="1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0A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textAlignment w:val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  <w:t>关于本次活动是否涉及应披露重大信息的说明</w:t>
            </w:r>
          </w:p>
        </w:tc>
        <w:tc>
          <w:tcPr>
            <w:tcW w:w="6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05289">
            <w:pPr>
              <w:adjustRightInd w:val="0"/>
              <w:snapToGrid w:val="0"/>
              <w:spacing w:line="360" w:lineRule="auto"/>
              <w:rPr>
                <w:rFonts w:asciiTheme="minorEastAsia" w:hAnsiTheme="minorEastAsia" w:eastAsiaTheme="minor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交流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过程中，公司严格按照有关制度要求，没有出现未公开重大信息泄露等情况。</w:t>
            </w:r>
          </w:p>
        </w:tc>
      </w:tr>
    </w:tbl>
    <w:p w14:paraId="7E0C2EFC">
      <w:pPr>
        <w:spacing w:line="560" w:lineRule="exact"/>
        <w:rPr>
          <w:rFonts w:ascii="仿宋" w:hAnsi="仿宋" w:eastAsia="仿宋"/>
          <w:color w:val="000000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C8FDB0">
    <w:pPr>
      <w:pStyle w:val="6"/>
      <w:jc w:val="center"/>
    </w:pPr>
  </w:p>
  <w:p w14:paraId="18B93EBA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BE7636"/>
    <w:multiLevelType w:val="singleLevel"/>
    <w:tmpl w:val="44BE7636"/>
    <w:lvl w:ilvl="0" w:tentative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933D5A0"/>
    <w:multiLevelType w:val="singleLevel"/>
    <w:tmpl w:val="4933D5A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5YTIzYjRiNzQyOGIwZjgyOTNlOGVkMzYxMDJlOGUifQ=="/>
  </w:docVars>
  <w:rsids>
    <w:rsidRoot w:val="00534EC7"/>
    <w:rsid w:val="00000760"/>
    <w:rsid w:val="00017330"/>
    <w:rsid w:val="00020FEE"/>
    <w:rsid w:val="00021249"/>
    <w:rsid w:val="000217CC"/>
    <w:rsid w:val="00036C31"/>
    <w:rsid w:val="00040B0B"/>
    <w:rsid w:val="00047460"/>
    <w:rsid w:val="000534FF"/>
    <w:rsid w:val="0005646B"/>
    <w:rsid w:val="000570DC"/>
    <w:rsid w:val="00061133"/>
    <w:rsid w:val="00071393"/>
    <w:rsid w:val="000850E0"/>
    <w:rsid w:val="00090D31"/>
    <w:rsid w:val="0009135D"/>
    <w:rsid w:val="00096403"/>
    <w:rsid w:val="000B616A"/>
    <w:rsid w:val="000B6D71"/>
    <w:rsid w:val="000C0420"/>
    <w:rsid w:val="000C19BA"/>
    <w:rsid w:val="000C4C0C"/>
    <w:rsid w:val="000C52C5"/>
    <w:rsid w:val="000D6EEC"/>
    <w:rsid w:val="000E016E"/>
    <w:rsid w:val="000E03EE"/>
    <w:rsid w:val="000E41FD"/>
    <w:rsid w:val="000E46D1"/>
    <w:rsid w:val="000F3C01"/>
    <w:rsid w:val="00101B6B"/>
    <w:rsid w:val="00101E58"/>
    <w:rsid w:val="001038FD"/>
    <w:rsid w:val="001049D8"/>
    <w:rsid w:val="001224BC"/>
    <w:rsid w:val="00130FB3"/>
    <w:rsid w:val="00133DB5"/>
    <w:rsid w:val="00151D20"/>
    <w:rsid w:val="00155339"/>
    <w:rsid w:val="00157EA2"/>
    <w:rsid w:val="0016222E"/>
    <w:rsid w:val="001641E0"/>
    <w:rsid w:val="00172591"/>
    <w:rsid w:val="00177A98"/>
    <w:rsid w:val="001877B1"/>
    <w:rsid w:val="001D0D0B"/>
    <w:rsid w:val="001E4AF9"/>
    <w:rsid w:val="001F4C14"/>
    <w:rsid w:val="0020392E"/>
    <w:rsid w:val="002339BD"/>
    <w:rsid w:val="002350AC"/>
    <w:rsid w:val="00253294"/>
    <w:rsid w:val="00264E51"/>
    <w:rsid w:val="0029551D"/>
    <w:rsid w:val="00296064"/>
    <w:rsid w:val="00297CCB"/>
    <w:rsid w:val="002C1BE8"/>
    <w:rsid w:val="002C296A"/>
    <w:rsid w:val="002C5F88"/>
    <w:rsid w:val="002D0E08"/>
    <w:rsid w:val="002F2C8D"/>
    <w:rsid w:val="002F2D8C"/>
    <w:rsid w:val="002F4F0B"/>
    <w:rsid w:val="0030167B"/>
    <w:rsid w:val="00310141"/>
    <w:rsid w:val="00320369"/>
    <w:rsid w:val="00322DBA"/>
    <w:rsid w:val="00340453"/>
    <w:rsid w:val="003464F5"/>
    <w:rsid w:val="00347C77"/>
    <w:rsid w:val="00352BCB"/>
    <w:rsid w:val="00376505"/>
    <w:rsid w:val="00376B2F"/>
    <w:rsid w:val="00381E11"/>
    <w:rsid w:val="00385F13"/>
    <w:rsid w:val="00392FE0"/>
    <w:rsid w:val="003A53BB"/>
    <w:rsid w:val="003B0604"/>
    <w:rsid w:val="003B11B2"/>
    <w:rsid w:val="003B11C4"/>
    <w:rsid w:val="003B6D9E"/>
    <w:rsid w:val="003C5681"/>
    <w:rsid w:val="003D0493"/>
    <w:rsid w:val="003D3AF0"/>
    <w:rsid w:val="003D6140"/>
    <w:rsid w:val="003D715F"/>
    <w:rsid w:val="003F0D3D"/>
    <w:rsid w:val="003F1393"/>
    <w:rsid w:val="003F7368"/>
    <w:rsid w:val="003F7511"/>
    <w:rsid w:val="0040048E"/>
    <w:rsid w:val="004026EF"/>
    <w:rsid w:val="00404B8E"/>
    <w:rsid w:val="00404D87"/>
    <w:rsid w:val="00406DCD"/>
    <w:rsid w:val="004146FA"/>
    <w:rsid w:val="0042526C"/>
    <w:rsid w:val="0043137E"/>
    <w:rsid w:val="00436D53"/>
    <w:rsid w:val="00450949"/>
    <w:rsid w:val="00454C50"/>
    <w:rsid w:val="004641D2"/>
    <w:rsid w:val="00465195"/>
    <w:rsid w:val="0046708E"/>
    <w:rsid w:val="00474BFE"/>
    <w:rsid w:val="004758C4"/>
    <w:rsid w:val="004820FB"/>
    <w:rsid w:val="004845FF"/>
    <w:rsid w:val="004951B3"/>
    <w:rsid w:val="004952AC"/>
    <w:rsid w:val="004A2F83"/>
    <w:rsid w:val="004B1627"/>
    <w:rsid w:val="004B1C85"/>
    <w:rsid w:val="004B3739"/>
    <w:rsid w:val="004C12E4"/>
    <w:rsid w:val="004D5D8B"/>
    <w:rsid w:val="004F7080"/>
    <w:rsid w:val="005006EF"/>
    <w:rsid w:val="0050072E"/>
    <w:rsid w:val="0050536A"/>
    <w:rsid w:val="005107BE"/>
    <w:rsid w:val="00511D07"/>
    <w:rsid w:val="005307C1"/>
    <w:rsid w:val="00534EC7"/>
    <w:rsid w:val="00585797"/>
    <w:rsid w:val="00590E90"/>
    <w:rsid w:val="00591585"/>
    <w:rsid w:val="00593BFF"/>
    <w:rsid w:val="00594F2B"/>
    <w:rsid w:val="00595098"/>
    <w:rsid w:val="005B60A9"/>
    <w:rsid w:val="005B71F1"/>
    <w:rsid w:val="005C3518"/>
    <w:rsid w:val="005D5F2D"/>
    <w:rsid w:val="005E236E"/>
    <w:rsid w:val="005E4E09"/>
    <w:rsid w:val="005F15A9"/>
    <w:rsid w:val="005F229B"/>
    <w:rsid w:val="0060389B"/>
    <w:rsid w:val="00612FEE"/>
    <w:rsid w:val="00614381"/>
    <w:rsid w:val="006317A3"/>
    <w:rsid w:val="00643070"/>
    <w:rsid w:val="0064406A"/>
    <w:rsid w:val="006444E7"/>
    <w:rsid w:val="00651303"/>
    <w:rsid w:val="006529B5"/>
    <w:rsid w:val="00653185"/>
    <w:rsid w:val="00655CFE"/>
    <w:rsid w:val="00664B9B"/>
    <w:rsid w:val="00672FE9"/>
    <w:rsid w:val="00681B40"/>
    <w:rsid w:val="00696AAE"/>
    <w:rsid w:val="00697323"/>
    <w:rsid w:val="0069776F"/>
    <w:rsid w:val="006B3ABB"/>
    <w:rsid w:val="006B4337"/>
    <w:rsid w:val="006B78C9"/>
    <w:rsid w:val="006C2A3C"/>
    <w:rsid w:val="006C7957"/>
    <w:rsid w:val="006C7D25"/>
    <w:rsid w:val="006D3B78"/>
    <w:rsid w:val="006D5C12"/>
    <w:rsid w:val="006E359C"/>
    <w:rsid w:val="006F6D59"/>
    <w:rsid w:val="006F7454"/>
    <w:rsid w:val="00700F95"/>
    <w:rsid w:val="00701E0D"/>
    <w:rsid w:val="00714657"/>
    <w:rsid w:val="00717CD8"/>
    <w:rsid w:val="007229E7"/>
    <w:rsid w:val="007259C2"/>
    <w:rsid w:val="00734314"/>
    <w:rsid w:val="00736E19"/>
    <w:rsid w:val="007423AC"/>
    <w:rsid w:val="007459B0"/>
    <w:rsid w:val="00745D47"/>
    <w:rsid w:val="00751CCA"/>
    <w:rsid w:val="00756FD4"/>
    <w:rsid w:val="007602EB"/>
    <w:rsid w:val="00760F70"/>
    <w:rsid w:val="00760F78"/>
    <w:rsid w:val="00764C7B"/>
    <w:rsid w:val="00772232"/>
    <w:rsid w:val="007767AC"/>
    <w:rsid w:val="00782B9A"/>
    <w:rsid w:val="007870FF"/>
    <w:rsid w:val="007954EA"/>
    <w:rsid w:val="007A341F"/>
    <w:rsid w:val="007A438D"/>
    <w:rsid w:val="007A51E5"/>
    <w:rsid w:val="007A56FB"/>
    <w:rsid w:val="007B1D0B"/>
    <w:rsid w:val="007B444F"/>
    <w:rsid w:val="007D2DDF"/>
    <w:rsid w:val="007E480A"/>
    <w:rsid w:val="007E6063"/>
    <w:rsid w:val="007E7E36"/>
    <w:rsid w:val="00803137"/>
    <w:rsid w:val="00814EE5"/>
    <w:rsid w:val="008322D0"/>
    <w:rsid w:val="00832EA1"/>
    <w:rsid w:val="008339E8"/>
    <w:rsid w:val="00834BC5"/>
    <w:rsid w:val="00837906"/>
    <w:rsid w:val="008445DE"/>
    <w:rsid w:val="00855980"/>
    <w:rsid w:val="00856D91"/>
    <w:rsid w:val="008729B5"/>
    <w:rsid w:val="0087479E"/>
    <w:rsid w:val="00877228"/>
    <w:rsid w:val="008840A3"/>
    <w:rsid w:val="00884AD7"/>
    <w:rsid w:val="00886A5F"/>
    <w:rsid w:val="00893217"/>
    <w:rsid w:val="008963C2"/>
    <w:rsid w:val="00897A6D"/>
    <w:rsid w:val="008A0338"/>
    <w:rsid w:val="008A2F7F"/>
    <w:rsid w:val="008A635E"/>
    <w:rsid w:val="008A6560"/>
    <w:rsid w:val="008B10A2"/>
    <w:rsid w:val="008C2201"/>
    <w:rsid w:val="008C2CD5"/>
    <w:rsid w:val="008D0241"/>
    <w:rsid w:val="008D61B4"/>
    <w:rsid w:val="008E25B5"/>
    <w:rsid w:val="008F2FA9"/>
    <w:rsid w:val="00910595"/>
    <w:rsid w:val="009211B2"/>
    <w:rsid w:val="0092649C"/>
    <w:rsid w:val="00934F6B"/>
    <w:rsid w:val="009446A2"/>
    <w:rsid w:val="00961296"/>
    <w:rsid w:val="00967C4A"/>
    <w:rsid w:val="009721D7"/>
    <w:rsid w:val="009748A9"/>
    <w:rsid w:val="00975E41"/>
    <w:rsid w:val="00982812"/>
    <w:rsid w:val="00986B61"/>
    <w:rsid w:val="009875A5"/>
    <w:rsid w:val="009A7A77"/>
    <w:rsid w:val="009B0CE4"/>
    <w:rsid w:val="009B2449"/>
    <w:rsid w:val="009B3750"/>
    <w:rsid w:val="009B5F9C"/>
    <w:rsid w:val="009C7949"/>
    <w:rsid w:val="009D090F"/>
    <w:rsid w:val="009D4ABA"/>
    <w:rsid w:val="009D50AC"/>
    <w:rsid w:val="009D7FF0"/>
    <w:rsid w:val="009F3620"/>
    <w:rsid w:val="00A02E45"/>
    <w:rsid w:val="00A10272"/>
    <w:rsid w:val="00A10B2E"/>
    <w:rsid w:val="00A20B7D"/>
    <w:rsid w:val="00A32446"/>
    <w:rsid w:val="00A40573"/>
    <w:rsid w:val="00A462D8"/>
    <w:rsid w:val="00A5453E"/>
    <w:rsid w:val="00A80829"/>
    <w:rsid w:val="00A91A84"/>
    <w:rsid w:val="00A92284"/>
    <w:rsid w:val="00AA4A7F"/>
    <w:rsid w:val="00AB489B"/>
    <w:rsid w:val="00AB49E7"/>
    <w:rsid w:val="00AB4F12"/>
    <w:rsid w:val="00AB70B2"/>
    <w:rsid w:val="00AC1EFF"/>
    <w:rsid w:val="00AC5C1A"/>
    <w:rsid w:val="00AC6D19"/>
    <w:rsid w:val="00AD1147"/>
    <w:rsid w:val="00AD47A5"/>
    <w:rsid w:val="00AF4B2E"/>
    <w:rsid w:val="00AF7AEF"/>
    <w:rsid w:val="00B04AC2"/>
    <w:rsid w:val="00B15790"/>
    <w:rsid w:val="00B167A3"/>
    <w:rsid w:val="00B23C25"/>
    <w:rsid w:val="00B273EB"/>
    <w:rsid w:val="00B27F9A"/>
    <w:rsid w:val="00B534EF"/>
    <w:rsid w:val="00B614A6"/>
    <w:rsid w:val="00B618D8"/>
    <w:rsid w:val="00B6326B"/>
    <w:rsid w:val="00B756AB"/>
    <w:rsid w:val="00B7749C"/>
    <w:rsid w:val="00B9363C"/>
    <w:rsid w:val="00BB0971"/>
    <w:rsid w:val="00BB28BF"/>
    <w:rsid w:val="00BC2613"/>
    <w:rsid w:val="00BC276E"/>
    <w:rsid w:val="00BC46B8"/>
    <w:rsid w:val="00BD0D22"/>
    <w:rsid w:val="00BD1CE3"/>
    <w:rsid w:val="00BD429E"/>
    <w:rsid w:val="00BD5C43"/>
    <w:rsid w:val="00BE4DEC"/>
    <w:rsid w:val="00BE79CF"/>
    <w:rsid w:val="00BF25FB"/>
    <w:rsid w:val="00C312C2"/>
    <w:rsid w:val="00C369ED"/>
    <w:rsid w:val="00C44FE4"/>
    <w:rsid w:val="00C46976"/>
    <w:rsid w:val="00C52216"/>
    <w:rsid w:val="00C57BD2"/>
    <w:rsid w:val="00C608F8"/>
    <w:rsid w:val="00C72FDC"/>
    <w:rsid w:val="00C826B3"/>
    <w:rsid w:val="00C84FE7"/>
    <w:rsid w:val="00C925D1"/>
    <w:rsid w:val="00C958AE"/>
    <w:rsid w:val="00CA2592"/>
    <w:rsid w:val="00CA4537"/>
    <w:rsid w:val="00CA7701"/>
    <w:rsid w:val="00CB0A79"/>
    <w:rsid w:val="00CB1E33"/>
    <w:rsid w:val="00CB38AE"/>
    <w:rsid w:val="00CB54C8"/>
    <w:rsid w:val="00CB7E82"/>
    <w:rsid w:val="00CC1F6B"/>
    <w:rsid w:val="00CD0875"/>
    <w:rsid w:val="00CD7725"/>
    <w:rsid w:val="00CE547C"/>
    <w:rsid w:val="00CE6C8E"/>
    <w:rsid w:val="00CF09EF"/>
    <w:rsid w:val="00CF24AA"/>
    <w:rsid w:val="00D06009"/>
    <w:rsid w:val="00D104FA"/>
    <w:rsid w:val="00D15ABE"/>
    <w:rsid w:val="00D33C3B"/>
    <w:rsid w:val="00D342D7"/>
    <w:rsid w:val="00D42D1A"/>
    <w:rsid w:val="00D55C69"/>
    <w:rsid w:val="00D5720F"/>
    <w:rsid w:val="00D81B30"/>
    <w:rsid w:val="00D84A00"/>
    <w:rsid w:val="00D95328"/>
    <w:rsid w:val="00DC0D0B"/>
    <w:rsid w:val="00DC3FD9"/>
    <w:rsid w:val="00DC4EF4"/>
    <w:rsid w:val="00DD5F05"/>
    <w:rsid w:val="00DE1C1C"/>
    <w:rsid w:val="00DE3C2E"/>
    <w:rsid w:val="00DE5254"/>
    <w:rsid w:val="00DF669F"/>
    <w:rsid w:val="00E008AE"/>
    <w:rsid w:val="00E4008F"/>
    <w:rsid w:val="00E42879"/>
    <w:rsid w:val="00E50B1C"/>
    <w:rsid w:val="00E515B4"/>
    <w:rsid w:val="00E6640E"/>
    <w:rsid w:val="00E67637"/>
    <w:rsid w:val="00E67E6E"/>
    <w:rsid w:val="00E72347"/>
    <w:rsid w:val="00E73609"/>
    <w:rsid w:val="00E920B5"/>
    <w:rsid w:val="00E93B15"/>
    <w:rsid w:val="00EA47AD"/>
    <w:rsid w:val="00EB0F3A"/>
    <w:rsid w:val="00EB2B16"/>
    <w:rsid w:val="00EB5CDF"/>
    <w:rsid w:val="00EB6DC9"/>
    <w:rsid w:val="00EE681B"/>
    <w:rsid w:val="00EF62A3"/>
    <w:rsid w:val="00F0499A"/>
    <w:rsid w:val="00F17B51"/>
    <w:rsid w:val="00F207DB"/>
    <w:rsid w:val="00F225F9"/>
    <w:rsid w:val="00F22C14"/>
    <w:rsid w:val="00F331BD"/>
    <w:rsid w:val="00F4071F"/>
    <w:rsid w:val="00F4097F"/>
    <w:rsid w:val="00F40C20"/>
    <w:rsid w:val="00F51431"/>
    <w:rsid w:val="00F57F21"/>
    <w:rsid w:val="00F60335"/>
    <w:rsid w:val="00F61C39"/>
    <w:rsid w:val="00F63D93"/>
    <w:rsid w:val="00F706BB"/>
    <w:rsid w:val="00F70E42"/>
    <w:rsid w:val="00F71CF3"/>
    <w:rsid w:val="00F7681B"/>
    <w:rsid w:val="00F85C28"/>
    <w:rsid w:val="00F970A4"/>
    <w:rsid w:val="00F97CC5"/>
    <w:rsid w:val="00FB0856"/>
    <w:rsid w:val="00FB4B4C"/>
    <w:rsid w:val="00FB50E6"/>
    <w:rsid w:val="00FD3711"/>
    <w:rsid w:val="00FE0070"/>
    <w:rsid w:val="00FE2604"/>
    <w:rsid w:val="00FE28FB"/>
    <w:rsid w:val="00FE66FE"/>
    <w:rsid w:val="00FF078A"/>
    <w:rsid w:val="00FF525C"/>
    <w:rsid w:val="00FF6100"/>
    <w:rsid w:val="01CF45C8"/>
    <w:rsid w:val="04063C43"/>
    <w:rsid w:val="052A04BE"/>
    <w:rsid w:val="06714B76"/>
    <w:rsid w:val="0692702C"/>
    <w:rsid w:val="07855BFF"/>
    <w:rsid w:val="07EE003C"/>
    <w:rsid w:val="0A6A5DD8"/>
    <w:rsid w:val="0F341746"/>
    <w:rsid w:val="0FC8053D"/>
    <w:rsid w:val="113A653C"/>
    <w:rsid w:val="14784863"/>
    <w:rsid w:val="176E6C49"/>
    <w:rsid w:val="18051BBD"/>
    <w:rsid w:val="18382607"/>
    <w:rsid w:val="18C5256C"/>
    <w:rsid w:val="1B716F7D"/>
    <w:rsid w:val="1BAF6202"/>
    <w:rsid w:val="1D464944"/>
    <w:rsid w:val="1E0D504A"/>
    <w:rsid w:val="21A62FC3"/>
    <w:rsid w:val="224464F7"/>
    <w:rsid w:val="22A00099"/>
    <w:rsid w:val="23070D42"/>
    <w:rsid w:val="24113884"/>
    <w:rsid w:val="24D65CBF"/>
    <w:rsid w:val="25CA5AB0"/>
    <w:rsid w:val="25DC7BF4"/>
    <w:rsid w:val="27A33318"/>
    <w:rsid w:val="29272709"/>
    <w:rsid w:val="2A44531A"/>
    <w:rsid w:val="2C9F3729"/>
    <w:rsid w:val="2EFF3400"/>
    <w:rsid w:val="30ED3EAA"/>
    <w:rsid w:val="3108463D"/>
    <w:rsid w:val="33257333"/>
    <w:rsid w:val="35CA5CBB"/>
    <w:rsid w:val="3709705E"/>
    <w:rsid w:val="3A0432EA"/>
    <w:rsid w:val="3D49567B"/>
    <w:rsid w:val="3DD86A9B"/>
    <w:rsid w:val="3E5A622F"/>
    <w:rsid w:val="3EBD2850"/>
    <w:rsid w:val="40807FA6"/>
    <w:rsid w:val="45B9753F"/>
    <w:rsid w:val="47E35C7A"/>
    <w:rsid w:val="49FB156F"/>
    <w:rsid w:val="4B3B61D9"/>
    <w:rsid w:val="59A4257C"/>
    <w:rsid w:val="5BCD2E22"/>
    <w:rsid w:val="5BEC236B"/>
    <w:rsid w:val="5C125416"/>
    <w:rsid w:val="5C423F4D"/>
    <w:rsid w:val="5ECE111D"/>
    <w:rsid w:val="60F16C77"/>
    <w:rsid w:val="67B912C2"/>
    <w:rsid w:val="687F3E33"/>
    <w:rsid w:val="6925620C"/>
    <w:rsid w:val="6C05256A"/>
    <w:rsid w:val="6C3303D0"/>
    <w:rsid w:val="6CD25AAA"/>
    <w:rsid w:val="6E88626E"/>
    <w:rsid w:val="6EE47A54"/>
    <w:rsid w:val="7169742F"/>
    <w:rsid w:val="73283F7C"/>
    <w:rsid w:val="74DA6563"/>
    <w:rsid w:val="75103DA4"/>
    <w:rsid w:val="76865380"/>
    <w:rsid w:val="78532FC3"/>
    <w:rsid w:val="7BD209F2"/>
    <w:rsid w:val="7E9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4"/>
    <w:basedOn w:val="1"/>
    <w:next w:val="3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ajorEastAsia" w:hAnsiTheme="majorEastAsia" w:eastAsiaTheme="majorEastAsia" w:cstheme="majorBidi"/>
      <w:iCs/>
      <w:color w:val="auto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80" w:after="180"/>
    </w:pPr>
    <w:rPr>
      <w:rFonts w:asciiTheme="minorEastAsia" w:hAnsiTheme="minorEastAsia" w:eastAsiaTheme="minorEastAsia"/>
    </w:rPr>
  </w:style>
  <w:style w:type="paragraph" w:styleId="4">
    <w:name w:val="annotation text"/>
    <w:basedOn w:val="1"/>
    <w:link w:val="15"/>
    <w:semiHidden/>
    <w:unhideWhenUsed/>
    <w:qFormat/>
    <w:uiPriority w:val="99"/>
    <w:pPr>
      <w:jc w:val="left"/>
    </w:pPr>
    <w:rPr>
      <w:szCs w:val="24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7"/>
    <w:semiHidden/>
    <w:unhideWhenUsed/>
    <w:qFormat/>
    <w:uiPriority w:val="99"/>
    <w:rPr>
      <w:b/>
      <w:bCs/>
      <w:szCs w:val="20"/>
    </w:r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5">
    <w:name w:val="批注文字 字符"/>
    <w:basedOn w:val="10"/>
    <w:link w:val="4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批注主题 字符"/>
    <w:basedOn w:val="15"/>
    <w:link w:val="8"/>
    <w:semiHidden/>
    <w:qFormat/>
    <w:uiPriority w:val="99"/>
    <w:rPr>
      <w:rFonts w:ascii="Times New Roman" w:hAnsi="Times New Roman" w:eastAsia="宋体" w:cs="Times New Roman"/>
      <w:b/>
      <w:bCs/>
      <w:szCs w:val="20"/>
    </w:rPr>
  </w:style>
  <w:style w:type="character" w:customStyle="1" w:styleId="18">
    <w:name w:val="ng-binding"/>
    <w:basedOn w:val="10"/>
    <w:qFormat/>
    <w:uiPriority w:val="0"/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paragraph" w:customStyle="1" w:styleId="22">
    <w:name w:val="First Paragraph"/>
    <w:basedOn w:val="3"/>
    <w:next w:val="3"/>
    <w:qFormat/>
    <w:uiPriority w:val="0"/>
    <w:rPr>
      <w:rFonts w:asciiTheme="minorEastAsia" w:hAnsiTheme="minorEastAsia" w:eastAsiaTheme="minorEastAsi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2321</Words>
  <Characters>2374</Characters>
  <Lines>22</Lines>
  <Paragraphs>6</Paragraphs>
  <TotalTime>33</TotalTime>
  <ScaleCrop>false</ScaleCrop>
  <LinksUpToDate>false</LinksUpToDate>
  <CharactersWithSpaces>2496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2024-09-20T01:53:00Z</dcterms:created>
  <dc:creator>王芳[fwang]</dc:creator>
  <cp:lastModifiedBy>璟璟鱼</cp:lastModifiedBy>
  <dcterms:modified xsi:type="dcterms:W3CDTF">2026-10-30T09:09:23Z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0x0101008A1CD0ACEFB685468ADC9D3ECFE50AA2</vt:lpwstr>
  </property>
  <property fmtid="{D5CDD505-2E9C-101B-9397-08002B2CF9AE}" pid="3" name="KSOProductBuildVer">
    <vt:lpwstr>2052-12.1.0.29161</vt:lpwstr>
  </property>
  <property fmtid="{D5CDD505-2E9C-101B-9397-08002B2CF9AE}" pid="4" name="ICV">
    <vt:lpwstr>61ABB0C6770E4A77BF4906190E14F296_13</vt:lpwstr>
  </property>
  <property fmtid="{D5CDD505-2E9C-101B-9397-08002B2CF9AE}" pid="5" name="KSOTemplateDocerSaveRecord">
    <vt:lpwstr>eyJoZGlkIjoiMTliNTY4Njg3ZGFjOWI5MzM1M2NlZjAyNjJkOWUzOTUiLCJ1c2VySWQiOiI2NzAxODExNTAifQ==</vt:lpwstr>
  </property>
</Properties>
</file>