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E7A82">
      <w:pPr>
        <w:pStyle w:val="2"/>
        <w:rPr>
          <w:rFonts w:ascii="宋体" w:hAnsi="宋体" w:eastAsia="宋体" w:cs="宋体"/>
          <w:sz w:val="20"/>
          <w:szCs w:val="20"/>
          <w:lang w:val="en-US"/>
        </w:rPr>
      </w:pPr>
      <w:r>
        <w:rPr>
          <w:rFonts w:hint="eastAsia" w:ascii="宋体" w:hAnsi="宋体" w:eastAsia="宋体" w:cs="宋体"/>
          <w:sz w:val="20"/>
          <w:szCs w:val="20"/>
          <w:lang w:val="en-US"/>
        </w:rPr>
        <w:t xml:space="preserve">证券代码：600203   </w:t>
      </w:r>
      <w:r>
        <w:rPr>
          <w:rFonts w:hint="eastAsia" w:ascii="宋体" w:hAnsi="宋体" w:eastAsia="宋体" w:cs="宋体"/>
          <w:sz w:val="21"/>
          <w:szCs w:val="21"/>
          <w:lang w:val="en-US"/>
        </w:rPr>
        <w:t xml:space="preserve">                                           </w:t>
      </w:r>
      <w:r>
        <w:rPr>
          <w:rFonts w:hint="eastAsia" w:ascii="宋体" w:hAnsi="宋体" w:eastAsia="宋体" w:cs="宋体"/>
          <w:sz w:val="20"/>
          <w:szCs w:val="20"/>
          <w:lang w:val="en-US"/>
        </w:rPr>
        <w:t>证券简称：福日电子</w:t>
      </w:r>
    </w:p>
    <w:p w14:paraId="49C60BE0">
      <w:pPr>
        <w:spacing w:line="360" w:lineRule="auto"/>
        <w:jc w:val="center"/>
        <w:rPr>
          <w:rFonts w:ascii="宋体" w:hAnsi="宋体" w:eastAsia="宋体" w:cs="宋体"/>
          <w:b/>
          <w:bCs/>
          <w:sz w:val="44"/>
          <w:szCs w:val="44"/>
        </w:rPr>
      </w:pPr>
    </w:p>
    <w:p w14:paraId="3FA431F9">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福建福日电子股份有限公司</w:t>
      </w:r>
    </w:p>
    <w:p w14:paraId="4A4A57BB">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p w14:paraId="7493854A">
      <w:pPr>
        <w:spacing w:before="51" w:after="32"/>
        <w:ind w:right="619"/>
        <w:jc w:val="right"/>
        <w:rPr>
          <w:rFonts w:ascii="宋体" w:hAnsi="宋体" w:eastAsia="宋体" w:cs="宋体"/>
          <w:sz w:val="20"/>
          <w:szCs w:val="20"/>
          <w:lang w:val="en-US"/>
        </w:rPr>
      </w:pPr>
      <w:r>
        <w:rPr>
          <w:rFonts w:hint="eastAsia" w:ascii="宋体" w:hAnsi="宋体" w:eastAsia="宋体" w:cs="宋体"/>
          <w:sz w:val="20"/>
          <w:szCs w:val="20"/>
        </w:rPr>
        <w:t>编号：</w:t>
      </w:r>
      <w:r>
        <w:rPr>
          <w:rFonts w:hint="eastAsia" w:ascii="宋体" w:hAnsi="宋体" w:eastAsia="宋体" w:cs="宋体"/>
          <w:sz w:val="20"/>
          <w:szCs w:val="20"/>
          <w:lang w:val="en-US"/>
        </w:rPr>
        <w:t>2026</w:t>
      </w:r>
      <w:r>
        <w:rPr>
          <w:rFonts w:hint="eastAsia" w:ascii="宋体" w:hAnsi="宋体" w:eastAsia="宋体" w:cs="宋体"/>
          <w:sz w:val="20"/>
          <w:szCs w:val="20"/>
        </w:rPr>
        <w:t>-</w:t>
      </w:r>
      <w:r>
        <w:rPr>
          <w:rFonts w:hint="eastAsia" w:ascii="宋体" w:hAnsi="宋体" w:eastAsia="宋体" w:cs="宋体"/>
          <w:sz w:val="20"/>
          <w:szCs w:val="20"/>
          <w:lang w:val="en-US"/>
        </w:rPr>
        <w:t>03</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4B7EC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tcPr>
          <w:p w14:paraId="3334D6B5">
            <w:pPr>
              <w:pStyle w:val="12"/>
              <w:spacing w:before="7"/>
              <w:rPr>
                <w:rFonts w:ascii="宋体" w:hAnsi="宋体" w:eastAsia="宋体" w:cs="宋体"/>
                <w:b/>
                <w:bCs/>
                <w:sz w:val="20"/>
                <w:szCs w:val="20"/>
              </w:rPr>
            </w:pPr>
          </w:p>
          <w:p w14:paraId="1C5B5CA1">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投资者关系活动类别</w:t>
            </w:r>
          </w:p>
        </w:tc>
        <w:tc>
          <w:tcPr>
            <w:tcW w:w="5945" w:type="dxa"/>
          </w:tcPr>
          <w:p w14:paraId="4F5B11D8">
            <w:pPr>
              <w:pStyle w:val="12"/>
              <w:spacing w:before="7"/>
              <w:rPr>
                <w:rFonts w:ascii="宋体" w:hAnsi="宋体" w:eastAsia="宋体" w:cs="宋体"/>
                <w:sz w:val="20"/>
                <w:szCs w:val="20"/>
              </w:rPr>
            </w:pPr>
          </w:p>
          <w:p w14:paraId="79D84D5D">
            <w:pPr>
              <w:pStyle w:val="12"/>
              <w:tabs>
                <w:tab w:val="left" w:pos="2418"/>
              </w:tabs>
              <w:spacing w:before="1"/>
              <w:ind w:left="107"/>
              <w:rPr>
                <w:rFonts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416875725"/>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14:paraId="5AC1B45F">
            <w:pPr>
              <w:pStyle w:val="12"/>
              <w:spacing w:before="11"/>
              <w:rPr>
                <w:rFonts w:ascii="宋体" w:hAnsi="宋体" w:eastAsia="宋体" w:cs="宋体"/>
                <w:sz w:val="20"/>
                <w:szCs w:val="20"/>
              </w:rPr>
            </w:pPr>
          </w:p>
          <w:p w14:paraId="28A550BC">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6665890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rPr>
                  <w:t>R</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14:paraId="61750A6E">
            <w:pPr>
              <w:pStyle w:val="12"/>
              <w:spacing w:before="8"/>
              <w:rPr>
                <w:rFonts w:ascii="宋体" w:hAnsi="宋体" w:eastAsia="宋体" w:cs="宋体"/>
                <w:sz w:val="20"/>
                <w:szCs w:val="20"/>
              </w:rPr>
            </w:pPr>
          </w:p>
          <w:p w14:paraId="4AB80E66">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84816743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14:paraId="3ABBEF78">
            <w:pPr>
              <w:pStyle w:val="12"/>
              <w:spacing w:before="8"/>
              <w:rPr>
                <w:rFonts w:ascii="宋体" w:hAnsi="宋体" w:eastAsia="宋体" w:cs="宋体"/>
                <w:sz w:val="20"/>
                <w:szCs w:val="20"/>
              </w:rPr>
            </w:pPr>
          </w:p>
          <w:p w14:paraId="51D4F780">
            <w:pPr>
              <w:pStyle w:val="12"/>
              <w:ind w:left="107"/>
              <w:rPr>
                <w:rFonts w:ascii="宋体" w:hAnsi="宋体" w:eastAsia="宋体" w:cs="宋体"/>
                <w:sz w:val="20"/>
                <w:szCs w:val="20"/>
              </w:rPr>
            </w:pPr>
            <w:sdt>
              <w:sdtPr>
                <w:rPr>
                  <w:rFonts w:hint="eastAsia" w:ascii="宋体" w:hAnsi="宋体" w:eastAsia="宋体" w:cs="宋体"/>
                  <w:sz w:val="20"/>
                  <w:szCs w:val="20"/>
                </w:rPr>
                <w:id w:val="-133336691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14:paraId="541DB615">
            <w:pPr>
              <w:pStyle w:val="12"/>
              <w:spacing w:before="11"/>
              <w:rPr>
                <w:rFonts w:ascii="宋体" w:hAnsi="宋体" w:eastAsia="宋体" w:cs="宋体"/>
                <w:sz w:val="20"/>
                <w:szCs w:val="20"/>
              </w:rPr>
            </w:pPr>
          </w:p>
          <w:p w14:paraId="00551E63">
            <w:pPr>
              <w:pStyle w:val="12"/>
              <w:ind w:left="107"/>
              <w:rPr>
                <w:rFonts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r>
              <w:rPr>
                <w:rFonts w:hint="eastAsia" w:ascii="宋体" w:hAnsi="宋体" w:eastAsia="宋体" w:cs="宋体"/>
                <w:sz w:val="20"/>
                <w:szCs w:val="20"/>
                <w:u w:val="single"/>
              </w:rPr>
              <w:t>请文字说明其他活动内容）</w:t>
            </w:r>
          </w:p>
        </w:tc>
      </w:tr>
      <w:tr w14:paraId="1DE10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05C55273">
            <w:pPr>
              <w:pStyle w:val="12"/>
              <w:spacing w:line="560" w:lineRule="exact"/>
              <w:ind w:left="107" w:right="96"/>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参与单位名称及人员姓名</w:t>
            </w:r>
          </w:p>
        </w:tc>
        <w:tc>
          <w:tcPr>
            <w:tcW w:w="5945" w:type="dxa"/>
            <w:vAlign w:val="center"/>
          </w:tcPr>
          <w:p w14:paraId="1574768C">
            <w:pPr>
              <w:pStyle w:val="12"/>
              <w:spacing w:before="100" w:beforeAutospacing="1" w:line="360" w:lineRule="auto"/>
              <w:rPr>
                <w:rFonts w:cs="宋体" w:asciiTheme="minorEastAsia" w:hAnsiTheme="minorEastAsia" w:eastAsiaTheme="minorEastAsia"/>
                <w:sz w:val="20"/>
                <w:szCs w:val="20"/>
              </w:rPr>
            </w:pPr>
            <w:r>
              <w:rPr>
                <w:rFonts w:hint="eastAsia" w:cs="宋体" w:asciiTheme="minorEastAsia" w:hAnsiTheme="minorEastAsia" w:eastAsiaTheme="minorEastAsia"/>
                <w:sz w:val="20"/>
                <w:szCs w:val="20"/>
              </w:rPr>
              <w:t>线上参与福日电子2026年第三季度业绩说明会的全体投资者</w:t>
            </w:r>
          </w:p>
        </w:tc>
      </w:tr>
      <w:tr w14:paraId="229AA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5591DA7C">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时间</w:t>
            </w:r>
          </w:p>
        </w:tc>
        <w:tc>
          <w:tcPr>
            <w:tcW w:w="5945" w:type="dxa"/>
            <w:vAlign w:val="center"/>
          </w:tcPr>
          <w:p w14:paraId="4857D838">
            <w:pPr>
              <w:spacing w:before="100" w:beforeAutospacing="1" w:line="360" w:lineRule="auto"/>
              <w:rPr>
                <w:sz w:val="20"/>
                <w:szCs w:val="20"/>
              </w:rPr>
            </w:pPr>
            <w:r>
              <w:rPr>
                <w:rFonts w:hint="eastAsia" w:asciiTheme="minorEastAsia" w:hAnsiTheme="minorEastAsia" w:eastAsiaTheme="minorEastAsia" w:cstheme="minorEastAsia"/>
                <w:sz w:val="20"/>
                <w:szCs w:val="20"/>
              </w:rPr>
              <w:t>2026年10月30日 15:00-16:00</w:t>
            </w:r>
          </w:p>
        </w:tc>
      </w:tr>
      <w:tr w14:paraId="4FEEA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28751296">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地点</w:t>
            </w:r>
          </w:p>
        </w:tc>
        <w:tc>
          <w:tcPr>
            <w:tcW w:w="5945" w:type="dxa"/>
            <w:vAlign w:val="center"/>
          </w:tcPr>
          <w:p w14:paraId="447D81D0">
            <w:pPr>
              <w:pStyle w:val="12"/>
              <w:spacing w:before="100" w:beforeAutospacing="1" w:line="360" w:lineRule="auto"/>
              <w:rPr>
                <w:rFonts w:cs="宋体" w:asciiTheme="minorEastAsia" w:hAnsiTheme="minorEastAsia" w:eastAsiaTheme="minorEastAsia"/>
                <w:sz w:val="20"/>
                <w:szCs w:val="20"/>
              </w:rPr>
            </w:pPr>
            <w:r>
              <w:rPr>
                <w:rFonts w:cs="宋体" w:asciiTheme="minorEastAsia" w:hAnsiTheme="minorEastAsia" w:eastAsiaTheme="minorEastAsia"/>
                <w:sz w:val="20"/>
                <w:szCs w:val="20"/>
              </w:rPr>
              <w:t>价值在线（https://www.ir-online.cn/）网络互动</w:t>
            </w:r>
          </w:p>
        </w:tc>
      </w:tr>
      <w:tr w14:paraId="000A8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7E081C49">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上市公司接待人员姓名</w:t>
            </w:r>
          </w:p>
        </w:tc>
        <w:tc>
          <w:tcPr>
            <w:tcW w:w="5945" w:type="dxa"/>
            <w:vAlign w:val="center"/>
          </w:tcPr>
          <w:p w14:paraId="525B8D22">
            <w:pPr>
              <w:pStyle w:val="12"/>
              <w:spacing w:before="100" w:beforeAutospacing="1" w:line="360" w:lineRule="auto"/>
              <w:rPr>
                <w:rFonts w:ascii="宋体" w:hAnsi="宋体" w:eastAsia="宋体" w:cs="宋体"/>
                <w:sz w:val="20"/>
                <w:szCs w:val="20"/>
              </w:rPr>
            </w:pPr>
            <w:r>
              <w:rPr>
                <w:rFonts w:ascii="宋体" w:hAnsi="宋体" w:eastAsia="宋体" w:cs="宋体"/>
                <w:sz w:val="20"/>
                <w:szCs w:val="20"/>
              </w:rPr>
              <w:t>总裁 陈仁强</w:t>
            </w:r>
            <w:r>
              <w:rPr>
                <w:rFonts w:ascii="宋体" w:hAnsi="宋体" w:eastAsia="宋体" w:cs="宋体"/>
                <w:sz w:val="20"/>
                <w:szCs w:val="20"/>
              </w:rPr>
              <w:br w:type="textWrapping"/>
            </w:r>
            <w:r>
              <w:rPr>
                <w:rFonts w:ascii="宋体" w:hAnsi="宋体" w:eastAsia="宋体" w:cs="宋体"/>
                <w:sz w:val="20"/>
                <w:szCs w:val="20"/>
              </w:rPr>
              <w:t>副总裁、财务总监 赖荣</w:t>
            </w:r>
            <w:r>
              <w:rPr>
                <w:rFonts w:ascii="宋体" w:hAnsi="宋体" w:eastAsia="宋体" w:cs="宋体"/>
                <w:sz w:val="20"/>
                <w:szCs w:val="20"/>
              </w:rPr>
              <w:br w:type="textWrapping"/>
            </w:r>
            <w:r>
              <w:rPr>
                <w:rFonts w:ascii="宋体" w:hAnsi="宋体" w:eastAsia="宋体" w:cs="宋体"/>
                <w:sz w:val="20"/>
                <w:szCs w:val="20"/>
              </w:rPr>
              <w:t>董事会秘书 陈懿</w:t>
            </w:r>
            <w:r>
              <w:rPr>
                <w:rFonts w:ascii="宋体" w:hAnsi="宋体" w:eastAsia="宋体" w:cs="宋体"/>
                <w:sz w:val="20"/>
                <w:szCs w:val="20"/>
              </w:rPr>
              <w:br w:type="textWrapping"/>
            </w:r>
            <w:r>
              <w:rPr>
                <w:rFonts w:ascii="宋体" w:hAnsi="宋体" w:eastAsia="宋体" w:cs="宋体"/>
                <w:sz w:val="20"/>
                <w:szCs w:val="20"/>
              </w:rPr>
              <w:t>独立董事 陈承正</w:t>
            </w:r>
          </w:p>
        </w:tc>
      </w:tr>
      <w:tr w14:paraId="07A3D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80" w:type="dxa"/>
          </w:tcPr>
          <w:p w14:paraId="4BC515AB">
            <w:pPr>
              <w:pStyle w:val="12"/>
              <w:rPr>
                <w:rFonts w:ascii="宋体" w:hAnsi="宋体" w:eastAsia="宋体" w:cs="宋体"/>
                <w:b/>
                <w:bCs/>
                <w:sz w:val="20"/>
                <w:szCs w:val="20"/>
              </w:rPr>
            </w:pPr>
          </w:p>
          <w:p w14:paraId="1BFC9D58">
            <w:pPr>
              <w:pStyle w:val="12"/>
              <w:rPr>
                <w:rFonts w:ascii="宋体" w:hAnsi="宋体" w:eastAsia="宋体" w:cs="宋体"/>
                <w:b/>
                <w:bCs/>
                <w:sz w:val="20"/>
                <w:szCs w:val="20"/>
              </w:rPr>
            </w:pPr>
          </w:p>
          <w:p w14:paraId="6EDFE8E2">
            <w:pPr>
              <w:pStyle w:val="12"/>
              <w:spacing w:before="5"/>
              <w:rPr>
                <w:rFonts w:ascii="宋体" w:hAnsi="宋体" w:eastAsia="宋体" w:cs="宋体"/>
                <w:b/>
                <w:bCs/>
                <w:sz w:val="20"/>
                <w:szCs w:val="20"/>
              </w:rPr>
            </w:pPr>
          </w:p>
          <w:p w14:paraId="1FEE8E4C">
            <w:pPr>
              <w:pStyle w:val="12"/>
              <w:spacing w:before="1" w:line="499" w:lineRule="auto"/>
              <w:ind w:left="107" w:right="96"/>
              <w:rPr>
                <w:rFonts w:ascii="宋体" w:hAnsi="宋体" w:eastAsia="宋体" w:cs="宋体"/>
                <w:b/>
                <w:bCs/>
                <w:sz w:val="20"/>
                <w:szCs w:val="20"/>
              </w:rPr>
            </w:pPr>
            <w:r>
              <w:rPr>
                <w:rFonts w:hint="eastAsia" w:ascii="宋体" w:hAnsi="宋体" w:eastAsia="宋体" w:cs="宋体"/>
                <w:b/>
                <w:bCs/>
                <w:sz w:val="20"/>
                <w:szCs w:val="20"/>
              </w:rPr>
              <w:t>投资者关系活动主要内容介绍</w:t>
            </w:r>
          </w:p>
        </w:tc>
        <w:tc>
          <w:tcPr>
            <w:tcW w:w="5945" w:type="dxa"/>
            <w:vAlign w:val="top"/>
          </w:tcPr>
          <w:p w14:paraId="2CA9D864">
            <w:pPr>
              <w:pStyle w:val="12"/>
              <w:bidi w:val="0"/>
              <w:ind w:firstLine="402" w:firstLineChars="200"/>
              <w:rPr>
                <w:rFonts w:hint="eastAsia" w:ascii="宋体" w:hAnsi="宋体" w:eastAsia="宋体" w:cs="宋体"/>
                <w:b w:val="0"/>
                <w:bCs w:val="0"/>
                <w:sz w:val="20"/>
                <w:szCs w:val="20"/>
              </w:rPr>
            </w:pPr>
            <w:r>
              <w:rPr>
                <w:rFonts w:hint="eastAsia" w:ascii="宋体" w:hAnsi="宋体" w:eastAsia="宋体" w:cs="宋体"/>
                <w:b/>
                <w:bCs/>
                <w:sz w:val="20"/>
                <w:szCs w:val="20"/>
                <w:lang w:val="zh-CN" w:eastAsia="zh-CN"/>
              </w:rPr>
              <w:t>1.</w:t>
            </w:r>
            <w:r>
              <w:rPr>
                <w:rFonts w:hint="eastAsia" w:ascii="宋体" w:hAnsi="宋体" w:eastAsia="宋体" w:cs="宋体"/>
                <w:b/>
                <w:bCs/>
                <w:sz w:val="20"/>
                <w:szCs w:val="20"/>
              </w:rPr>
              <w:t>公司长期积累了智能终端制造、精密制造、供应链管理及电子产品研发能力。随着具身智能、人形机器人等新兴产业加速发展，管理层是否评估过现有技术、产线及供应链向机器人控制系统、智能感知模组、机器人电子组件等领域延伸的可行性？是否已有具体客户接洽、技术验证或产业合作安排？</w:t>
            </w:r>
            <w:r>
              <w:rPr>
                <w:rFonts w:hint="eastAsia" w:ascii="宋体" w:hAnsi="宋体" w:eastAsia="宋体" w:cs="宋体"/>
                <w:b/>
                <w:bCs/>
                <w:sz w:val="20"/>
                <w:szCs w:val="20"/>
              </w:rPr>
              <w:br w:type="textWrapping"/>
            </w:r>
            <w:r>
              <w:rPr>
                <w:rFonts w:hint="eastAsia" w:ascii="宋体" w:hAnsi="宋体" w:eastAsia="宋体" w:cs="宋体"/>
                <w:b w:val="0"/>
                <w:bCs w:val="0"/>
                <w:sz w:val="20"/>
                <w:szCs w:val="20"/>
              </w:rPr>
              <w:t xml:space="preserve">    答:感谢您对公司的关注。公司长期深耕智能终端制造领域，在研发、制造及供应链管理等方面具备深厚的经验积累。公司子公司为客户提供服务机器人产品的OEM服务并已少量出货。公司高度关注新兴产业的发展趋势，结合自身能力积极研究相关业务延伸的可行性，并保持开放、审慎的态度探索潜在的合作机会，谢谢。</w:t>
            </w:r>
          </w:p>
          <w:p w14:paraId="0D738CB8">
            <w:pPr>
              <w:pStyle w:val="12"/>
              <w:bidi w:val="0"/>
              <w:ind w:firstLine="402" w:firstLineChars="200"/>
              <w:rPr>
                <w:rFonts w:hint="eastAsia" w:ascii="宋体" w:hAnsi="宋体" w:eastAsia="宋体" w:cs="宋体"/>
                <w:b w:val="0"/>
                <w:bCs w:val="0"/>
                <w:sz w:val="20"/>
                <w:szCs w:val="20"/>
              </w:rPr>
            </w:pPr>
            <w:r>
              <w:rPr>
                <w:rFonts w:hint="eastAsia" w:ascii="宋体" w:hAnsi="宋体" w:eastAsia="宋体" w:cs="宋体"/>
                <w:b/>
                <w:bCs/>
                <w:sz w:val="20"/>
                <w:szCs w:val="20"/>
                <w:lang w:val="en-US" w:eastAsia="zh-CN"/>
              </w:rPr>
              <w:t>2.</w:t>
            </w:r>
            <w:r>
              <w:rPr>
                <w:rFonts w:hint="eastAsia" w:ascii="宋体" w:hAnsi="宋体" w:eastAsia="宋体" w:cs="宋体"/>
                <w:b/>
                <w:bCs/>
                <w:sz w:val="20"/>
                <w:szCs w:val="20"/>
                <w:lang w:val="zh-CN" w:eastAsia="zh-CN"/>
              </w:rPr>
              <w:t>公司当前营业规模已超过百亿元，但主营业务盈利能力仍然偏弱，前三季度扣非净利润仅约2371万元。面对智能终端代工业务利润率较低、行业竞争加剧的局面，请管理层明确回答：公司是否已将业务结构调整、产业整合及资本运作纳入中长期战略？未来是否考虑通过收购兼并、资产整合或引入战略投资者等方式，拓展AI智能硬件、机器人及其他高附加值先进制造业务？目前是否已有相关方向的内部研究、项目储备或实质性推进安排？</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坚持稳中求进，统筹做好经营提质、结构调整、产业整合等工作。公司将结合自身战略布局、行业发展趋势及市场环境，统筹规划未来经营发展。后续若涉及资产注入或重组意向等相关规划，公司将严格遵守监管规则，及时履行审议程序及信息披露义务，谢谢。</w:t>
            </w:r>
          </w:p>
          <w:p w14:paraId="3D7829EF">
            <w:pPr>
              <w:pStyle w:val="12"/>
              <w:bidi w:val="0"/>
              <w:ind w:firstLine="402" w:firstLineChars="200"/>
              <w:rPr>
                <w:rFonts w:hint="eastAsia" w:ascii="宋体" w:hAnsi="宋体" w:eastAsia="宋体" w:cs="宋体"/>
                <w:b w:val="0"/>
                <w:bCs w:val="0"/>
                <w:sz w:val="20"/>
                <w:szCs w:val="20"/>
              </w:rPr>
            </w:pPr>
            <w:r>
              <w:rPr>
                <w:rFonts w:hint="eastAsia" w:ascii="宋体" w:hAnsi="宋体" w:eastAsia="宋体" w:cs="宋体"/>
                <w:b/>
                <w:bCs/>
                <w:sz w:val="20"/>
                <w:szCs w:val="20"/>
                <w:lang w:val="en-US" w:eastAsia="zh-CN"/>
              </w:rPr>
              <w:t>3</w:t>
            </w:r>
            <w:r>
              <w:rPr>
                <w:rFonts w:hint="eastAsia" w:ascii="宋体" w:hAnsi="宋体" w:eastAsia="宋体" w:cs="宋体"/>
                <w:b/>
                <w:bCs/>
                <w:sz w:val="20"/>
                <w:szCs w:val="20"/>
                <w:lang w:val="zh-CN" w:eastAsia="zh-CN"/>
              </w:rPr>
              <w:t>.</w:t>
            </w:r>
            <w:bookmarkStart w:id="0" w:name="_GoBack"/>
            <w:bookmarkEnd w:id="0"/>
            <w:r>
              <w:rPr>
                <w:rFonts w:hint="eastAsia" w:ascii="宋体" w:hAnsi="宋体" w:eastAsia="宋体" w:cs="宋体"/>
                <w:b/>
                <w:bCs/>
                <w:sz w:val="20"/>
                <w:szCs w:val="20"/>
                <w:lang w:val="zh-CN" w:eastAsia="zh-CN"/>
              </w:rPr>
              <w:t>管理层您好，我是公司股东。近期公司股价持续走弱，投资者信心偏弱。我注意到公司会计政策有调整，减值从往年年末集中计提，改为每个季度都计提，前三季度减值已经吃掉近3000万利润，直接影响报表利润，也是市场担忧的点。想请问两点：（1）改成季度计提的考量是什么？后续存货、应收的减值压力还有多大，接下来几个季度是否还会持续大额计提？（2）针对当前股价低迷、</w:t>
            </w:r>
            <w:r>
              <w:rPr>
                <w:rFonts w:hint="eastAsia" w:ascii="宋体" w:hAnsi="宋体" w:eastAsia="宋体" w:cs="宋体"/>
                <w:b/>
                <w:bCs/>
                <w:sz w:val="20"/>
                <w:szCs w:val="20"/>
              </w:rPr>
              <w:t>市场信心不足，公司有没有对应的经营改善、投资者沟通或者市值相关的安排？</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一直根据企业会计准则，在资产负债表日对存货等资产减值进行测试与评估；对应收账款按新金融工具准则持续评估。公司减值准备的计提，正是对准则要求的落实。公司未来几个季度也会按照企业会计准则要求在每个资产负债表日对存货、应收进行减值测试和资产评估，对存在减值迹象的存货、应收计提相应减值准备。二级市场股价受宏观环境、行业周期、市场资金偏好、投资者情绪等多重因素共同影响，公司将持续聚焦主业提质增效，夯实经营基本面，常态化开展投资者沟通，积极传递公司价值，谢谢。</w:t>
            </w:r>
          </w:p>
          <w:p w14:paraId="6704C2B7">
            <w:pPr>
              <w:pStyle w:val="12"/>
              <w:bidi w:val="0"/>
              <w:ind w:firstLine="402" w:firstLineChars="200"/>
              <w:rPr>
                <w:rFonts w:hint="eastAsia" w:ascii="宋体" w:hAnsi="宋体" w:eastAsia="宋体" w:cs="宋体"/>
                <w:b w:val="0"/>
                <w:bCs w:val="0"/>
                <w:sz w:val="20"/>
                <w:szCs w:val="20"/>
                <w:lang w:eastAsia="zh-CN"/>
              </w:rPr>
            </w:pPr>
            <w:r>
              <w:rPr>
                <w:rFonts w:hint="eastAsia" w:ascii="宋体" w:hAnsi="宋体" w:eastAsia="宋体" w:cs="宋体"/>
                <w:b/>
                <w:bCs/>
                <w:sz w:val="20"/>
                <w:szCs w:val="20"/>
                <w:lang w:val="en-US" w:eastAsia="zh-CN"/>
              </w:rPr>
              <w:t>4.</w:t>
            </w:r>
            <w:r>
              <w:rPr>
                <w:rFonts w:hint="eastAsia" w:ascii="宋体" w:hAnsi="宋体" w:eastAsia="宋体" w:cs="宋体"/>
                <w:b/>
                <w:bCs/>
                <w:sz w:val="20"/>
                <w:szCs w:val="20"/>
                <w:lang w:val="zh-CN" w:eastAsia="zh-CN"/>
              </w:rPr>
              <w:t>三季度单季扣非净利润转亏，毛利率仅6.16%，且经营现金流为-5.17亿。公司准备采取什么具体措施改善盈利能力和现金流？</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2026年第三季度单季扣非归母净利润为846.27万元，未出现亏损。公司持续多措并举改善经营质量：一是持续优化产品结构与客户结构，积极拓展高附加值、高毛利业务；二是强化应收账款全流程管理，加快回款进度，同时管控存货规模、合理统筹采购节奏。公司将持续跟踪各项经营指标，稳步推动盈利能力和现金流状况改善，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 xml:space="preserve">  </w:t>
            </w:r>
            <w:r>
              <w:rPr>
                <w:rFonts w:hint="eastAsia" w:ascii="宋体" w:hAnsi="宋体" w:eastAsia="宋体" w:cs="宋体"/>
                <w:b/>
                <w:bCs/>
                <w:sz w:val="20"/>
                <w:szCs w:val="20"/>
                <w:lang w:val="en-US" w:eastAsia="zh-CN"/>
              </w:rPr>
              <w:t>5</w:t>
            </w:r>
            <w:r>
              <w:rPr>
                <w:rFonts w:hint="eastAsia" w:ascii="宋体" w:hAnsi="宋体" w:eastAsia="宋体" w:cs="宋体"/>
                <w:b/>
                <w:bCs/>
                <w:sz w:val="20"/>
                <w:szCs w:val="20"/>
                <w:lang w:val="zh-CN" w:eastAsia="zh-CN"/>
              </w:rPr>
              <w:t>.公司目前为华为提供哪些机型的设计服务？</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答:感谢您对公司的关注。具体信息请以品牌商发布的内容为准，谢谢。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en-US" w:eastAsia="zh-CN"/>
              </w:rPr>
              <w:t>6</w:t>
            </w:r>
            <w:r>
              <w:rPr>
                <w:rFonts w:hint="eastAsia" w:ascii="宋体" w:hAnsi="宋体" w:eastAsia="宋体" w:cs="宋体"/>
                <w:b/>
                <w:bCs/>
                <w:sz w:val="20"/>
                <w:szCs w:val="20"/>
                <w:lang w:val="zh-CN" w:eastAsia="zh-CN"/>
              </w:rPr>
              <w:t>.（</w:t>
            </w:r>
            <w:r>
              <w:rPr>
                <w:rFonts w:hint="eastAsia" w:ascii="宋体" w:hAnsi="宋体" w:eastAsia="宋体" w:cs="宋体"/>
                <w:b/>
                <w:bCs/>
                <w:sz w:val="20"/>
                <w:szCs w:val="20"/>
                <w:lang w:val="en-US" w:eastAsia="zh-CN"/>
              </w:rPr>
              <w:t>1</w:t>
            </w:r>
            <w:r>
              <w:rPr>
                <w:rFonts w:hint="eastAsia" w:ascii="宋体" w:hAnsi="宋体" w:eastAsia="宋体" w:cs="宋体"/>
                <w:b/>
                <w:bCs/>
                <w:sz w:val="20"/>
                <w:szCs w:val="20"/>
                <w:lang w:val="zh-CN" w:eastAsia="zh-CN"/>
              </w:rPr>
              <w:t>）三季度单季为何由盈转亏？毛利下降具体来自哪些产品或客户？（</w:t>
            </w:r>
            <w:r>
              <w:rPr>
                <w:rFonts w:hint="eastAsia" w:ascii="宋体" w:hAnsi="宋体" w:eastAsia="宋体" w:cs="宋体"/>
                <w:b/>
                <w:bCs/>
                <w:sz w:val="20"/>
                <w:szCs w:val="20"/>
                <w:lang w:val="en-US" w:eastAsia="zh-CN"/>
              </w:rPr>
              <w:t>2</w:t>
            </w:r>
            <w:r>
              <w:rPr>
                <w:rFonts w:hint="eastAsia" w:ascii="宋体" w:hAnsi="宋体" w:eastAsia="宋体" w:cs="宋体"/>
                <w:b/>
                <w:bCs/>
                <w:sz w:val="20"/>
                <w:szCs w:val="20"/>
                <w:lang w:val="zh-CN" w:eastAsia="zh-CN"/>
              </w:rPr>
              <w:t>）扣非净利大幅下滑是否意味着主业订单质量变差？（</w:t>
            </w:r>
            <w:r>
              <w:rPr>
                <w:rFonts w:hint="eastAsia" w:ascii="宋体" w:hAnsi="宋体" w:eastAsia="宋体" w:cs="宋体"/>
                <w:b/>
                <w:bCs/>
                <w:sz w:val="20"/>
                <w:szCs w:val="20"/>
                <w:lang w:val="en-US" w:eastAsia="zh-CN"/>
              </w:rPr>
              <w:t>3</w:t>
            </w:r>
            <w:r>
              <w:rPr>
                <w:rFonts w:hint="eastAsia" w:ascii="宋体" w:hAnsi="宋体" w:eastAsia="宋体" w:cs="宋体"/>
                <w:b/>
                <w:bCs/>
                <w:sz w:val="20"/>
                <w:szCs w:val="20"/>
                <w:lang w:val="zh-CN" w:eastAsia="zh-CN"/>
              </w:rPr>
              <w:t>）存货增加29.63%，后续是否有跌价减值压力？（</w:t>
            </w:r>
            <w:r>
              <w:rPr>
                <w:rFonts w:hint="eastAsia" w:ascii="宋体" w:hAnsi="宋体" w:eastAsia="宋体" w:cs="宋体"/>
                <w:b/>
                <w:bCs/>
                <w:sz w:val="20"/>
                <w:szCs w:val="20"/>
                <w:lang w:val="en-US" w:eastAsia="zh-CN"/>
              </w:rPr>
              <w:t>4</w:t>
            </w:r>
            <w:r>
              <w:rPr>
                <w:rFonts w:hint="eastAsia" w:ascii="宋体" w:hAnsi="宋体" w:eastAsia="宋体" w:cs="宋体"/>
                <w:b/>
                <w:bCs/>
                <w:sz w:val="20"/>
                <w:szCs w:val="20"/>
                <w:lang w:val="zh-CN" w:eastAsia="zh-CN"/>
              </w:rPr>
              <w:t>）经营现金流-5.17亿元，短期偿债和资金链是否安全？（</w:t>
            </w:r>
            <w:r>
              <w:rPr>
                <w:rFonts w:hint="eastAsia" w:ascii="宋体" w:hAnsi="宋体" w:eastAsia="宋体" w:cs="宋体"/>
                <w:b/>
                <w:bCs/>
                <w:sz w:val="20"/>
                <w:szCs w:val="20"/>
                <w:lang w:val="en-US" w:eastAsia="zh-CN"/>
              </w:rPr>
              <w:t>5</w:t>
            </w:r>
            <w:r>
              <w:rPr>
                <w:rFonts w:hint="eastAsia" w:ascii="宋体" w:hAnsi="宋体" w:eastAsia="宋体" w:cs="宋体"/>
                <w:b/>
                <w:bCs/>
                <w:sz w:val="20"/>
                <w:szCs w:val="20"/>
                <w:lang w:val="zh-CN" w:eastAsia="zh-CN"/>
              </w:rPr>
              <w:t>）是否有回购、增持、分红或市值管理安排？（</w:t>
            </w:r>
            <w:r>
              <w:rPr>
                <w:rFonts w:hint="eastAsia" w:ascii="宋体" w:hAnsi="宋体" w:eastAsia="宋体" w:cs="宋体"/>
                <w:b/>
                <w:bCs/>
                <w:sz w:val="20"/>
                <w:szCs w:val="20"/>
                <w:lang w:val="en-US" w:eastAsia="zh-CN"/>
              </w:rPr>
              <w:t>6</w:t>
            </w:r>
            <w:r>
              <w:rPr>
                <w:rFonts w:hint="eastAsia" w:ascii="宋体" w:hAnsi="宋体" w:eastAsia="宋体" w:cs="宋体"/>
                <w:b/>
                <w:bCs/>
                <w:sz w:val="20"/>
                <w:szCs w:val="20"/>
                <w:lang w:val="zh-CN" w:eastAsia="zh-CN"/>
              </w:rPr>
              <w:t>）消费电子弱复苏下，车载显示、车载照明等新业务何时能贡献实质利润？</w:t>
            </w:r>
            <w:r>
              <w:rPr>
                <w:rFonts w:hint="eastAsia" w:ascii="宋体" w:hAnsi="宋体" w:eastAsia="宋体" w:cs="宋体"/>
                <w:b/>
                <w:bCs/>
                <w:sz w:val="20"/>
                <w:szCs w:val="20"/>
                <w:lang w:val="zh-CN" w:eastAsia="zh-CN"/>
              </w:rPr>
              <w:br w:type="textWrapping"/>
            </w:r>
            <w:r>
              <w:rPr>
                <w:rFonts w:hint="eastAsia" w:ascii="宋体" w:hAnsi="宋体" w:eastAsia="宋体" w:cs="宋体"/>
                <w:b w:val="0"/>
                <w:bCs w:val="0"/>
                <w:sz w:val="20"/>
                <w:szCs w:val="20"/>
              </w:rPr>
              <w:t xml:space="preserve">    答:感谢您对公司的关注。2026年第三季度单季合并净利润为正，扣非归母净利润为846.27万元，但归母净利润阶段性亏损，主要受汇率波动产生的汇兑损失、权益法核算参股基金的投资收益波动以及控股子公司盈利对应的少数股东损益共同影响。公司第三季度毛利率环比有所改善，同比基本持平，前三季度营收实现增长，核心客户项目稳步交付，主业订单质量未出现变差的情形。存货主要系业务规模扩张、按订单备货所致，公司持续开展存货盘点与库龄跟踪管理，审慎评估存货跌价风险，如出现减值迹象，将严格按照企业会计准则要求计提存货跌价准备。经营活动现金流阶段性承压，主要受业务备货，特别是存储、芯片等紧俏物料因素影响，正常出货后将恢复正常。公司具备稳定的融资渠道，并持续做好资金统筹管理，保障日常经营及到期债务偿付，资金链安全可控。关于股份回购、增持、分红及市值管理相关安排，公司若后续有相关计划，将严格按照监管要求及时履行信息披露义务，请以公司公告为准。车载显示、车载照明相关业务已实现量产出货，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en-US" w:eastAsia="zh-CN"/>
              </w:rPr>
              <w:t>7</w:t>
            </w:r>
            <w:r>
              <w:rPr>
                <w:rFonts w:hint="eastAsia" w:ascii="宋体" w:hAnsi="宋体" w:eastAsia="宋体" w:cs="宋体"/>
                <w:b/>
                <w:bCs/>
                <w:sz w:val="20"/>
                <w:szCs w:val="20"/>
                <w:lang w:val="zh-CN" w:eastAsia="zh-CN"/>
              </w:rPr>
              <w:t>.公司2026年前三季度营业收入同比增长27.09%，但扣非净利润同比下降62.57%，第三季度更出现单季亏损。同期销售、管理及财务费用均有所增长，尤其财务费用增幅较大。请管理层具体说明：收入增长为何未能转化为利润增长？毛利率下降及期间费用增加分别由哪些业务和因素造成？目前采取了哪些可量化的降本增效措施，预计何时能够改善主营业务盈利能力？</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前三季度营收增长主要来源于智能终端ODM业务，但核心原材料涨价带来毛利率承压，毛利增量受限。公司持续强化成本管控，销售费用率与管理费用率较上年同期均有所降低。财务费用增长，主要是人民币升值导致的汇兑损失增加。公司主要从研发、供应链两大维度推进降本增效，研发端持续优化产品设计和物料选型方案，供应链端提前锁定有成本优势的物料以抵消原材料涨价的不利因素，并控制平台费用增长幅度。另外，公司持续推进产品和客户结构的优化，提高经营效率，降低内部成本费用，持续改善主营业务盈利能力，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 xml:space="preserve">   </w:t>
            </w:r>
            <w:r>
              <w:rPr>
                <w:rFonts w:hint="eastAsia" w:ascii="宋体" w:hAnsi="宋体" w:eastAsia="宋体" w:cs="宋体"/>
                <w:b/>
                <w:bCs/>
                <w:sz w:val="20"/>
                <w:szCs w:val="20"/>
                <w:lang w:val="en-US" w:eastAsia="zh-CN"/>
              </w:rPr>
              <w:t>8</w:t>
            </w:r>
            <w:r>
              <w:rPr>
                <w:rFonts w:hint="eastAsia" w:ascii="宋体" w:hAnsi="宋体" w:eastAsia="宋体" w:cs="宋体"/>
                <w:b/>
                <w:bCs/>
                <w:sz w:val="20"/>
                <w:szCs w:val="20"/>
                <w:lang w:val="zh-CN" w:eastAsia="zh-CN"/>
              </w:rPr>
              <w:t>.公司前三季度经营活动现金流净额为-5.17亿元，上年同期为-1.16亿元，经营性现金净流出显著扩大。公司解释主要系增加存货采购，但同期筹资活动现金流净额达到6.84亿元。请管理层说明：新增采购对应的订单覆盖率、存货周转及回款情况如何？公司及下属企业新增融资、对外担保是否主要用于补充日常营运资金？相关资金投入预计何时形成正向经营现金流，是否存在以持续融资维持低毛利业务扩张的风险？</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经营性现金流流出扩大系业务增长、备货采购增加，存货备货主要匹配在手订单，公司持续管控存货周转与回款。新增融资及对外担保严格履行内部审批及信息披露程序，资金主要用于补充日常营运资金。经营性净现金流转正受交付、回款节奏影响，存在不确定性。公司在业务开展过程中将统筹平衡业务扩张、盈利水平与资金安全，审慎把控业务规模，防范业务与资金风险，谢谢。</w:t>
            </w:r>
            <w:r>
              <w:rPr>
                <w:rFonts w:hint="eastAsia" w:ascii="宋体" w:hAnsi="宋体" w:eastAsia="宋体" w:cs="宋体"/>
                <w:b w:val="0"/>
                <w:bCs w:val="0"/>
                <w:sz w:val="20"/>
                <w:szCs w:val="20"/>
              </w:rPr>
              <w:br w:type="textWrapping"/>
            </w:r>
            <w:r>
              <w:rPr>
                <w:rFonts w:hint="eastAsia" w:ascii="宋体" w:hAnsi="宋体" w:eastAsia="宋体" w:cs="宋体"/>
                <w:b/>
                <w:bCs/>
                <w:sz w:val="20"/>
                <w:szCs w:val="20"/>
                <w:lang w:val="zh-CN" w:eastAsia="zh-CN"/>
              </w:rPr>
              <w:t xml:space="preserve">    </w:t>
            </w:r>
            <w:r>
              <w:rPr>
                <w:rFonts w:hint="eastAsia" w:ascii="宋体" w:hAnsi="宋体" w:eastAsia="宋体" w:cs="宋体"/>
                <w:b/>
                <w:bCs/>
                <w:sz w:val="20"/>
                <w:szCs w:val="20"/>
                <w:lang w:val="en-US" w:eastAsia="zh-CN"/>
              </w:rPr>
              <w:t>9</w:t>
            </w:r>
            <w:r>
              <w:rPr>
                <w:rFonts w:hint="eastAsia" w:ascii="宋体" w:hAnsi="宋体" w:eastAsia="宋体" w:cs="宋体"/>
                <w:b/>
                <w:bCs/>
                <w:sz w:val="20"/>
                <w:szCs w:val="20"/>
                <w:lang w:val="zh-CN" w:eastAsia="zh-CN"/>
              </w:rPr>
              <w:t>.公司近年来营业规模持续扩大，但主营业务盈利能力仍然偏弱。管理层是否认为，仅依靠现有智能终端制造业务的内生增长，已难以实现盈利能力和企业价值的实质性提升？公司是否已将外延式并购、重大资产重组或产业整合作为未来三至五年的重要战略选项？如有，重点考虑哪些产业方向？</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持续推进现有业务提质增效，夯实内生增长基础，同时持续研判产业整合、外延协同机会。公司将结合自身战略布局、行业发展趋势及市场环境，统筹规划未来经营发展。后续若涉及资产注入或重组意向等相关规划，公司将严格遵守监管规则，及时履行审议程序及信息披露义务，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en-US" w:eastAsia="zh-CN"/>
              </w:rPr>
              <w:t>10</w:t>
            </w:r>
            <w:r>
              <w:rPr>
                <w:rFonts w:hint="eastAsia" w:ascii="宋体" w:hAnsi="宋体" w:eastAsia="宋体" w:cs="宋体"/>
                <w:b/>
                <w:bCs/>
                <w:sz w:val="20"/>
                <w:szCs w:val="20"/>
                <w:lang w:val="zh-CN" w:eastAsia="zh-CN"/>
              </w:rPr>
              <w:t>.公司现有业务规模较大，但部分业务盈利能力偏弱。管理层是否考虑对低毛利、低回报业务进行战略性调整，包括资产出售、业务剥离、资产置换或内部资源整合，并将资金和资源集中投入AI智能硬件、机器人及高端制造等高附加值产业？公司是否已开展相关资产效率评估？</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始终坚持高质量发展导向，持续关注各业务板块的经营质效与资产回报，并根据行业发展趋势和自身实际，统筹推进业务优化、资源整合及新动能培育等相关工作。对于符合公司战略方向的机遇，公司将审慎研究、积极布局，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en-US" w:eastAsia="zh-CN"/>
              </w:rPr>
              <w:t>11</w:t>
            </w:r>
            <w:r>
              <w:rPr>
                <w:rFonts w:hint="eastAsia" w:ascii="宋体" w:hAnsi="宋体" w:eastAsia="宋体" w:cs="宋体"/>
                <w:b/>
                <w:bCs/>
                <w:sz w:val="20"/>
                <w:szCs w:val="20"/>
                <w:lang w:val="zh-CN" w:eastAsia="zh-CN"/>
              </w:rPr>
              <w:t>.在国有企业深化改革、提高上市公司质量及发展新质生产力的政策背景下，请问控股股东是否对福日电子提出了明确的产业升级、资产整合或市值管理目标？公司是否建立了与控股股东协同开展产业投资、资产注入及并购整合的机制？未来是否考虑利用上市公司平台整合优质产业资源？</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答:感谢您对公司的关注。控股股东持续关注公司生产经营及产业布局情况。大股东如有相关计划，公司将按照信息披露相关规则及时披露相关信息，谢谢。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1</w:t>
            </w:r>
            <w:r>
              <w:rPr>
                <w:rFonts w:hint="eastAsia" w:ascii="宋体" w:hAnsi="宋体" w:eastAsia="宋体" w:cs="宋体"/>
                <w:b/>
                <w:bCs/>
                <w:sz w:val="20"/>
                <w:szCs w:val="20"/>
                <w:lang w:val="en-US" w:eastAsia="zh-CN"/>
              </w:rPr>
              <w:t>2</w:t>
            </w:r>
            <w:r>
              <w:rPr>
                <w:rFonts w:hint="eastAsia" w:ascii="宋体" w:hAnsi="宋体" w:eastAsia="宋体" w:cs="宋体"/>
                <w:b/>
                <w:bCs/>
                <w:sz w:val="20"/>
                <w:szCs w:val="20"/>
                <w:lang w:val="zh-CN" w:eastAsia="zh-CN"/>
              </w:rPr>
              <w:t>.请问公司目前是否设有专门负责产业投资、并购重组及战略研究的部门或团队？是否已建立外部标的筛选、项目储备及投资决策机制？未来对于AI硬件、机器人、先进制造等方向，公司倾向于自主研发、合资合作、参股投资，还是通过控股并购快速获取核心技术和市场资源？</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的关注。公司管理团队统筹承担战略研究、产业跟踪、并购机会研判等工作，已建立标的筛选、项目论证、投资决策相关内部机制。公司高度关注新兴产业的发展趋势，结合自身能力积极研究相关业务延伸的可行性，并保持开放、审慎的态度探索潜在的合作机会，后续若涉及相关事项，公司将严格遵守监管规则，及时履行审议程序及信息披露义务，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val="0"/>
                <w:bCs w:val="0"/>
                <w:sz w:val="20"/>
                <w:szCs w:val="20"/>
                <w:lang w:val="en-US" w:eastAsia="zh-CN"/>
              </w:rPr>
              <w:t xml:space="preserve"> </w:t>
            </w:r>
            <w:r>
              <w:rPr>
                <w:rFonts w:hint="eastAsia" w:ascii="宋体" w:hAnsi="宋体" w:eastAsia="宋体" w:cs="宋体"/>
                <w:b/>
                <w:bCs/>
                <w:sz w:val="20"/>
                <w:szCs w:val="20"/>
                <w:lang w:val="en-US" w:eastAsia="zh-CN"/>
              </w:rPr>
              <w:t xml:space="preserve"> 13</w:t>
            </w:r>
            <w:r>
              <w:rPr>
                <w:rFonts w:hint="eastAsia" w:ascii="宋体" w:hAnsi="宋体" w:eastAsia="宋体" w:cs="宋体"/>
                <w:b/>
                <w:bCs/>
                <w:sz w:val="20"/>
                <w:szCs w:val="20"/>
                <w:lang w:val="zh-CN" w:eastAsia="zh-CN"/>
              </w:rPr>
              <w:t>.市场对AI眼镜、AI可穿戴设备等新型智能终端的发展前景较为关注。请问公司在相关领域目前处于研发验证、小批量试产还是规模化交付阶段？相关产品收入占比、毛利率与传统智能终端业务相比有何差异？公司是否计划通过收购光学模组、传感器、AI交互技术等领域的优质企业，提升在AI终端产业链中的价值地位？</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高度关注AI眼镜、AI可穿戴等新型智能终端的发展机遇，已围绕饮食健康、运动、睡眠、情绪等方向开展相关产品的研发布局，目前整体处于研发验证阶段，相关业务尚在培育过程中。公司将持续关注相关产业的发展趋势，结合自身能力积极研究相关业务延伸的可行性，并保持开放、审慎的态度探索潜在的合作机会，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1</w:t>
            </w:r>
            <w:r>
              <w:rPr>
                <w:rFonts w:hint="eastAsia" w:ascii="宋体" w:hAnsi="宋体" w:eastAsia="宋体" w:cs="宋体"/>
                <w:b/>
                <w:bCs/>
                <w:sz w:val="20"/>
                <w:szCs w:val="20"/>
                <w:lang w:val="en-US" w:eastAsia="zh-CN"/>
              </w:rPr>
              <w:t>4</w:t>
            </w:r>
            <w:r>
              <w:rPr>
                <w:rFonts w:hint="eastAsia" w:ascii="宋体" w:hAnsi="宋体" w:eastAsia="宋体" w:cs="宋体"/>
                <w:b/>
                <w:bCs/>
                <w:sz w:val="20"/>
                <w:szCs w:val="20"/>
                <w:lang w:val="zh-CN" w:eastAsia="zh-CN"/>
              </w:rPr>
              <w:t>.公司当前收入规模较大，但利润水平与收入规模并不匹配。管理层是否认为传统制造业务附加值不足是制约公司估值和盈利能力的重要因素？未来是否计划通过技术并购、研发投入或产业合作，向AI计算模组、智能传感、边缘AI设备及自主品牌产品等高附加值领域升级？是否有明确的收入结构调整目标？</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传统代工制造业务附加值偏低的确对盈利水平形成约束，公司将结合自身战略布局、行业发展趋势及市场环境，积极评估包括AI计算模组、感知模块、AI端侧硬件在内的新兴业务，并保持开放、审慎的态度探索潜在的合作机会，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1</w:t>
            </w:r>
            <w:r>
              <w:rPr>
                <w:rFonts w:hint="eastAsia" w:ascii="宋体" w:hAnsi="宋体" w:eastAsia="宋体" w:cs="宋体"/>
                <w:b/>
                <w:bCs/>
                <w:sz w:val="20"/>
                <w:szCs w:val="20"/>
                <w:lang w:val="en-US" w:eastAsia="zh-CN"/>
              </w:rPr>
              <w:t>5</w:t>
            </w:r>
            <w:r>
              <w:rPr>
                <w:rFonts w:hint="eastAsia" w:ascii="宋体" w:hAnsi="宋体" w:eastAsia="宋体" w:cs="宋体"/>
                <w:b/>
                <w:bCs/>
                <w:sz w:val="20"/>
                <w:szCs w:val="20"/>
                <w:lang w:val="zh-CN" w:eastAsia="zh-CN"/>
              </w:rPr>
              <w:t>.公司2026年前三季度经营活动现金流持续承压，同时存在较大的营运资金需求。若未来推进战略转型及产业并购，公司是否具备相应的资金和融资能力？是否考虑通过发行股份购买资产、引入战略投资者、设立产业基金等方式，降低现金收购压力并优化资本结构？管理层如何平衡现有业务资金需求与新产业投资？</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高度重视现金流管理，持续优化营运资金周转，保障主业资金需求。公司后续若涉及战略转型、产业并购等资本运作，将优先匹配与自身资金实力、融资能力相适应的项目，同时也不排除引入战略投资者、设立产业并购基金等方式，一方面降低现金收购压力、优化资本结构，另一方面依托合作方资源实现产业协同发展。管理层优先保障主业资金需求，审慎统筹资金安排，平衡现有业务运营与新产业投资，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1</w:t>
            </w:r>
            <w:r>
              <w:rPr>
                <w:rFonts w:hint="eastAsia" w:ascii="宋体" w:hAnsi="宋体" w:eastAsia="宋体" w:cs="宋体"/>
                <w:b/>
                <w:bCs/>
                <w:sz w:val="20"/>
                <w:szCs w:val="20"/>
                <w:lang w:val="en-US" w:eastAsia="zh-CN"/>
              </w:rPr>
              <w:t>6</w:t>
            </w:r>
            <w:r>
              <w:rPr>
                <w:rFonts w:hint="eastAsia" w:ascii="宋体" w:hAnsi="宋体" w:eastAsia="宋体" w:cs="宋体"/>
                <w:b/>
                <w:bCs/>
                <w:sz w:val="20"/>
                <w:szCs w:val="20"/>
                <w:lang w:val="zh-CN" w:eastAsia="zh-CN"/>
              </w:rPr>
              <w:t>.公司是否考虑通过引入AI硬件、机器人、半导体或智能制造领域的产业战略投资者，实现技术、订单、研发和资本资源的协同？在保持现有治理结构稳定的前提下，管理层是否愿意探索股权合作、合资平台、产业基金等方式，加快新业务布局</w:t>
            </w:r>
            <w:r>
              <w:rPr>
                <w:rFonts w:hint="eastAsia" w:ascii="宋体" w:hAnsi="宋体" w:eastAsia="宋体" w:cs="宋体"/>
                <w:b w:val="0"/>
                <w:bCs w:val="0"/>
                <w:sz w:val="20"/>
                <w:szCs w:val="20"/>
              </w:rPr>
              <w:t>？</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答:感谢您对公司的关注。公司始终保持对新兴产业机会的关注与对外合作态度，加快新业务布局。如后续涉及达到披露标准的事项，公司将依规履行信息披露义务，谢谢。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 xml:space="preserve"> 1</w:t>
            </w:r>
            <w:r>
              <w:rPr>
                <w:rFonts w:hint="eastAsia" w:ascii="宋体" w:hAnsi="宋体" w:eastAsia="宋体" w:cs="宋体"/>
                <w:b/>
                <w:bCs/>
                <w:sz w:val="20"/>
                <w:szCs w:val="20"/>
                <w:lang w:val="en-US" w:eastAsia="zh-CN"/>
              </w:rPr>
              <w:t>7</w:t>
            </w:r>
            <w:r>
              <w:rPr>
                <w:rFonts w:hint="eastAsia" w:ascii="宋体" w:hAnsi="宋体" w:eastAsia="宋体" w:cs="宋体"/>
                <w:b/>
                <w:bCs/>
                <w:sz w:val="20"/>
                <w:szCs w:val="20"/>
                <w:lang w:val="zh-CN" w:eastAsia="zh-CN"/>
              </w:rPr>
              <w:t>.公司拥有较大的营业收入规模，但盈利能力、经营现金流及资本市场价值仍存在改善空间。管理层是否制定了未来三年的企业价值提升计划？除常规降本增效外，是否将产业并购、资产整合、新业务培育及资本结构优化纳入具体行动方案？能否明确未来12个月最重要的战略转型工作及可量化目标？</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管理层正视公司盈利、现金流及资本市场价值存在的提升空间，以高质量发展为导向做好中长期经营谋划。除持续落实降本增效外，公司结合自身战略布局、行业发展趋势及市场环境，统筹规划未来经营发展。若形成达到披露标准的方案，公司将严格遵守监管规则，及时履行审议程序及信息披露义务，谢谢。</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w:t>
            </w:r>
            <w:r>
              <w:rPr>
                <w:rFonts w:hint="eastAsia" w:ascii="宋体" w:hAnsi="宋体" w:eastAsia="宋体" w:cs="宋体"/>
                <w:b/>
                <w:bCs/>
                <w:sz w:val="20"/>
                <w:szCs w:val="20"/>
                <w:lang w:val="zh-CN" w:eastAsia="zh-CN"/>
              </w:rPr>
              <w:t>1</w:t>
            </w:r>
            <w:r>
              <w:rPr>
                <w:rFonts w:hint="eastAsia" w:ascii="宋体" w:hAnsi="宋体" w:eastAsia="宋体" w:cs="宋体"/>
                <w:b/>
                <w:bCs/>
                <w:sz w:val="20"/>
                <w:szCs w:val="20"/>
                <w:lang w:val="en-US" w:eastAsia="zh-CN"/>
              </w:rPr>
              <w:t>8</w:t>
            </w:r>
            <w:r>
              <w:rPr>
                <w:rFonts w:hint="eastAsia" w:ascii="宋体" w:hAnsi="宋体" w:eastAsia="宋体" w:cs="宋体"/>
                <w:b/>
                <w:bCs/>
                <w:sz w:val="20"/>
                <w:szCs w:val="20"/>
                <w:lang w:val="zh-CN" w:eastAsia="zh-CN"/>
              </w:rPr>
              <w:t>.前三季度扣非利润较去年同期下降这么多，毛利率也低，四季度是否会有改善，年内股价跌幅超40%，公司是否有股价管理相关的工作？</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公司前三季度利润和毛利率承压主要是受存储等核心原材料涨价影响，公司持续通过研发和供应链两大维度推进降本增效，多措并举改善经营质量。公司第三季度毛利率环比有所改善，同比基本持平。二级市场股价受宏观环境、行业周期、市场资金偏好、投资者情绪等多重因素共同影响，敬请广大投资者理性投资、注意投资风险。公司将持续深耕主业，夯实经营基本面，提升经营质量，推动公司稳健发展，谢谢</w:t>
            </w:r>
            <w:r>
              <w:rPr>
                <w:rFonts w:hint="eastAsia" w:ascii="宋体" w:hAnsi="宋体" w:eastAsia="宋体" w:cs="宋体"/>
                <w:b w:val="0"/>
                <w:bCs w:val="0"/>
                <w:sz w:val="20"/>
                <w:szCs w:val="20"/>
                <w:lang w:eastAsia="zh-CN"/>
              </w:rPr>
              <w:t>。</w:t>
            </w:r>
          </w:p>
          <w:p w14:paraId="4E572B72">
            <w:pPr>
              <w:pStyle w:val="12"/>
              <w:bidi w:val="0"/>
              <w:ind w:firstLine="402" w:firstLineChars="200"/>
              <w:rPr>
                <w:rFonts w:ascii="宋体" w:hAnsi="宋体" w:eastAsia="宋体" w:cs="宋体"/>
                <w:b/>
                <w:sz w:val="20"/>
              </w:rPr>
            </w:pPr>
            <w:r>
              <w:rPr>
                <w:rFonts w:hint="eastAsia" w:ascii="宋体" w:hAnsi="宋体" w:eastAsia="宋体" w:cs="宋体"/>
                <w:b/>
                <w:bCs/>
                <w:sz w:val="20"/>
                <w:szCs w:val="20"/>
                <w:lang w:val="zh-CN" w:eastAsia="zh-CN"/>
              </w:rPr>
              <w:t>1</w:t>
            </w:r>
            <w:r>
              <w:rPr>
                <w:rFonts w:hint="eastAsia" w:ascii="宋体" w:hAnsi="宋体" w:eastAsia="宋体" w:cs="宋体"/>
                <w:b/>
                <w:bCs/>
                <w:sz w:val="20"/>
                <w:szCs w:val="20"/>
                <w:lang w:val="en-US" w:eastAsia="zh-CN"/>
              </w:rPr>
              <w:t>9</w:t>
            </w:r>
            <w:r>
              <w:rPr>
                <w:rFonts w:hint="eastAsia" w:ascii="宋体" w:hAnsi="宋体" w:eastAsia="宋体" w:cs="宋体"/>
                <w:b/>
                <w:bCs/>
                <w:sz w:val="20"/>
                <w:szCs w:val="20"/>
                <w:lang w:val="zh-CN" w:eastAsia="zh-CN"/>
              </w:rPr>
              <w:t>.5月大股东增持后股价持续下跌，请问大股东后续是否有继续增持或维稳股价的计划？</w:t>
            </w:r>
            <w:r>
              <w:rPr>
                <w:rFonts w:hint="eastAsia" w:ascii="宋体" w:hAnsi="宋体" w:eastAsia="宋体" w:cs="宋体"/>
                <w:b w:val="0"/>
                <w:bCs w:val="0"/>
                <w:sz w:val="20"/>
                <w:szCs w:val="20"/>
              </w:rPr>
              <w:br w:type="textWrapping"/>
            </w:r>
            <w:r>
              <w:rPr>
                <w:rFonts w:hint="eastAsia" w:ascii="宋体" w:hAnsi="宋体" w:eastAsia="宋体" w:cs="宋体"/>
                <w:b w:val="0"/>
                <w:bCs w:val="0"/>
                <w:sz w:val="20"/>
                <w:szCs w:val="20"/>
              </w:rPr>
              <w:t xml:space="preserve">    答:感谢您对公司的关注。截至目前，公司不存在应披露而未披露的信息，大股东如有相关计划，公司将按照信息披露相关规则及时披露相关信息，谢谢。</w:t>
            </w:r>
          </w:p>
        </w:tc>
      </w:tr>
      <w:tr w14:paraId="78D0BC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80" w:type="dxa"/>
            <w:vAlign w:val="center"/>
          </w:tcPr>
          <w:p w14:paraId="396C655E">
            <w:pPr>
              <w:pStyle w:val="12"/>
              <w:spacing w:before="1"/>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关于本次活动是否涉及应</w:t>
            </w:r>
          </w:p>
          <w:p w14:paraId="5FE9D282">
            <w:pPr>
              <w:pStyle w:val="12"/>
              <w:spacing w:before="1"/>
              <w:ind w:left="107"/>
              <w:rPr>
                <w:rFonts w:ascii="宋体" w:hAnsi="宋体" w:eastAsia="宋体" w:cs="宋体"/>
                <w:b/>
                <w:bCs/>
                <w:sz w:val="20"/>
                <w:szCs w:val="20"/>
              </w:rPr>
            </w:pPr>
            <w:r>
              <w:rPr>
                <w:rFonts w:hint="eastAsia" w:cs="宋体" w:asciiTheme="minorEastAsia" w:hAnsiTheme="minorEastAsia" w:eastAsiaTheme="minorEastAsia"/>
                <w:b/>
                <w:bCs/>
                <w:sz w:val="20"/>
                <w:szCs w:val="20"/>
              </w:rPr>
              <w:t>披露重大信息的说明</w:t>
            </w:r>
          </w:p>
        </w:tc>
        <w:tc>
          <w:tcPr>
            <w:tcW w:w="5945" w:type="dxa"/>
            <w:vAlign w:val="center"/>
          </w:tcPr>
          <w:p w14:paraId="40910E92">
            <w:pPr>
              <w:pStyle w:val="12"/>
              <w:spacing w:before="100" w:beforeAutospacing="1" w:line="360" w:lineRule="auto"/>
              <w:rPr>
                <w:rFonts w:ascii="宋体" w:hAnsi="宋体" w:eastAsia="宋体" w:cs="宋体"/>
                <w:sz w:val="20"/>
                <w:szCs w:val="20"/>
              </w:rPr>
            </w:pPr>
            <w:r>
              <w:rPr>
                <w:rFonts w:hint="eastAsia" w:cs="宋体" w:asciiTheme="minorEastAsia" w:hAnsiTheme="minorEastAsia" w:eastAsiaTheme="minorEastAsia"/>
                <w:sz w:val="20"/>
                <w:szCs w:val="20"/>
              </w:rPr>
              <w:t>本次活动不涉及未公开披露的重大信息。</w:t>
            </w:r>
          </w:p>
        </w:tc>
      </w:tr>
      <w:tr w14:paraId="0C678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306A5B6">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附件清单（如有）</w:t>
            </w:r>
          </w:p>
        </w:tc>
        <w:tc>
          <w:tcPr>
            <w:tcW w:w="5945" w:type="dxa"/>
            <w:vAlign w:val="center"/>
          </w:tcPr>
          <w:p w14:paraId="45CFA3E9">
            <w:pPr>
              <w:pStyle w:val="12"/>
              <w:spacing w:before="100" w:beforeAutospacing="1" w:line="360" w:lineRule="auto"/>
              <w:rPr>
                <w:rFonts w:ascii="宋体" w:hAnsi="宋体" w:eastAsia="宋体" w:cs="宋体"/>
                <w:sz w:val="20"/>
                <w:szCs w:val="20"/>
              </w:rPr>
            </w:pPr>
          </w:p>
        </w:tc>
      </w:tr>
      <w:tr w14:paraId="1036EC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2FDBF415">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日期</w:t>
            </w:r>
          </w:p>
        </w:tc>
        <w:tc>
          <w:tcPr>
            <w:tcW w:w="5945" w:type="dxa"/>
            <w:vAlign w:val="center"/>
          </w:tcPr>
          <w:p w14:paraId="6073D276">
            <w:pPr>
              <w:pStyle w:val="12"/>
              <w:spacing w:before="100" w:beforeAutospacing="1"/>
              <w:rPr>
                <w:rFonts w:ascii="宋体" w:hAnsi="宋体" w:eastAsia="宋体" w:cs="宋体"/>
                <w:sz w:val="20"/>
                <w:szCs w:val="20"/>
              </w:rPr>
            </w:pPr>
            <w:r>
              <w:rPr>
                <w:rFonts w:ascii="宋体" w:hAnsi="宋体" w:eastAsia="宋体" w:cs="宋体"/>
                <w:sz w:val="20"/>
                <w:szCs w:val="20"/>
              </w:rPr>
              <w:t>2026年10月30日</w:t>
            </w:r>
          </w:p>
        </w:tc>
      </w:tr>
    </w:tbl>
    <w:p w14:paraId="00ABB1E0">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172A27"/>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868E3"/>
    <w:rsid w:val="005D64CA"/>
    <w:rsid w:val="005E5717"/>
    <w:rsid w:val="005E6DB2"/>
    <w:rsid w:val="0061433E"/>
    <w:rsid w:val="0062751D"/>
    <w:rsid w:val="006354AA"/>
    <w:rsid w:val="00661AFA"/>
    <w:rsid w:val="006726BF"/>
    <w:rsid w:val="00677B77"/>
    <w:rsid w:val="0068718A"/>
    <w:rsid w:val="006A2739"/>
    <w:rsid w:val="006B5C95"/>
    <w:rsid w:val="006E14B0"/>
    <w:rsid w:val="006F0108"/>
    <w:rsid w:val="006F6AFC"/>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0379FA"/>
    <w:rsid w:val="064249C6"/>
    <w:rsid w:val="08641132"/>
    <w:rsid w:val="09186774"/>
    <w:rsid w:val="0945438F"/>
    <w:rsid w:val="0A71587A"/>
    <w:rsid w:val="0B792C38"/>
    <w:rsid w:val="0C28640C"/>
    <w:rsid w:val="0CA41DB2"/>
    <w:rsid w:val="0E90599A"/>
    <w:rsid w:val="0ED720CD"/>
    <w:rsid w:val="0F0547E3"/>
    <w:rsid w:val="12070CAE"/>
    <w:rsid w:val="137E6912"/>
    <w:rsid w:val="14110951"/>
    <w:rsid w:val="145F688C"/>
    <w:rsid w:val="14D47131"/>
    <w:rsid w:val="15680001"/>
    <w:rsid w:val="15DD2205"/>
    <w:rsid w:val="17072842"/>
    <w:rsid w:val="17A67110"/>
    <w:rsid w:val="1864189B"/>
    <w:rsid w:val="18D73A7D"/>
    <w:rsid w:val="19557370"/>
    <w:rsid w:val="1BD06B6A"/>
    <w:rsid w:val="1D812306"/>
    <w:rsid w:val="1F590B62"/>
    <w:rsid w:val="1F782BDE"/>
    <w:rsid w:val="204A6A53"/>
    <w:rsid w:val="23317869"/>
    <w:rsid w:val="25650CAE"/>
    <w:rsid w:val="25F3318F"/>
    <w:rsid w:val="26406598"/>
    <w:rsid w:val="28080056"/>
    <w:rsid w:val="28734C1A"/>
    <w:rsid w:val="28A35925"/>
    <w:rsid w:val="28C72DDD"/>
    <w:rsid w:val="294E40B2"/>
    <w:rsid w:val="29EE0E64"/>
    <w:rsid w:val="2BC4020A"/>
    <w:rsid w:val="2EF90F16"/>
    <w:rsid w:val="2EFB2629"/>
    <w:rsid w:val="2F125C63"/>
    <w:rsid w:val="2FA8283A"/>
    <w:rsid w:val="30087837"/>
    <w:rsid w:val="302C3D0A"/>
    <w:rsid w:val="3104598F"/>
    <w:rsid w:val="31A77B43"/>
    <w:rsid w:val="331F7372"/>
    <w:rsid w:val="336E20A7"/>
    <w:rsid w:val="33DE31BB"/>
    <w:rsid w:val="34394463"/>
    <w:rsid w:val="36640863"/>
    <w:rsid w:val="37B01533"/>
    <w:rsid w:val="389C49C0"/>
    <w:rsid w:val="39BC78F4"/>
    <w:rsid w:val="3B35486F"/>
    <w:rsid w:val="3D715D82"/>
    <w:rsid w:val="3DEA4E03"/>
    <w:rsid w:val="3EF1250A"/>
    <w:rsid w:val="3F0634CE"/>
    <w:rsid w:val="40567DB0"/>
    <w:rsid w:val="40FF5CD2"/>
    <w:rsid w:val="42DB40B0"/>
    <w:rsid w:val="43B71B0A"/>
    <w:rsid w:val="44FA0589"/>
    <w:rsid w:val="45A663E3"/>
    <w:rsid w:val="469F09AF"/>
    <w:rsid w:val="46BC05B4"/>
    <w:rsid w:val="4B756271"/>
    <w:rsid w:val="4C575F3D"/>
    <w:rsid w:val="4C8E1CA8"/>
    <w:rsid w:val="4D6D36A4"/>
    <w:rsid w:val="4DA16EA9"/>
    <w:rsid w:val="510903EF"/>
    <w:rsid w:val="53F137F4"/>
    <w:rsid w:val="543A6906"/>
    <w:rsid w:val="56850CBB"/>
    <w:rsid w:val="594857B6"/>
    <w:rsid w:val="59D8738A"/>
    <w:rsid w:val="5A132EDD"/>
    <w:rsid w:val="5A666D76"/>
    <w:rsid w:val="5B2253C2"/>
    <w:rsid w:val="5CF02E0F"/>
    <w:rsid w:val="603269D2"/>
    <w:rsid w:val="61A52BCA"/>
    <w:rsid w:val="62AC3ECF"/>
    <w:rsid w:val="63870498"/>
    <w:rsid w:val="67095496"/>
    <w:rsid w:val="67ED7463"/>
    <w:rsid w:val="681A546A"/>
    <w:rsid w:val="68507D37"/>
    <w:rsid w:val="69CB37D4"/>
    <w:rsid w:val="6A0D5B9B"/>
    <w:rsid w:val="6A3B23B1"/>
    <w:rsid w:val="6AEA32DC"/>
    <w:rsid w:val="6CC24AB5"/>
    <w:rsid w:val="6D9271B2"/>
    <w:rsid w:val="6F134790"/>
    <w:rsid w:val="6FE81F5F"/>
    <w:rsid w:val="70E17439"/>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Template>
  <Pages>5</Pages>
  <Words>5626</Words>
  <Characters>5801</Characters>
  <Lines>1</Lines>
  <Paragraphs>1</Paragraphs>
  <TotalTime>0</TotalTime>
  <ScaleCrop>false</ScaleCrop>
  <LinksUpToDate>false</LinksUpToDate>
  <CharactersWithSpaces>5993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福日电子</cp:lastModifiedBy>
  <dcterms:modified xsi:type="dcterms:W3CDTF">2026-10-30T09:46:23Z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57D148DF2F764966BF4E1C38A6255FA2</vt:lpwstr>
  </property>
  <property fmtid="{D5CDD505-2E9C-101B-9397-08002B2CF9AE}" pid="4" name="KSOTemplateDocerSaveRecord">
    <vt:lpwstr>eyJoZGlkIjoiODViY2JkMjU3NGYzZTEwMzZmMGFkZWViYmNkYWU3NDIiLCJ1c2VySWQiOiIxOTIyNDA0NjUifQ==</vt:lpwstr>
  </property>
</Properties>
</file>