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3225" w14:textId="77777777" w:rsidR="00873715" w:rsidRPr="00BF6B06" w:rsidRDefault="00AD1DE5" w:rsidP="00BF6B06">
      <w:pPr>
        <w:widowControl/>
        <w:adjustRightInd w:val="0"/>
        <w:snapToGrid w:val="0"/>
        <w:spacing w:line="360" w:lineRule="auto"/>
        <w:jc w:val="center"/>
        <w:rPr>
          <w:rFonts w:ascii="Times New Roman" w:eastAsia="黑体" w:hAnsi="Times New Roman" w:cs="Times New Roman"/>
          <w:b/>
          <w:sz w:val="32"/>
          <w:szCs w:val="32"/>
        </w:rPr>
      </w:pPr>
      <w:r w:rsidRPr="00BF6B06">
        <w:rPr>
          <w:rFonts w:ascii="Times New Roman" w:eastAsia="黑体" w:hAnsi="Times New Roman" w:cs="Times New Roman"/>
          <w:b/>
          <w:bCs/>
          <w:color w:val="000000"/>
          <w:kern w:val="0"/>
          <w:sz w:val="32"/>
          <w:szCs w:val="32"/>
          <w:lang w:bidi="ar"/>
        </w:rPr>
        <w:t>豪威集成电路（集团）股份有限公司</w:t>
      </w:r>
    </w:p>
    <w:p w14:paraId="4D05EF0E" w14:textId="77777777" w:rsidR="00873715" w:rsidRPr="00BF6B06" w:rsidRDefault="00AD1DE5" w:rsidP="00BF6B06">
      <w:pPr>
        <w:adjustRightInd w:val="0"/>
        <w:snapToGrid w:val="0"/>
        <w:spacing w:line="360" w:lineRule="auto"/>
        <w:jc w:val="center"/>
        <w:rPr>
          <w:rFonts w:ascii="Times New Roman" w:eastAsia="黑体" w:hAnsi="Times New Roman" w:cs="Times New Roman"/>
          <w:b/>
          <w:sz w:val="32"/>
          <w:szCs w:val="32"/>
        </w:rPr>
      </w:pPr>
      <w:r w:rsidRPr="00BF6B06">
        <w:rPr>
          <w:rFonts w:ascii="Times New Roman" w:eastAsia="黑体" w:hAnsi="Times New Roman" w:cs="Times New Roman" w:hint="eastAsia"/>
          <w:b/>
          <w:sz w:val="32"/>
          <w:szCs w:val="32"/>
        </w:rPr>
        <w:t>投资者交流活动记录表</w:t>
      </w:r>
    </w:p>
    <w:tbl>
      <w:tblPr>
        <w:tblStyle w:val="ae"/>
        <w:tblW w:w="8799" w:type="dxa"/>
        <w:jc w:val="center"/>
        <w:tblLayout w:type="fixed"/>
        <w:tblLook w:val="04A0" w:firstRow="1" w:lastRow="0" w:firstColumn="1" w:lastColumn="0" w:noHBand="0" w:noVBand="1"/>
      </w:tblPr>
      <w:tblGrid>
        <w:gridCol w:w="1556"/>
        <w:gridCol w:w="7243"/>
      </w:tblGrid>
      <w:tr w:rsidR="00873715" w14:paraId="1AA607CC" w14:textId="77777777">
        <w:trPr>
          <w:trHeight w:val="926"/>
          <w:jc w:val="center"/>
        </w:trPr>
        <w:tc>
          <w:tcPr>
            <w:tcW w:w="1556" w:type="dxa"/>
            <w:vAlign w:val="center"/>
          </w:tcPr>
          <w:p w14:paraId="2A923ADF"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投资者交流</w:t>
            </w:r>
          </w:p>
          <w:p w14:paraId="77B0C566"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活动类别</w:t>
            </w:r>
          </w:p>
        </w:tc>
        <w:tc>
          <w:tcPr>
            <w:tcW w:w="7243" w:type="dxa"/>
            <w:vAlign w:val="center"/>
          </w:tcPr>
          <w:p w14:paraId="5391C7AD" w14:textId="77777777" w:rsidR="00873715" w:rsidRDefault="00AD1DE5">
            <w:pPr>
              <w:spacing w:line="360" w:lineRule="auto"/>
              <w:rPr>
                <w:rFonts w:ascii="Times New Roman" w:hAnsi="Times New Roman" w:cs="Times New Roman"/>
                <w:szCs w:val="21"/>
              </w:rPr>
            </w:pPr>
            <w:r>
              <w:rPr>
                <w:rFonts w:ascii="Times New Roman" w:hAnsi="Times New Roman" w:cs="Times New Roman"/>
                <w:szCs w:val="21"/>
              </w:rPr>
              <w:t>□</w:t>
            </w:r>
            <w:proofErr w:type="gramStart"/>
            <w:r>
              <w:rPr>
                <w:rFonts w:ascii="Times New Roman" w:hAnsi="Times New Roman" w:cs="Times New Roman"/>
                <w:szCs w:val="21"/>
              </w:rPr>
              <w:t>特定对象调研</w:t>
            </w:r>
            <w:r>
              <w:rPr>
                <w:rFonts w:ascii="Times New Roman" w:hAnsi="Times New Roman" w:cs="Times New Roman"/>
                <w:szCs w:val="21"/>
              </w:rPr>
              <w:t xml:space="preserve">  □</w:t>
            </w:r>
            <w:r>
              <w:rPr>
                <w:rFonts w:ascii="Times New Roman" w:hAnsi="Times New Roman" w:cs="Times New Roman"/>
                <w:szCs w:val="21"/>
              </w:rPr>
              <w:t>分析师会议</w:t>
            </w:r>
            <w:r>
              <w:rPr>
                <w:rFonts w:ascii="Times New Roman" w:hAnsi="Times New Roman" w:cs="Times New Roman"/>
                <w:szCs w:val="21"/>
              </w:rPr>
              <w:t xml:space="preserve">  □</w:t>
            </w:r>
            <w:r>
              <w:rPr>
                <w:rFonts w:ascii="Times New Roman" w:hAnsi="Times New Roman" w:cs="Times New Roman"/>
                <w:szCs w:val="21"/>
              </w:rPr>
              <w:t>媒体采访</w:t>
            </w:r>
            <w:r>
              <w:rPr>
                <w:rFonts w:ascii="Times New Roman" w:hAnsi="Times New Roman" w:cs="Times New Roman"/>
                <w:szCs w:val="21"/>
              </w:rPr>
              <w:t xml:space="preserve">  √</w:t>
            </w:r>
            <w:r>
              <w:rPr>
                <w:rFonts w:ascii="Times New Roman" w:hAnsi="Times New Roman" w:cs="Times New Roman"/>
                <w:szCs w:val="21"/>
              </w:rPr>
              <w:t>业绩说明会</w:t>
            </w:r>
            <w:r>
              <w:rPr>
                <w:rFonts w:ascii="Times New Roman" w:hAnsi="Times New Roman" w:cs="Times New Roman"/>
                <w:szCs w:val="21"/>
              </w:rPr>
              <w:t xml:space="preserve">  □</w:t>
            </w:r>
            <w:proofErr w:type="gramEnd"/>
            <w:r>
              <w:rPr>
                <w:rFonts w:ascii="Times New Roman" w:hAnsi="Times New Roman" w:cs="Times New Roman"/>
                <w:szCs w:val="21"/>
              </w:rPr>
              <w:t>新闻</w:t>
            </w:r>
            <w:proofErr w:type="gramStart"/>
            <w:r>
              <w:rPr>
                <w:rFonts w:ascii="Times New Roman" w:hAnsi="Times New Roman" w:cs="Times New Roman"/>
                <w:szCs w:val="21"/>
              </w:rPr>
              <w:t>发布会</w:t>
            </w:r>
            <w:r>
              <w:rPr>
                <w:rFonts w:ascii="Times New Roman" w:hAnsi="Times New Roman" w:cs="Times New Roman"/>
                <w:szCs w:val="21"/>
              </w:rPr>
              <w:t xml:space="preserve">       □</w:t>
            </w:r>
            <w:r>
              <w:rPr>
                <w:rFonts w:ascii="Times New Roman" w:hAnsi="Times New Roman" w:cs="Times New Roman"/>
                <w:szCs w:val="21"/>
              </w:rPr>
              <w:t>路演活动</w:t>
            </w:r>
            <w:r>
              <w:rPr>
                <w:rFonts w:ascii="Times New Roman" w:hAnsi="Times New Roman" w:cs="Times New Roman"/>
                <w:szCs w:val="21"/>
              </w:rPr>
              <w:t xml:space="preserve">  □</w:t>
            </w:r>
            <w:r>
              <w:rPr>
                <w:rFonts w:ascii="Times New Roman" w:hAnsi="Times New Roman" w:cs="Times New Roman"/>
                <w:szCs w:val="21"/>
              </w:rPr>
              <w:t>现场参观</w:t>
            </w:r>
            <w:r>
              <w:rPr>
                <w:rFonts w:ascii="Times New Roman" w:hAnsi="Times New Roman" w:cs="Times New Roman"/>
                <w:szCs w:val="21"/>
              </w:rPr>
              <w:t xml:space="preserve">  √</w:t>
            </w:r>
            <w:proofErr w:type="gramEnd"/>
            <w:r>
              <w:rPr>
                <w:rFonts w:ascii="Times New Roman" w:hAnsi="Times New Roman" w:cs="Times New Roman"/>
                <w:szCs w:val="21"/>
              </w:rPr>
              <w:t>其他（</w:t>
            </w:r>
            <w:r>
              <w:rPr>
                <w:rFonts w:ascii="Times New Roman" w:hAnsi="Times New Roman" w:cs="Times New Roman" w:hint="eastAsia"/>
                <w:szCs w:val="21"/>
              </w:rPr>
              <w:t>电话会议、线上视频会议等</w:t>
            </w:r>
            <w:r>
              <w:rPr>
                <w:rFonts w:ascii="Times New Roman" w:hAnsi="Times New Roman" w:cs="Times New Roman"/>
                <w:szCs w:val="21"/>
              </w:rPr>
              <w:t>）</w:t>
            </w:r>
          </w:p>
        </w:tc>
      </w:tr>
      <w:tr w:rsidR="00873715" w14:paraId="39F3B959" w14:textId="77777777" w:rsidTr="00BF6B06">
        <w:trPr>
          <w:trHeight w:val="1950"/>
          <w:jc w:val="center"/>
        </w:trPr>
        <w:tc>
          <w:tcPr>
            <w:tcW w:w="1556" w:type="dxa"/>
            <w:vAlign w:val="center"/>
          </w:tcPr>
          <w:p w14:paraId="6E85EFAE"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t>参与单位名称</w:t>
            </w:r>
          </w:p>
        </w:tc>
        <w:tc>
          <w:tcPr>
            <w:tcW w:w="7243" w:type="dxa"/>
            <w:vAlign w:val="center"/>
          </w:tcPr>
          <w:p w14:paraId="61F9CD64" w14:textId="6CB32EE3" w:rsidR="00873715" w:rsidRDefault="00AD1DE5">
            <w:pPr>
              <w:spacing w:line="360" w:lineRule="auto"/>
              <w:rPr>
                <w:rFonts w:ascii="Times New Roman" w:hAnsi="Times New Roman" w:cs="Times New Roman"/>
                <w:szCs w:val="21"/>
              </w:rPr>
            </w:pPr>
            <w:r>
              <w:rPr>
                <w:rFonts w:ascii="Times New Roman" w:hAnsi="Times New Roman" w:cs="Times New Roman" w:hint="eastAsia"/>
                <w:szCs w:val="21"/>
              </w:rPr>
              <w:t>爱建证券、百年保险资管、博时基金、财达证券、财通证券、长城证券、长江证券、长青藤资产、长盛基金、重阳投资、大和日华、淡马锡、道仁资产、大朴资产、东北证券、东方财富证券、东吴基金、东吴证券、东兴证券、东亚前海证券、方正证券、枫泉投资、富存投资、富国基金、富瑞金融、高盛（亚洲）、工银安盛资管、观富资产、光大证券、光大资管、广发证券、国海富兰克林基金、国海证券、国金证券、国盛证券、国泰海通证券、国泰基金、国投证券、国信证券、海通国际、杭银理财、汉石投资、红方资产、红杉资本、华创证券、华富基金、华福证券、花旗环球金融亚洲、华泰证券、华夏久盈资管、华西证券、华源证券、汇丰晋信基金、汇丰前海证券、辉润投资、汇添富基金、建信理财、建银国际、交银国际、交银施罗德基金、嘉实基金、金光紫金创投、金鹰基金、巨杉资产、凯基证券亚洲、开源证券、昆仑健康保险、聆泽私募、麦格理资本、明涧投资、摩根大通、摩根士丹利、诺弈资本、鹏华基金、鹏扬基金、平安银行、平安资产管理、浦发银行、瑞穗证券亚洲、瑞银集团、瑞银证券、上海证券、上汽金控、山西证券、申万宏源证券、申万菱信基金、施罗德投资（香港）、太平基金、太平洋证券、太平洋资产管理、天风证券、天风</w:t>
            </w:r>
            <w:r>
              <w:rPr>
                <w:rFonts w:ascii="Times New Roman" w:hAnsi="Times New Roman" w:cs="Times New Roman" w:hint="eastAsia"/>
                <w:szCs w:val="21"/>
              </w:rPr>
              <w:t>资管、万家基金、温氏投资、西部利得基金、西部证券、西南证券、星展银行（香港）、兴证资管、亚太财险、野村东方国际证券、银华基金、永安财险、永赢基金、元昊投资、远望资产、招商基金、招商证券、招银国际、臻远投资、浙商证券、中国长城资产、中华联合保险、中金公司、中泰证券、中投国际（香港）、中信保诚基金、中信保诚资管、中信建投、中信里昂证券、中信证券、中银基金、中邮保险资管、中邮证券、中原证券、中域资产、</w:t>
            </w:r>
            <w:r>
              <w:rPr>
                <w:rFonts w:ascii="Times New Roman" w:hAnsi="Times New Roman" w:cs="Times New Roman"/>
                <w:szCs w:val="21"/>
              </w:rPr>
              <w:t>ACG Management</w:t>
            </w:r>
            <w:r>
              <w:rPr>
                <w:rFonts w:ascii="Times New Roman" w:hAnsi="Times New Roman" w:cs="Times New Roman" w:hint="eastAsia"/>
                <w:szCs w:val="21"/>
              </w:rPr>
              <w:t>、</w:t>
            </w:r>
            <w:r>
              <w:rPr>
                <w:rFonts w:ascii="Times New Roman" w:hAnsi="Times New Roman" w:cs="Times New Roman"/>
                <w:szCs w:val="21"/>
              </w:rPr>
              <w:t>Acuity Knowledge Partners</w:t>
            </w:r>
            <w:r>
              <w:rPr>
                <w:rFonts w:ascii="Times New Roman" w:hAnsi="Times New Roman" w:cs="Times New Roman" w:hint="eastAsia"/>
                <w:szCs w:val="21"/>
              </w:rPr>
              <w:t>、</w:t>
            </w:r>
            <w:r>
              <w:rPr>
                <w:rFonts w:ascii="Times New Roman" w:hAnsi="Times New Roman" w:cs="Times New Roman"/>
                <w:szCs w:val="21"/>
              </w:rPr>
              <w:t>HSBC Global Asset Management</w:t>
            </w:r>
            <w:r>
              <w:rPr>
                <w:rFonts w:ascii="Times New Roman" w:hAnsi="Times New Roman" w:cs="Times New Roman" w:hint="eastAsia"/>
                <w:szCs w:val="21"/>
              </w:rPr>
              <w:t>、</w:t>
            </w:r>
            <w:r>
              <w:rPr>
                <w:rFonts w:ascii="Times New Roman" w:hAnsi="Times New Roman" w:cs="Times New Roman"/>
                <w:szCs w:val="21"/>
              </w:rPr>
              <w:t>IGWT Investment</w:t>
            </w:r>
            <w:r>
              <w:rPr>
                <w:rFonts w:ascii="Times New Roman" w:hAnsi="Times New Roman" w:cs="Times New Roman" w:hint="eastAsia"/>
                <w:szCs w:val="21"/>
              </w:rPr>
              <w:t>、</w:t>
            </w:r>
            <w:r>
              <w:rPr>
                <w:rFonts w:ascii="Times New Roman" w:hAnsi="Times New Roman" w:cs="Times New Roman"/>
                <w:szCs w:val="21"/>
              </w:rPr>
              <w:t>Marco Polo Pure Asset Management</w:t>
            </w:r>
            <w:r>
              <w:rPr>
                <w:rFonts w:ascii="Times New Roman" w:hAnsi="Times New Roman" w:cs="Times New Roman" w:hint="eastAsia"/>
                <w:szCs w:val="21"/>
              </w:rPr>
              <w:t>、</w:t>
            </w:r>
            <w:r>
              <w:rPr>
                <w:rFonts w:ascii="Times New Roman" w:hAnsi="Times New Roman" w:cs="Times New Roman"/>
                <w:szCs w:val="21"/>
              </w:rPr>
              <w:t>Metaphase Fund</w:t>
            </w:r>
            <w:r>
              <w:rPr>
                <w:rFonts w:ascii="Times New Roman" w:hAnsi="Times New Roman" w:cs="Times New Roman" w:hint="eastAsia"/>
                <w:szCs w:val="21"/>
              </w:rPr>
              <w:t>、</w:t>
            </w:r>
            <w:r>
              <w:rPr>
                <w:rFonts w:ascii="Times New Roman" w:hAnsi="Times New Roman" w:cs="Times New Roman"/>
                <w:szCs w:val="21"/>
              </w:rPr>
              <w:t>Millennium Capital Management</w:t>
            </w:r>
            <w:r>
              <w:rPr>
                <w:rFonts w:ascii="Times New Roman" w:hAnsi="Times New Roman" w:cs="Times New Roman" w:hint="eastAsia"/>
                <w:szCs w:val="21"/>
              </w:rPr>
              <w:t>、</w:t>
            </w:r>
            <w:r>
              <w:rPr>
                <w:rFonts w:ascii="Times New Roman" w:hAnsi="Times New Roman" w:cs="Times New Roman"/>
                <w:szCs w:val="21"/>
              </w:rPr>
              <w:t>Schonfeld</w:t>
            </w:r>
            <w:r>
              <w:rPr>
                <w:rFonts w:ascii="Times New Roman" w:hAnsi="Times New Roman" w:cs="Times New Roman" w:hint="eastAsia"/>
                <w:szCs w:val="21"/>
              </w:rPr>
              <w:t>、</w:t>
            </w:r>
            <w:r>
              <w:rPr>
                <w:rFonts w:ascii="Times New Roman" w:hAnsi="Times New Roman" w:cs="Times New Roman"/>
                <w:szCs w:val="21"/>
              </w:rPr>
              <w:t>Point72</w:t>
            </w:r>
            <w:r>
              <w:rPr>
                <w:rFonts w:ascii="Times New Roman" w:hAnsi="Times New Roman" w:cs="Times New Roman" w:hint="eastAsia"/>
                <w:szCs w:val="21"/>
              </w:rPr>
              <w:t>、</w:t>
            </w:r>
            <w:r>
              <w:rPr>
                <w:rFonts w:ascii="Times New Roman" w:hAnsi="Times New Roman" w:cs="Times New Roman"/>
                <w:szCs w:val="21"/>
              </w:rPr>
              <w:t>Topaz Family Office</w:t>
            </w:r>
            <w:r>
              <w:rPr>
                <w:rFonts w:ascii="Times New Roman" w:hAnsi="Times New Roman" w:cs="Times New Roman" w:hint="eastAsia"/>
                <w:szCs w:val="21"/>
              </w:rPr>
              <w:t>、</w:t>
            </w:r>
            <w:r>
              <w:rPr>
                <w:rFonts w:ascii="Times New Roman" w:hAnsi="Times New Roman" w:cs="Times New Roman"/>
                <w:szCs w:val="21"/>
              </w:rPr>
              <w:t>UG Investment Advisers</w:t>
            </w:r>
            <w:r>
              <w:rPr>
                <w:rFonts w:ascii="Times New Roman" w:hAnsi="Times New Roman" w:cs="Times New Roman" w:hint="eastAsia"/>
                <w:szCs w:val="21"/>
              </w:rPr>
              <w:t>等</w:t>
            </w:r>
            <w:r>
              <w:rPr>
                <w:rFonts w:ascii="Times New Roman" w:hAnsi="Times New Roman" w:cs="Times New Roman"/>
                <w:szCs w:val="21"/>
              </w:rPr>
              <w:t>200</w:t>
            </w:r>
            <w:r>
              <w:rPr>
                <w:rFonts w:ascii="Times New Roman" w:hAnsi="Times New Roman" w:cs="Times New Roman" w:hint="eastAsia"/>
                <w:szCs w:val="21"/>
              </w:rPr>
              <w:t>余家机构。</w:t>
            </w:r>
          </w:p>
        </w:tc>
      </w:tr>
      <w:tr w:rsidR="00873715" w14:paraId="3172FE40" w14:textId="77777777" w:rsidTr="00BF6B06">
        <w:trPr>
          <w:trHeight w:val="1978"/>
          <w:jc w:val="center"/>
        </w:trPr>
        <w:tc>
          <w:tcPr>
            <w:tcW w:w="1556" w:type="dxa"/>
            <w:vAlign w:val="center"/>
          </w:tcPr>
          <w:p w14:paraId="561A628C"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lastRenderedPageBreak/>
              <w:t>公司接待人员</w:t>
            </w:r>
          </w:p>
        </w:tc>
        <w:tc>
          <w:tcPr>
            <w:tcW w:w="7243" w:type="dxa"/>
            <w:vAlign w:val="center"/>
          </w:tcPr>
          <w:p w14:paraId="232159E7" w14:textId="77777777" w:rsidR="00873715" w:rsidRDefault="00AD1DE5">
            <w:pPr>
              <w:spacing w:line="360" w:lineRule="auto"/>
              <w:rPr>
                <w:rFonts w:ascii="Times New Roman" w:hAnsi="Times New Roman" w:cs="Times New Roman"/>
                <w:szCs w:val="21"/>
              </w:rPr>
            </w:pPr>
            <w:r>
              <w:rPr>
                <w:rFonts w:ascii="Times New Roman" w:hAnsi="Times New Roman" w:cs="Times New Roman"/>
                <w:szCs w:val="21"/>
              </w:rPr>
              <w:t>董事</w:t>
            </w:r>
            <w:proofErr w:type="gramStart"/>
            <w:r>
              <w:rPr>
                <w:rFonts w:ascii="Times New Roman" w:hAnsi="Times New Roman" w:cs="Times New Roman"/>
                <w:szCs w:val="21"/>
              </w:rPr>
              <w:t>长</w:t>
            </w:r>
            <w:r>
              <w:rPr>
                <w:rFonts w:ascii="Times New Roman" w:hAnsi="Times New Roman" w:cs="Times New Roman"/>
                <w:szCs w:val="21"/>
              </w:rPr>
              <w:t xml:space="preserve"> </w:t>
            </w:r>
            <w:r>
              <w:rPr>
                <w:rFonts w:ascii="Times New Roman" w:hAnsi="Times New Roman" w:cs="Times New Roman"/>
                <w:szCs w:val="21"/>
              </w:rPr>
              <w:t>虞仁荣</w:t>
            </w:r>
            <w:proofErr w:type="gramEnd"/>
          </w:p>
          <w:p w14:paraId="790676D0" w14:textId="5C8255FE" w:rsidR="00873715" w:rsidRDefault="00BF6B06">
            <w:pPr>
              <w:spacing w:line="360" w:lineRule="auto"/>
              <w:rPr>
                <w:rFonts w:ascii="Times New Roman" w:hAnsi="Times New Roman" w:cs="Times New Roman"/>
                <w:szCs w:val="21"/>
              </w:rPr>
            </w:pPr>
            <w:r>
              <w:rPr>
                <w:rFonts w:ascii="Times New Roman" w:hAnsi="Times New Roman" w:cs="Times New Roman" w:hint="eastAsia"/>
                <w:szCs w:val="21"/>
              </w:rPr>
              <w:t>董事、</w:t>
            </w:r>
            <w:r>
              <w:rPr>
                <w:rFonts w:ascii="Times New Roman" w:hAnsi="Times New Roman" w:cs="Times New Roman"/>
                <w:szCs w:val="21"/>
              </w:rPr>
              <w:t>总</w:t>
            </w:r>
            <w:proofErr w:type="gramStart"/>
            <w:r>
              <w:rPr>
                <w:rFonts w:ascii="Times New Roman" w:hAnsi="Times New Roman" w:cs="Times New Roman"/>
                <w:szCs w:val="21"/>
              </w:rPr>
              <w:t>经理</w:t>
            </w:r>
            <w:r>
              <w:rPr>
                <w:rFonts w:ascii="Times New Roman" w:hAnsi="Times New Roman" w:cs="Times New Roman"/>
                <w:szCs w:val="21"/>
              </w:rPr>
              <w:t xml:space="preserve"> </w:t>
            </w:r>
            <w:r>
              <w:rPr>
                <w:rFonts w:ascii="Times New Roman" w:hAnsi="Times New Roman" w:cs="Times New Roman"/>
                <w:szCs w:val="21"/>
              </w:rPr>
              <w:t>高文宝</w:t>
            </w:r>
            <w:proofErr w:type="gramEnd"/>
          </w:p>
          <w:p w14:paraId="26B4A9DF" w14:textId="77777777" w:rsidR="00873715" w:rsidRDefault="00AD1DE5">
            <w:pPr>
              <w:spacing w:line="360" w:lineRule="auto"/>
              <w:rPr>
                <w:rFonts w:ascii="Times New Roman" w:hAnsi="Times New Roman" w:cs="Times New Roman"/>
                <w:szCs w:val="21"/>
              </w:rPr>
            </w:pPr>
            <w:r>
              <w:rPr>
                <w:rFonts w:ascii="Times New Roman" w:hAnsi="Times New Roman" w:cs="Times New Roman" w:hint="eastAsia"/>
                <w:szCs w:val="21"/>
              </w:rPr>
              <w:t>副总</w:t>
            </w:r>
            <w:proofErr w:type="gramStart"/>
            <w:r>
              <w:rPr>
                <w:rFonts w:ascii="Times New Roman" w:hAnsi="Times New Roman" w:cs="Times New Roman" w:hint="eastAsia"/>
                <w:szCs w:val="21"/>
              </w:rPr>
              <w:t>经理</w:t>
            </w:r>
            <w:r>
              <w:rPr>
                <w:rFonts w:ascii="Times New Roman" w:hAnsi="Times New Roman" w:cs="Times New Roman"/>
                <w:szCs w:val="21"/>
              </w:rPr>
              <w:t xml:space="preserve"> </w:t>
            </w:r>
            <w:r>
              <w:rPr>
                <w:rFonts w:ascii="Times New Roman" w:hAnsi="Times New Roman" w:cs="Times New Roman" w:hint="eastAsia"/>
                <w:szCs w:val="21"/>
              </w:rPr>
              <w:t>王</w:t>
            </w:r>
            <w:proofErr w:type="gramEnd"/>
            <w:r>
              <w:rPr>
                <w:rFonts w:ascii="Times New Roman" w:hAnsi="Times New Roman" w:cs="Times New Roman" w:hint="eastAsia"/>
                <w:szCs w:val="21"/>
              </w:rPr>
              <w:t>崧</w:t>
            </w:r>
          </w:p>
          <w:p w14:paraId="4A520E99" w14:textId="77777777" w:rsidR="00873715" w:rsidRDefault="00AD1DE5">
            <w:pPr>
              <w:spacing w:line="360" w:lineRule="auto"/>
              <w:rPr>
                <w:rFonts w:ascii="Times New Roman" w:hAnsi="Times New Roman" w:cs="Times New Roman"/>
                <w:szCs w:val="21"/>
              </w:rPr>
            </w:pPr>
            <w:proofErr w:type="gramStart"/>
            <w:r>
              <w:rPr>
                <w:rFonts w:ascii="Times New Roman" w:hAnsi="Times New Roman" w:cs="Times New Roman" w:hint="eastAsia"/>
                <w:szCs w:val="21"/>
              </w:rPr>
              <w:t>董事</w:t>
            </w:r>
            <w:r>
              <w:rPr>
                <w:rFonts w:ascii="Times New Roman" w:hAnsi="Times New Roman" w:cs="Times New Roman"/>
                <w:szCs w:val="21"/>
              </w:rPr>
              <w:t xml:space="preserve"> </w:t>
            </w:r>
            <w:r>
              <w:rPr>
                <w:rFonts w:ascii="Times New Roman" w:hAnsi="Times New Roman" w:cs="Times New Roman" w:hint="eastAsia"/>
                <w:szCs w:val="21"/>
              </w:rPr>
              <w:t>吴晓东</w:t>
            </w:r>
            <w:proofErr w:type="gramEnd"/>
          </w:p>
          <w:p w14:paraId="4D437F2F" w14:textId="77777777" w:rsidR="00873715" w:rsidRDefault="00AD1DE5">
            <w:pPr>
              <w:spacing w:line="360" w:lineRule="auto"/>
              <w:rPr>
                <w:rFonts w:ascii="Times New Roman" w:hAnsi="Times New Roman" w:cs="Times New Roman"/>
                <w:szCs w:val="21"/>
              </w:rPr>
            </w:pPr>
            <w:r>
              <w:rPr>
                <w:rFonts w:ascii="Times New Roman" w:hAnsi="Times New Roman" w:cs="Times New Roman"/>
                <w:szCs w:val="21"/>
              </w:rPr>
              <w:t>财务</w:t>
            </w:r>
            <w:proofErr w:type="gramStart"/>
            <w:r>
              <w:rPr>
                <w:rFonts w:ascii="Times New Roman" w:hAnsi="Times New Roman" w:cs="Times New Roman"/>
                <w:szCs w:val="21"/>
              </w:rPr>
              <w:t>总监</w:t>
            </w:r>
            <w:r>
              <w:rPr>
                <w:rFonts w:ascii="Times New Roman" w:hAnsi="Times New Roman" w:cs="Times New Roman"/>
                <w:szCs w:val="21"/>
              </w:rPr>
              <w:t xml:space="preserve"> </w:t>
            </w:r>
            <w:r>
              <w:rPr>
                <w:rFonts w:ascii="Times New Roman" w:hAnsi="Times New Roman" w:cs="Times New Roman"/>
                <w:szCs w:val="21"/>
              </w:rPr>
              <w:t>徐兴</w:t>
            </w:r>
            <w:proofErr w:type="gramEnd"/>
          </w:p>
          <w:p w14:paraId="1AE5D2D1" w14:textId="66E2E19C" w:rsidR="00873715" w:rsidRDefault="00AD1DE5">
            <w:pPr>
              <w:spacing w:line="360" w:lineRule="auto"/>
              <w:rPr>
                <w:rFonts w:ascii="Times New Roman" w:hAnsi="Times New Roman" w:cs="Times New Roman"/>
                <w:szCs w:val="21"/>
              </w:rPr>
            </w:pPr>
            <w:r>
              <w:rPr>
                <w:rFonts w:ascii="Times New Roman" w:hAnsi="Times New Roman" w:cs="Times New Roman" w:hint="eastAsia"/>
                <w:szCs w:val="21"/>
              </w:rPr>
              <w:t>董事会</w:t>
            </w:r>
            <w:proofErr w:type="gramStart"/>
            <w:r>
              <w:rPr>
                <w:rFonts w:ascii="Times New Roman" w:hAnsi="Times New Roman" w:cs="Times New Roman" w:hint="eastAsia"/>
                <w:szCs w:val="21"/>
              </w:rPr>
              <w:t>秘书</w:t>
            </w:r>
            <w:r>
              <w:rPr>
                <w:rFonts w:ascii="Times New Roman" w:hAnsi="Times New Roman" w:cs="Times New Roman"/>
                <w:szCs w:val="21"/>
              </w:rPr>
              <w:t xml:space="preserve"> </w:t>
            </w:r>
            <w:r>
              <w:rPr>
                <w:rFonts w:ascii="Times New Roman" w:hAnsi="Times New Roman" w:cs="Times New Roman" w:hint="eastAsia"/>
                <w:szCs w:val="21"/>
              </w:rPr>
              <w:t>任冰</w:t>
            </w:r>
            <w:proofErr w:type="gramEnd"/>
          </w:p>
        </w:tc>
      </w:tr>
      <w:tr w:rsidR="00873715" w14:paraId="0004C905" w14:textId="77777777">
        <w:trPr>
          <w:trHeight w:val="472"/>
          <w:jc w:val="center"/>
        </w:trPr>
        <w:tc>
          <w:tcPr>
            <w:tcW w:w="1556" w:type="dxa"/>
            <w:vAlign w:val="center"/>
          </w:tcPr>
          <w:p w14:paraId="23909E5D"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时间</w:t>
            </w:r>
          </w:p>
        </w:tc>
        <w:tc>
          <w:tcPr>
            <w:tcW w:w="7243" w:type="dxa"/>
            <w:vAlign w:val="center"/>
          </w:tcPr>
          <w:p w14:paraId="7E1829B4" w14:textId="77777777" w:rsidR="00873715" w:rsidRDefault="00AD1DE5">
            <w:pPr>
              <w:spacing w:line="360" w:lineRule="auto"/>
              <w:rPr>
                <w:rFonts w:ascii="Times New Roman" w:hAnsi="Times New Roman" w:cs="Times New Roman"/>
                <w:szCs w:val="21"/>
              </w:rPr>
            </w:pPr>
            <w:r>
              <w:rPr>
                <w:rFonts w:ascii="Times New Roman" w:hAnsi="Times New Roman" w:cs="Times New Roman"/>
                <w:szCs w:val="21"/>
              </w:rPr>
              <w:t>2026</w:t>
            </w:r>
            <w:r>
              <w:rPr>
                <w:rFonts w:ascii="Times New Roman" w:hAnsi="Times New Roman" w:cs="Times New Roman" w:hint="eastAsia"/>
                <w:szCs w:val="21"/>
              </w:rPr>
              <w:t>年</w:t>
            </w:r>
            <w:r>
              <w:rPr>
                <w:rFonts w:ascii="Times New Roman" w:hAnsi="Times New Roman" w:cs="Times New Roman"/>
                <w:szCs w:val="21"/>
              </w:rPr>
              <w:t>10</w:t>
            </w:r>
            <w:r>
              <w:rPr>
                <w:rFonts w:ascii="Times New Roman" w:hAnsi="Times New Roman" w:cs="Times New Roman" w:hint="eastAsia"/>
                <w:szCs w:val="21"/>
              </w:rPr>
              <w:t>月</w:t>
            </w:r>
            <w:r>
              <w:rPr>
                <w:rFonts w:ascii="Times New Roman" w:hAnsi="Times New Roman" w:cs="Times New Roman"/>
                <w:szCs w:val="21"/>
              </w:rPr>
              <w:t>28</w:t>
            </w:r>
            <w:r>
              <w:rPr>
                <w:rFonts w:ascii="Times New Roman" w:hAnsi="Times New Roman" w:cs="Times New Roman" w:hint="eastAsia"/>
                <w:szCs w:val="21"/>
              </w:rPr>
              <w:t>日</w:t>
            </w:r>
          </w:p>
        </w:tc>
      </w:tr>
      <w:tr w:rsidR="00873715" w14:paraId="73E091EC" w14:textId="77777777">
        <w:trPr>
          <w:trHeight w:val="472"/>
          <w:jc w:val="center"/>
        </w:trPr>
        <w:tc>
          <w:tcPr>
            <w:tcW w:w="1556" w:type="dxa"/>
            <w:vAlign w:val="center"/>
          </w:tcPr>
          <w:p w14:paraId="52A06436" w14:textId="77777777" w:rsidR="00873715" w:rsidRDefault="00AD1DE5">
            <w:pPr>
              <w:adjustRightInd w:val="0"/>
              <w:snapToGrid w:val="0"/>
              <w:jc w:val="center"/>
              <w:rPr>
                <w:rFonts w:ascii="Times New Roman" w:hAnsi="Times New Roman" w:cs="Times New Roman"/>
                <w:b/>
                <w:szCs w:val="21"/>
              </w:rPr>
            </w:pPr>
            <w:r>
              <w:rPr>
                <w:rFonts w:ascii="Times New Roman" w:hAnsi="Times New Roman" w:cs="Times New Roman" w:hint="eastAsia"/>
                <w:b/>
                <w:szCs w:val="21"/>
              </w:rPr>
              <w:t>地点</w:t>
            </w:r>
          </w:p>
        </w:tc>
        <w:tc>
          <w:tcPr>
            <w:tcW w:w="7243" w:type="dxa"/>
            <w:vAlign w:val="center"/>
          </w:tcPr>
          <w:p w14:paraId="6E314994" w14:textId="77777777" w:rsidR="00873715" w:rsidRDefault="00AD1DE5">
            <w:pPr>
              <w:spacing w:line="360" w:lineRule="auto"/>
              <w:rPr>
                <w:rFonts w:ascii="Times New Roman" w:hAnsi="Times New Roman" w:cs="Times New Roman"/>
                <w:szCs w:val="21"/>
              </w:rPr>
            </w:pPr>
            <w:r>
              <w:rPr>
                <w:rFonts w:ascii="Times New Roman" w:hAnsi="Times New Roman" w:cs="Times New Roman" w:hint="eastAsia"/>
                <w:szCs w:val="21"/>
              </w:rPr>
              <w:t>电话会议、线上会议</w:t>
            </w:r>
          </w:p>
        </w:tc>
      </w:tr>
      <w:tr w:rsidR="00873715" w14:paraId="755CC278" w14:textId="77777777" w:rsidTr="00BF6B06">
        <w:trPr>
          <w:trHeight w:val="5235"/>
          <w:jc w:val="center"/>
        </w:trPr>
        <w:tc>
          <w:tcPr>
            <w:tcW w:w="1556" w:type="dxa"/>
            <w:vAlign w:val="center"/>
          </w:tcPr>
          <w:p w14:paraId="094AFEF4" w14:textId="77777777" w:rsidR="00873715" w:rsidRPr="00BF6B06" w:rsidRDefault="00AD1DE5" w:rsidP="00BF6B06">
            <w:pPr>
              <w:spacing w:line="360" w:lineRule="auto"/>
              <w:jc w:val="center"/>
              <w:rPr>
                <w:rFonts w:ascii="Times New Roman" w:hAnsi="Times New Roman" w:cs="Times New Roman"/>
                <w:b/>
                <w:bCs/>
                <w:szCs w:val="21"/>
              </w:rPr>
            </w:pPr>
            <w:r w:rsidRPr="00BF6B06">
              <w:rPr>
                <w:rFonts w:ascii="Times New Roman" w:hAnsi="Times New Roman" w:cs="Times New Roman" w:hint="eastAsia"/>
                <w:b/>
                <w:bCs/>
                <w:szCs w:val="21"/>
              </w:rPr>
              <w:t>交流内容</w:t>
            </w:r>
          </w:p>
        </w:tc>
        <w:tc>
          <w:tcPr>
            <w:tcW w:w="7243" w:type="dxa"/>
          </w:tcPr>
          <w:p w14:paraId="5693FA0C" w14:textId="77777777" w:rsidR="00873715" w:rsidRDefault="00AD1DE5">
            <w:pPr>
              <w:spacing w:line="360" w:lineRule="auto"/>
              <w:rPr>
                <w:rFonts w:ascii="Times New Roman" w:hAnsi="Times New Roman" w:cs="Times New Roman"/>
                <w:b/>
                <w:bCs/>
                <w:szCs w:val="21"/>
              </w:rPr>
            </w:pPr>
            <w:r>
              <w:rPr>
                <w:rFonts w:ascii="Times New Roman" w:hAnsi="Times New Roman" w:cs="Times New Roman" w:hint="eastAsia"/>
                <w:b/>
                <w:bCs/>
                <w:szCs w:val="21"/>
              </w:rPr>
              <w:t>一、公司</w:t>
            </w:r>
            <w:r>
              <w:rPr>
                <w:rFonts w:ascii="Times New Roman" w:hAnsi="Times New Roman" w:cs="Times New Roman"/>
                <w:b/>
                <w:bCs/>
                <w:szCs w:val="21"/>
              </w:rPr>
              <w:t>2026</w:t>
            </w:r>
            <w:r>
              <w:rPr>
                <w:rFonts w:ascii="Times New Roman" w:hAnsi="Times New Roman" w:cs="Times New Roman" w:hint="eastAsia"/>
                <w:b/>
                <w:bCs/>
                <w:szCs w:val="21"/>
              </w:rPr>
              <w:t>年前三季度经营情况介绍</w:t>
            </w:r>
          </w:p>
          <w:p w14:paraId="0F548B5C" w14:textId="5F66A963" w:rsidR="00873715"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2026</w:t>
            </w:r>
            <w:r w:rsidRPr="00BF6B06">
              <w:rPr>
                <w:rFonts w:ascii="Times New Roman" w:hAnsi="Times New Roman" w:cs="Times New Roman" w:hint="eastAsia"/>
                <w:szCs w:val="21"/>
              </w:rPr>
              <w:t>年前三季度</w:t>
            </w:r>
            <w:r>
              <w:rPr>
                <w:rFonts w:ascii="Times New Roman" w:hAnsi="Times New Roman" w:cs="Times New Roman" w:hint="eastAsia"/>
                <w:szCs w:val="21"/>
              </w:rPr>
              <w:t>，公司</w:t>
            </w:r>
            <w:r w:rsidRPr="00BF6B06">
              <w:rPr>
                <w:rFonts w:ascii="Times New Roman" w:hAnsi="Times New Roman" w:cs="Times New Roman" w:hint="eastAsia"/>
                <w:szCs w:val="21"/>
              </w:rPr>
              <w:t>实现营业收入</w:t>
            </w:r>
            <w:r w:rsidRPr="00BF6B06">
              <w:rPr>
                <w:rFonts w:ascii="Times New Roman" w:hAnsi="Times New Roman" w:cs="Times New Roman" w:hint="eastAsia"/>
                <w:szCs w:val="21"/>
              </w:rPr>
              <w:t>221.49</w:t>
            </w:r>
            <w:r w:rsidRPr="00BF6B06">
              <w:rPr>
                <w:rFonts w:ascii="Times New Roman" w:hAnsi="Times New Roman" w:cs="Times New Roman" w:hint="eastAsia"/>
                <w:szCs w:val="21"/>
              </w:rPr>
              <w:t>亿元。</w:t>
            </w:r>
            <w:r>
              <w:rPr>
                <w:rFonts w:ascii="Times New Roman" w:hAnsi="Times New Roman" w:cs="Times New Roman"/>
                <w:szCs w:val="21"/>
              </w:rPr>
              <w:t>归属于上市公司股东的净利润约为</w:t>
            </w:r>
            <w:r>
              <w:rPr>
                <w:rFonts w:ascii="Times New Roman" w:hAnsi="Times New Roman" w:cs="Times New Roman"/>
                <w:szCs w:val="21"/>
              </w:rPr>
              <w:t>22.99</w:t>
            </w:r>
            <w:r>
              <w:rPr>
                <w:rFonts w:ascii="Times New Roman" w:hAnsi="Times New Roman" w:cs="Times New Roman"/>
                <w:szCs w:val="21"/>
              </w:rPr>
              <w:t>亿元，较上年同期减少约</w:t>
            </w:r>
            <w:r>
              <w:rPr>
                <w:rFonts w:ascii="Times New Roman" w:hAnsi="Times New Roman" w:cs="Times New Roman"/>
                <w:szCs w:val="21"/>
              </w:rPr>
              <w:t>28.39%</w:t>
            </w:r>
            <w:r>
              <w:rPr>
                <w:rFonts w:ascii="Times New Roman" w:hAnsi="Times New Roman" w:cs="Times New Roman"/>
                <w:szCs w:val="21"/>
              </w:rPr>
              <w:t>，归属于上市公司股东的扣除非经常性损益的净利润为</w:t>
            </w:r>
            <w:r>
              <w:rPr>
                <w:rFonts w:ascii="Times New Roman" w:hAnsi="Times New Roman" w:cs="Times New Roman"/>
                <w:szCs w:val="21"/>
              </w:rPr>
              <w:t>22.06</w:t>
            </w:r>
            <w:r>
              <w:rPr>
                <w:rFonts w:ascii="Times New Roman" w:hAnsi="Times New Roman" w:cs="Times New Roman"/>
                <w:szCs w:val="21"/>
              </w:rPr>
              <w:t>亿元，较上年同期减少</w:t>
            </w:r>
            <w:r>
              <w:rPr>
                <w:rFonts w:ascii="Times New Roman" w:hAnsi="Times New Roman" w:cs="Times New Roman"/>
                <w:szCs w:val="21"/>
              </w:rPr>
              <w:t>27.90%</w:t>
            </w:r>
            <w:r>
              <w:rPr>
                <w:rFonts w:ascii="Times New Roman" w:hAnsi="Times New Roman" w:cs="Times New Roman"/>
                <w:szCs w:val="21"/>
              </w:rPr>
              <w:t>。</w:t>
            </w:r>
          </w:p>
          <w:p w14:paraId="20E2D9DD" w14:textId="007D32A1" w:rsidR="00873715" w:rsidRDefault="00AD1DE5">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从业务结构看，</w:t>
            </w:r>
            <w:r>
              <w:rPr>
                <w:rFonts w:ascii="Times New Roman" w:hAnsi="Times New Roman" w:cs="Times New Roman"/>
                <w:szCs w:val="21"/>
              </w:rPr>
              <w:t>受</w:t>
            </w:r>
            <w:r>
              <w:rPr>
                <w:rFonts w:ascii="Times New Roman" w:hAnsi="Times New Roman" w:cs="Times New Roman"/>
                <w:szCs w:val="21"/>
              </w:rPr>
              <w:t>AI</w:t>
            </w:r>
            <w:r>
              <w:rPr>
                <w:rFonts w:ascii="Times New Roman" w:hAnsi="Times New Roman" w:cs="Times New Roman"/>
                <w:szCs w:val="21"/>
              </w:rPr>
              <w:t>产业链需求向电子元器件环节传导的推动，公司半导体代理销售业务规模相应扩大</w:t>
            </w:r>
            <w:r>
              <w:rPr>
                <w:rFonts w:ascii="Times New Roman" w:hAnsi="Times New Roman" w:cs="Times New Roman" w:hint="eastAsia"/>
                <w:szCs w:val="21"/>
              </w:rPr>
              <w:t>。公司</w:t>
            </w:r>
            <w:r w:rsidRPr="00BF6B06">
              <w:rPr>
                <w:rFonts w:ascii="Times New Roman" w:hAnsi="Times New Roman" w:cs="Times New Roman" w:hint="eastAsia"/>
                <w:szCs w:val="21"/>
              </w:rPr>
              <w:t>半导体设计销售业务实现收入</w:t>
            </w:r>
            <w:r w:rsidRPr="00BF6B06">
              <w:rPr>
                <w:rFonts w:ascii="Times New Roman" w:hAnsi="Times New Roman" w:cs="Times New Roman" w:hint="eastAsia"/>
                <w:szCs w:val="21"/>
              </w:rPr>
              <w:t>163.46</w:t>
            </w:r>
            <w:r w:rsidRPr="00BF6B06">
              <w:rPr>
                <w:rFonts w:ascii="Times New Roman" w:hAnsi="Times New Roman" w:cs="Times New Roman" w:hint="eastAsia"/>
                <w:szCs w:val="21"/>
              </w:rPr>
              <w:t>亿元，占营业收入的</w:t>
            </w:r>
            <w:r w:rsidRPr="00BF6B06">
              <w:rPr>
                <w:rFonts w:ascii="Times New Roman" w:hAnsi="Times New Roman" w:cs="Times New Roman" w:hint="eastAsia"/>
                <w:szCs w:val="21"/>
              </w:rPr>
              <w:t>73.80%</w:t>
            </w:r>
            <w:r w:rsidRPr="00BF6B06">
              <w:rPr>
                <w:rFonts w:ascii="Times New Roman" w:hAnsi="Times New Roman" w:cs="Times New Roman" w:hint="eastAsia"/>
                <w:szCs w:val="21"/>
              </w:rPr>
              <w:t>，较上年同期减少</w:t>
            </w:r>
            <w:r w:rsidRPr="00BF6B06">
              <w:rPr>
                <w:rFonts w:ascii="Times New Roman" w:hAnsi="Times New Roman" w:cs="Times New Roman" w:hint="eastAsia"/>
                <w:szCs w:val="21"/>
              </w:rPr>
              <w:t>9.40%</w:t>
            </w:r>
            <w:r w:rsidRPr="00BF6B06">
              <w:rPr>
                <w:rFonts w:ascii="Times New Roman" w:hAnsi="Times New Roman" w:cs="Times New Roman" w:hint="eastAsia"/>
                <w:szCs w:val="21"/>
              </w:rPr>
              <w:t>；半导体代理销售业务收入</w:t>
            </w:r>
            <w:r w:rsidRPr="00BF6B06">
              <w:rPr>
                <w:rFonts w:ascii="Times New Roman" w:hAnsi="Times New Roman" w:cs="Times New Roman" w:hint="eastAsia"/>
                <w:szCs w:val="21"/>
              </w:rPr>
              <w:t>56.86</w:t>
            </w:r>
            <w:r w:rsidRPr="00BF6B06">
              <w:rPr>
                <w:rFonts w:ascii="Times New Roman" w:hAnsi="Times New Roman" w:cs="Times New Roman" w:hint="eastAsia"/>
                <w:szCs w:val="21"/>
              </w:rPr>
              <w:t>亿元，占营业收入的</w:t>
            </w:r>
            <w:r w:rsidRPr="00BF6B06">
              <w:rPr>
                <w:rFonts w:ascii="Times New Roman" w:hAnsi="Times New Roman" w:cs="Times New Roman" w:hint="eastAsia"/>
                <w:szCs w:val="21"/>
              </w:rPr>
              <w:t>25.67%</w:t>
            </w:r>
            <w:r w:rsidRPr="00BF6B06">
              <w:rPr>
                <w:rFonts w:ascii="Times New Roman" w:hAnsi="Times New Roman" w:cs="Times New Roman" w:hint="eastAsia"/>
                <w:szCs w:val="21"/>
              </w:rPr>
              <w:t>，较上年同期增加</w:t>
            </w:r>
            <w:r w:rsidRPr="00BF6B06">
              <w:rPr>
                <w:rFonts w:ascii="Times New Roman" w:hAnsi="Times New Roman" w:cs="Times New Roman" w:hint="eastAsia"/>
                <w:szCs w:val="21"/>
              </w:rPr>
              <w:t>55.67%</w:t>
            </w:r>
            <w:r w:rsidRPr="00BF6B06">
              <w:rPr>
                <w:rFonts w:ascii="Times New Roman" w:hAnsi="Times New Roman" w:cs="Times New Roman" w:hint="eastAsia"/>
                <w:szCs w:val="21"/>
              </w:rPr>
              <w:t>。由于半导体代理业务收入占比提升，公司综合毛利率较上年同期减少了</w:t>
            </w:r>
            <w:r w:rsidRPr="00BF6B06">
              <w:rPr>
                <w:rFonts w:ascii="Times New Roman" w:hAnsi="Times New Roman" w:cs="Times New Roman" w:hint="eastAsia"/>
                <w:szCs w:val="21"/>
              </w:rPr>
              <w:t>1.20</w:t>
            </w:r>
            <w:r w:rsidRPr="00BF6B06">
              <w:rPr>
                <w:rFonts w:ascii="Times New Roman" w:hAnsi="Times New Roman" w:cs="Times New Roman" w:hint="eastAsia"/>
                <w:szCs w:val="21"/>
              </w:rPr>
              <w:t>个百分点，该变动由业务结构变化引起。受到上述因素的影响，</w:t>
            </w:r>
            <w:r w:rsidRPr="00BF6B06">
              <w:rPr>
                <w:rFonts w:ascii="Times New Roman" w:hAnsi="Times New Roman" w:cs="Times New Roman" w:hint="eastAsia"/>
                <w:szCs w:val="21"/>
              </w:rPr>
              <w:t>2026</w:t>
            </w:r>
            <w:r w:rsidRPr="00BF6B06">
              <w:rPr>
                <w:rFonts w:ascii="Times New Roman" w:hAnsi="Times New Roman" w:cs="Times New Roman" w:hint="eastAsia"/>
                <w:szCs w:val="21"/>
              </w:rPr>
              <w:t>年前三季度公司归属于上市公司股东的净利润约为</w:t>
            </w:r>
            <w:r w:rsidRPr="00BF6B06">
              <w:rPr>
                <w:rFonts w:ascii="Times New Roman" w:hAnsi="Times New Roman" w:cs="Times New Roman" w:hint="eastAsia"/>
                <w:szCs w:val="21"/>
              </w:rPr>
              <w:t>22.99</w:t>
            </w:r>
            <w:r w:rsidRPr="00BF6B06">
              <w:rPr>
                <w:rFonts w:ascii="Times New Roman" w:hAnsi="Times New Roman" w:cs="Times New Roman" w:hint="eastAsia"/>
                <w:szCs w:val="21"/>
              </w:rPr>
              <w:t>亿元，较上年同期减少约</w:t>
            </w:r>
            <w:r w:rsidRPr="00BF6B06">
              <w:rPr>
                <w:rFonts w:ascii="Times New Roman" w:hAnsi="Times New Roman" w:cs="Times New Roman" w:hint="eastAsia"/>
                <w:szCs w:val="21"/>
              </w:rPr>
              <w:t>28.39%</w:t>
            </w:r>
            <w:r w:rsidRPr="00BF6B06">
              <w:rPr>
                <w:rFonts w:ascii="Times New Roman" w:hAnsi="Times New Roman" w:cs="Times New Roman" w:hint="eastAsia"/>
                <w:szCs w:val="21"/>
              </w:rPr>
              <w:t>，归属于上市公司股东的扣除非经常性损益的净利润为</w:t>
            </w:r>
            <w:r w:rsidRPr="00BF6B06">
              <w:rPr>
                <w:rFonts w:ascii="Times New Roman" w:hAnsi="Times New Roman" w:cs="Times New Roman" w:hint="eastAsia"/>
                <w:szCs w:val="21"/>
              </w:rPr>
              <w:t>22.06</w:t>
            </w:r>
            <w:r w:rsidRPr="00BF6B06">
              <w:rPr>
                <w:rFonts w:ascii="Times New Roman" w:hAnsi="Times New Roman" w:cs="Times New Roman" w:hint="eastAsia"/>
                <w:szCs w:val="21"/>
              </w:rPr>
              <w:t>亿元，较上年同期减少</w:t>
            </w:r>
            <w:r w:rsidRPr="00BF6B06">
              <w:rPr>
                <w:rFonts w:ascii="Times New Roman" w:hAnsi="Times New Roman" w:cs="Times New Roman" w:hint="eastAsia"/>
                <w:szCs w:val="21"/>
              </w:rPr>
              <w:t>27.90%</w:t>
            </w:r>
            <w:r w:rsidRPr="00BF6B06">
              <w:rPr>
                <w:rFonts w:ascii="Times New Roman" w:hAnsi="Times New Roman" w:cs="Times New Roman" w:hint="eastAsia"/>
                <w:szCs w:val="21"/>
              </w:rPr>
              <w:t>。</w:t>
            </w:r>
          </w:p>
          <w:p w14:paraId="11454A98" w14:textId="77777777" w:rsidR="00873715" w:rsidRPr="00BF6B06" w:rsidRDefault="00AD1DE5">
            <w:pPr>
              <w:spacing w:line="360" w:lineRule="auto"/>
              <w:ind w:firstLineChars="200" w:firstLine="420"/>
              <w:rPr>
                <w:rFonts w:ascii="Times New Roman" w:hAnsi="Times New Roman" w:cs="Times New Roman"/>
                <w:szCs w:val="21"/>
              </w:rPr>
            </w:pPr>
            <w:r>
              <w:rPr>
                <w:rFonts w:ascii="Times New Roman" w:hAnsi="Times New Roman" w:cs="Times New Roman"/>
                <w:szCs w:val="21"/>
              </w:rPr>
              <w:t>2026</w:t>
            </w:r>
            <w:r>
              <w:rPr>
                <w:rFonts w:ascii="Times New Roman" w:hAnsi="Times New Roman" w:cs="Times New Roman"/>
                <w:szCs w:val="21"/>
              </w:rPr>
              <w:t>年前三季度</w:t>
            </w:r>
            <w:r>
              <w:rPr>
                <w:rFonts w:ascii="Times New Roman" w:hAnsi="Times New Roman" w:cs="Times New Roman" w:hint="eastAsia"/>
                <w:szCs w:val="21"/>
              </w:rPr>
              <w:t>，</w:t>
            </w:r>
            <w:r>
              <w:rPr>
                <w:rFonts w:ascii="Times New Roman" w:hAnsi="Times New Roman" w:cs="Times New Roman"/>
                <w:szCs w:val="21"/>
              </w:rPr>
              <w:t>公司研发费用为</w:t>
            </w:r>
            <w:r>
              <w:rPr>
                <w:rFonts w:ascii="Times New Roman" w:hAnsi="Times New Roman" w:cs="Times New Roman"/>
                <w:szCs w:val="21"/>
              </w:rPr>
              <w:t>22.29</w:t>
            </w:r>
            <w:r>
              <w:rPr>
                <w:rFonts w:ascii="Times New Roman" w:hAnsi="Times New Roman" w:cs="Times New Roman"/>
                <w:szCs w:val="21"/>
              </w:rPr>
              <w:t>亿元，较上年同期增加</w:t>
            </w:r>
            <w:r>
              <w:rPr>
                <w:rFonts w:ascii="Times New Roman" w:hAnsi="Times New Roman" w:cs="Times New Roman"/>
                <w:szCs w:val="21"/>
              </w:rPr>
              <w:t>1.25</w:t>
            </w:r>
            <w:r>
              <w:rPr>
                <w:rFonts w:ascii="Times New Roman" w:hAnsi="Times New Roman" w:cs="Times New Roman"/>
                <w:szCs w:val="21"/>
              </w:rPr>
              <w:t>亿元，主要</w:t>
            </w:r>
            <w:r>
              <w:rPr>
                <w:rFonts w:ascii="Times New Roman" w:hAnsi="Times New Roman" w:cs="Times New Roman" w:hint="eastAsia"/>
                <w:szCs w:val="21"/>
              </w:rPr>
              <w:t>系</w:t>
            </w:r>
            <w:r>
              <w:rPr>
                <w:rFonts w:ascii="Times New Roman" w:hAnsi="Times New Roman" w:cs="Times New Roman"/>
                <w:szCs w:val="21"/>
              </w:rPr>
              <w:t>公司持续加大研发投入、丰富产品矩阵所致。</w:t>
            </w:r>
            <w:r>
              <w:rPr>
                <w:rFonts w:ascii="Times New Roman" w:hAnsi="Times New Roman" w:cs="Times New Roman" w:hint="eastAsia"/>
                <w:szCs w:val="21"/>
              </w:rPr>
              <w:t>公司</w:t>
            </w:r>
            <w:r>
              <w:rPr>
                <w:rFonts w:ascii="Times New Roman" w:hAnsi="Times New Roman" w:cs="Times New Roman"/>
                <w:szCs w:val="21"/>
              </w:rPr>
              <w:t>通过高性能图像传感器、车载模拟芯片及光通信高速模拟电芯片等，加速在智能驾驶、专业影像、机器视觉与机器人、端侧</w:t>
            </w:r>
            <w:r>
              <w:rPr>
                <w:rFonts w:ascii="Times New Roman" w:hAnsi="Times New Roman" w:cs="Times New Roman"/>
                <w:szCs w:val="21"/>
              </w:rPr>
              <w:t>AI</w:t>
            </w:r>
            <w:r>
              <w:rPr>
                <w:rFonts w:ascii="Times New Roman" w:hAnsi="Times New Roman" w:cs="Times New Roman"/>
                <w:szCs w:val="21"/>
              </w:rPr>
              <w:t>、医疗、安防及光通信与</w:t>
            </w:r>
            <w:r>
              <w:rPr>
                <w:rFonts w:ascii="Times New Roman" w:hAnsi="Times New Roman" w:cs="Times New Roman"/>
                <w:szCs w:val="21"/>
              </w:rPr>
              <w:t>AI</w:t>
            </w:r>
            <w:r>
              <w:rPr>
                <w:rFonts w:ascii="Times New Roman" w:hAnsi="Times New Roman" w:cs="Times New Roman"/>
                <w:szCs w:val="21"/>
              </w:rPr>
              <w:t>算力基础设施等领域的渗透。在加大新兴领域投入的同时，</w:t>
            </w:r>
            <w:r>
              <w:rPr>
                <w:rFonts w:ascii="Times New Roman" w:hAnsi="Times New Roman" w:cs="Times New Roman" w:hint="eastAsia"/>
                <w:szCs w:val="21"/>
              </w:rPr>
              <w:t>公司</w:t>
            </w:r>
            <w:r>
              <w:rPr>
                <w:rFonts w:ascii="Times New Roman" w:hAnsi="Times New Roman" w:cs="Times New Roman"/>
                <w:szCs w:val="21"/>
              </w:rPr>
              <w:t>同步推进研发体系提质增效，通过优化项目结构</w:t>
            </w:r>
            <w:r>
              <w:rPr>
                <w:rFonts w:ascii="Times New Roman" w:hAnsi="Times New Roman" w:cs="Times New Roman" w:hint="eastAsia"/>
                <w:szCs w:val="21"/>
              </w:rPr>
              <w:t>等</w:t>
            </w:r>
            <w:r>
              <w:rPr>
                <w:rFonts w:ascii="Times New Roman" w:hAnsi="Times New Roman" w:cs="Times New Roman"/>
                <w:szCs w:val="21"/>
              </w:rPr>
              <w:t>持续提升研发效率。</w:t>
            </w:r>
          </w:p>
          <w:p w14:paraId="733E4261" w14:textId="19FEE1AB" w:rsidR="00873715" w:rsidRDefault="00AD1DE5">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从单季度看，</w:t>
            </w:r>
            <w:r w:rsidRPr="00BF6B06">
              <w:rPr>
                <w:rFonts w:ascii="Times New Roman" w:hAnsi="Times New Roman" w:cs="Times New Roman" w:hint="eastAsia"/>
                <w:szCs w:val="21"/>
              </w:rPr>
              <w:t>伴随着公司半导体设计业务收入结构的持续优化，</w:t>
            </w:r>
            <w:r w:rsidRPr="00BF6B06">
              <w:rPr>
                <w:rFonts w:ascii="Times New Roman" w:hAnsi="Times New Roman" w:cs="Times New Roman" w:hint="eastAsia"/>
                <w:szCs w:val="21"/>
              </w:rPr>
              <w:t>2026</w:t>
            </w:r>
            <w:r w:rsidRPr="00BF6B06">
              <w:rPr>
                <w:rFonts w:ascii="Times New Roman" w:hAnsi="Times New Roman" w:cs="Times New Roman" w:hint="eastAsia"/>
                <w:szCs w:val="21"/>
              </w:rPr>
              <w:t>年第三季度公司毛利率回升至</w:t>
            </w:r>
            <w:r w:rsidRPr="00BF6B06">
              <w:rPr>
                <w:rFonts w:ascii="Times New Roman" w:hAnsi="Times New Roman" w:cs="Times New Roman" w:hint="eastAsia"/>
                <w:szCs w:val="21"/>
              </w:rPr>
              <w:t>30.00%</w:t>
            </w:r>
            <w:r w:rsidRPr="00BF6B06">
              <w:rPr>
                <w:rFonts w:ascii="Times New Roman" w:hAnsi="Times New Roman" w:cs="Times New Roman" w:hint="eastAsia"/>
                <w:szCs w:val="21"/>
              </w:rPr>
              <w:t>，环比提升</w:t>
            </w:r>
            <w:r w:rsidRPr="00BF6B06">
              <w:rPr>
                <w:rFonts w:ascii="Times New Roman" w:hAnsi="Times New Roman" w:cs="Times New Roman" w:hint="eastAsia"/>
                <w:szCs w:val="21"/>
              </w:rPr>
              <w:t>1.73</w:t>
            </w:r>
            <w:r w:rsidRPr="00BF6B06">
              <w:rPr>
                <w:rFonts w:ascii="Times New Roman" w:hAnsi="Times New Roman" w:cs="Times New Roman" w:hint="eastAsia"/>
                <w:szCs w:val="21"/>
              </w:rPr>
              <w:t>个百分点；第三季度实现</w:t>
            </w:r>
            <w:r w:rsidRPr="00BF6B06">
              <w:rPr>
                <w:rFonts w:ascii="Times New Roman" w:hAnsi="Times New Roman" w:cs="Times New Roman" w:hint="eastAsia"/>
                <w:szCs w:val="21"/>
              </w:rPr>
              <w:lastRenderedPageBreak/>
              <w:t>营业收入</w:t>
            </w:r>
            <w:r w:rsidRPr="00BF6B06">
              <w:rPr>
                <w:rFonts w:ascii="Times New Roman" w:hAnsi="Times New Roman" w:cs="Times New Roman" w:hint="eastAsia"/>
                <w:szCs w:val="21"/>
              </w:rPr>
              <w:t>81.24</w:t>
            </w:r>
            <w:r w:rsidRPr="00BF6B06">
              <w:rPr>
                <w:rFonts w:ascii="Times New Roman" w:hAnsi="Times New Roman" w:cs="Times New Roman" w:hint="eastAsia"/>
                <w:szCs w:val="21"/>
              </w:rPr>
              <w:t>亿元，归属于上市公司股东的净利润约为</w:t>
            </w:r>
            <w:r w:rsidRPr="00BF6B06">
              <w:rPr>
                <w:rFonts w:ascii="Times New Roman" w:hAnsi="Times New Roman" w:cs="Times New Roman" w:hint="eastAsia"/>
                <w:szCs w:val="21"/>
              </w:rPr>
              <w:t>10.79</w:t>
            </w:r>
            <w:r w:rsidRPr="00BF6B06">
              <w:rPr>
                <w:rFonts w:ascii="Times New Roman" w:hAnsi="Times New Roman" w:cs="Times New Roman" w:hint="eastAsia"/>
                <w:szCs w:val="21"/>
              </w:rPr>
              <w:t>亿元，环比提升</w:t>
            </w:r>
            <w:r w:rsidRPr="00BF6B06">
              <w:rPr>
                <w:rFonts w:ascii="Times New Roman" w:hAnsi="Times New Roman" w:cs="Times New Roman" w:hint="eastAsia"/>
                <w:szCs w:val="21"/>
              </w:rPr>
              <w:t>50.53%</w:t>
            </w:r>
            <w:r w:rsidRPr="00BF6B06">
              <w:rPr>
                <w:rFonts w:ascii="Times New Roman" w:hAnsi="Times New Roman" w:cs="Times New Roman" w:hint="eastAsia"/>
                <w:szCs w:val="21"/>
              </w:rPr>
              <w:t>，归属于上市公司股东的扣除非经常性损益的净利润为</w:t>
            </w:r>
            <w:r w:rsidRPr="00BF6B06">
              <w:rPr>
                <w:rFonts w:ascii="Times New Roman" w:hAnsi="Times New Roman" w:cs="Times New Roman" w:hint="eastAsia"/>
                <w:szCs w:val="21"/>
              </w:rPr>
              <w:t>9.64</w:t>
            </w:r>
            <w:r w:rsidRPr="00BF6B06">
              <w:rPr>
                <w:rFonts w:ascii="Times New Roman" w:hAnsi="Times New Roman" w:cs="Times New Roman" w:hint="eastAsia"/>
                <w:szCs w:val="21"/>
              </w:rPr>
              <w:t>亿元，经营情况</w:t>
            </w:r>
            <w:r>
              <w:rPr>
                <w:rFonts w:ascii="Times New Roman" w:hAnsi="Times New Roman" w:cs="Times New Roman"/>
                <w:szCs w:val="21"/>
              </w:rPr>
              <w:t>呈</w:t>
            </w:r>
            <w:r w:rsidRPr="00BF6B06">
              <w:rPr>
                <w:rFonts w:ascii="Times New Roman" w:hAnsi="Times New Roman" w:cs="Times New Roman" w:hint="eastAsia"/>
                <w:szCs w:val="21"/>
              </w:rPr>
              <w:t>逐季改善</w:t>
            </w:r>
            <w:r>
              <w:rPr>
                <w:rFonts w:ascii="Times New Roman" w:hAnsi="Times New Roman" w:cs="Times New Roman" w:hint="eastAsia"/>
                <w:szCs w:val="21"/>
              </w:rPr>
              <w:t>的</w:t>
            </w:r>
            <w:r>
              <w:rPr>
                <w:rFonts w:ascii="Times New Roman" w:hAnsi="Times New Roman" w:cs="Times New Roman"/>
                <w:szCs w:val="21"/>
              </w:rPr>
              <w:t>态势</w:t>
            </w:r>
            <w:r w:rsidRPr="00BF6B06">
              <w:rPr>
                <w:rFonts w:ascii="Times New Roman" w:hAnsi="Times New Roman" w:cs="Times New Roman" w:hint="eastAsia"/>
                <w:szCs w:val="21"/>
              </w:rPr>
              <w:t>。</w:t>
            </w:r>
          </w:p>
          <w:p w14:paraId="3EC9F5CA" w14:textId="77777777" w:rsidR="00873715" w:rsidRPr="00BF6B06" w:rsidRDefault="00873715">
            <w:pPr>
              <w:spacing w:line="360" w:lineRule="auto"/>
              <w:ind w:firstLineChars="200" w:firstLine="420"/>
              <w:rPr>
                <w:rFonts w:ascii="Times New Roman" w:hAnsi="Times New Roman" w:cs="Times New Roman"/>
                <w:szCs w:val="21"/>
              </w:rPr>
            </w:pPr>
          </w:p>
          <w:p w14:paraId="7BD533AB" w14:textId="19C0356F" w:rsidR="00873715" w:rsidRDefault="00AD1DE5">
            <w:pPr>
              <w:spacing w:line="360" w:lineRule="auto"/>
              <w:rPr>
                <w:rFonts w:ascii="Times New Roman" w:hAnsi="Times New Roman" w:cs="Times New Roman"/>
                <w:b/>
                <w:bCs/>
                <w:szCs w:val="21"/>
              </w:rPr>
            </w:pPr>
            <w:r w:rsidRPr="00BF6B06">
              <w:rPr>
                <w:rFonts w:ascii="Times New Roman" w:hAnsi="Times New Roman" w:cs="Times New Roman" w:hint="eastAsia"/>
                <w:szCs w:val="21"/>
              </w:rPr>
              <w:t>二、</w:t>
            </w:r>
            <w:r>
              <w:rPr>
                <w:rFonts w:ascii="Times New Roman" w:hAnsi="Times New Roman" w:cs="Times New Roman" w:hint="eastAsia"/>
                <w:b/>
                <w:bCs/>
                <w:szCs w:val="21"/>
              </w:rPr>
              <w:t>公司</w:t>
            </w:r>
            <w:r>
              <w:rPr>
                <w:rFonts w:ascii="Times New Roman" w:hAnsi="Times New Roman" w:cs="Times New Roman"/>
                <w:b/>
                <w:bCs/>
                <w:szCs w:val="21"/>
              </w:rPr>
              <w:t>2026</w:t>
            </w:r>
            <w:r>
              <w:rPr>
                <w:rFonts w:ascii="Times New Roman" w:hAnsi="Times New Roman" w:cs="Times New Roman" w:hint="eastAsia"/>
                <w:b/>
                <w:bCs/>
                <w:szCs w:val="21"/>
              </w:rPr>
              <w:t>年第四季度主要经营数据介绍</w:t>
            </w:r>
          </w:p>
          <w:p w14:paraId="02129271" w14:textId="77777777" w:rsidR="00873715"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经财务部门初步估算，公司预计</w:t>
            </w:r>
            <w:r w:rsidRPr="00BF6B06">
              <w:rPr>
                <w:rFonts w:ascii="Times New Roman" w:hAnsi="Times New Roman" w:cs="Times New Roman" w:hint="eastAsia"/>
                <w:szCs w:val="21"/>
              </w:rPr>
              <w:t>2026</w:t>
            </w:r>
            <w:r w:rsidRPr="00BF6B06">
              <w:rPr>
                <w:rFonts w:ascii="Times New Roman" w:hAnsi="Times New Roman" w:cs="Times New Roman" w:hint="eastAsia"/>
                <w:szCs w:val="21"/>
              </w:rPr>
              <w:t>年第四季度实现营业收入</w:t>
            </w:r>
            <w:r w:rsidRPr="00BF6B06">
              <w:rPr>
                <w:rFonts w:ascii="Times New Roman" w:hAnsi="Times New Roman" w:cs="Times New Roman" w:hint="eastAsia"/>
                <w:szCs w:val="21"/>
              </w:rPr>
              <w:t>77.59</w:t>
            </w:r>
            <w:r w:rsidRPr="00BF6B06">
              <w:rPr>
                <w:rFonts w:ascii="Times New Roman" w:hAnsi="Times New Roman" w:cs="Times New Roman" w:hint="eastAsia"/>
                <w:szCs w:val="21"/>
              </w:rPr>
              <w:t>亿元至</w:t>
            </w:r>
            <w:r w:rsidRPr="00BF6B06">
              <w:rPr>
                <w:rFonts w:ascii="Times New Roman" w:hAnsi="Times New Roman" w:cs="Times New Roman" w:hint="eastAsia"/>
                <w:szCs w:val="21"/>
              </w:rPr>
              <w:t>83.24</w:t>
            </w:r>
            <w:r w:rsidRPr="00BF6B06">
              <w:rPr>
                <w:rFonts w:ascii="Times New Roman" w:hAnsi="Times New Roman" w:cs="Times New Roman" w:hint="eastAsia"/>
                <w:szCs w:val="21"/>
              </w:rPr>
              <w:t>亿元，较上年同期变动范围为</w:t>
            </w:r>
            <w:r w:rsidRPr="00BF6B06">
              <w:rPr>
                <w:rFonts w:ascii="Times New Roman" w:hAnsi="Times New Roman" w:cs="Times New Roman" w:hint="eastAsia"/>
                <w:szCs w:val="21"/>
              </w:rPr>
              <w:t>9.71%</w:t>
            </w:r>
            <w:r w:rsidRPr="00BF6B06">
              <w:rPr>
                <w:rFonts w:ascii="Times New Roman" w:hAnsi="Times New Roman" w:cs="Times New Roman" w:hint="eastAsia"/>
                <w:szCs w:val="21"/>
              </w:rPr>
              <w:t>至</w:t>
            </w:r>
            <w:r w:rsidRPr="00BF6B06">
              <w:rPr>
                <w:rFonts w:ascii="Times New Roman" w:hAnsi="Times New Roman" w:cs="Times New Roman" w:hint="eastAsia"/>
                <w:szCs w:val="21"/>
              </w:rPr>
              <w:t>17.71%</w:t>
            </w:r>
            <w:r w:rsidRPr="00BF6B06">
              <w:rPr>
                <w:rFonts w:ascii="Times New Roman" w:hAnsi="Times New Roman" w:cs="Times New Roman" w:hint="eastAsia"/>
                <w:szCs w:val="21"/>
              </w:rPr>
              <w:t>，较上季度变动范围为</w:t>
            </w:r>
            <w:r w:rsidRPr="00BF6B06">
              <w:rPr>
                <w:rFonts w:ascii="Times New Roman" w:hAnsi="Times New Roman" w:cs="Times New Roman" w:hint="eastAsia"/>
                <w:szCs w:val="21"/>
              </w:rPr>
              <w:t>-4.50%</w:t>
            </w:r>
            <w:r w:rsidRPr="00BF6B06">
              <w:rPr>
                <w:rFonts w:ascii="Times New Roman" w:hAnsi="Times New Roman" w:cs="Times New Roman" w:hint="eastAsia"/>
                <w:szCs w:val="21"/>
              </w:rPr>
              <w:t>到</w:t>
            </w:r>
            <w:r w:rsidRPr="00BF6B06">
              <w:rPr>
                <w:rFonts w:ascii="Times New Roman" w:hAnsi="Times New Roman" w:cs="Times New Roman" w:hint="eastAsia"/>
                <w:szCs w:val="21"/>
              </w:rPr>
              <w:t>2.47%</w:t>
            </w:r>
            <w:r w:rsidRPr="00BF6B06">
              <w:rPr>
                <w:rFonts w:ascii="Times New Roman" w:hAnsi="Times New Roman" w:cs="Times New Roman" w:hint="eastAsia"/>
                <w:szCs w:val="21"/>
              </w:rPr>
              <w:t>；公司毛利率约为</w:t>
            </w:r>
            <w:r w:rsidRPr="00BF6B06">
              <w:rPr>
                <w:rFonts w:ascii="Times New Roman" w:hAnsi="Times New Roman" w:cs="Times New Roman" w:hint="eastAsia"/>
                <w:szCs w:val="21"/>
              </w:rPr>
              <w:t>29.44%</w:t>
            </w:r>
            <w:r w:rsidRPr="00BF6B06">
              <w:rPr>
                <w:rFonts w:ascii="Times New Roman" w:hAnsi="Times New Roman" w:cs="Times New Roman" w:hint="eastAsia"/>
                <w:szCs w:val="21"/>
              </w:rPr>
              <w:t>至</w:t>
            </w:r>
            <w:r w:rsidRPr="00BF6B06">
              <w:rPr>
                <w:rFonts w:ascii="Times New Roman" w:hAnsi="Times New Roman" w:cs="Times New Roman" w:hint="eastAsia"/>
                <w:szCs w:val="21"/>
              </w:rPr>
              <w:t>30.74%</w:t>
            </w:r>
            <w:r w:rsidRPr="00BF6B06">
              <w:rPr>
                <w:rFonts w:ascii="Times New Roman" w:hAnsi="Times New Roman" w:cs="Times New Roman" w:hint="eastAsia"/>
                <w:szCs w:val="21"/>
              </w:rPr>
              <w:t>。</w:t>
            </w:r>
          </w:p>
          <w:p w14:paraId="4E3753B2" w14:textId="77777777" w:rsidR="00873715" w:rsidRDefault="00AD1DE5">
            <w:pPr>
              <w:spacing w:line="360" w:lineRule="auto"/>
              <w:ind w:firstLineChars="200" w:firstLine="420"/>
              <w:rPr>
                <w:rFonts w:ascii="Times New Roman" w:hAnsi="Times New Roman" w:cs="Times New Roman"/>
                <w:szCs w:val="21"/>
              </w:rPr>
            </w:pPr>
            <w:r>
              <w:rPr>
                <w:rFonts w:ascii="Times New Roman" w:hAnsi="Times New Roman" w:cs="Times New Roman"/>
                <w:szCs w:val="21"/>
              </w:rPr>
              <w:t>公司预计汽车业务持续恢复，新兴市场及模拟车载、光电业务保持增长，公司营业收入有望实现有序增长，毛利率预计稳步提升。</w:t>
            </w:r>
            <w:r>
              <w:rPr>
                <w:rFonts w:ascii="Times New Roman" w:hAnsi="Times New Roman" w:cs="Times New Roman" w:hint="eastAsia"/>
                <w:szCs w:val="21"/>
              </w:rPr>
              <w:t>公司将持续</w:t>
            </w:r>
            <w:r>
              <w:rPr>
                <w:rFonts w:ascii="Times New Roman" w:hAnsi="Times New Roman" w:cs="Times New Roman"/>
                <w:szCs w:val="21"/>
              </w:rPr>
              <w:t>优化半导体设计业务收入结构，同时进一步加强供应链管理与成本管控，着力改善盈利能力，促进业务高质量发展</w:t>
            </w:r>
            <w:r>
              <w:rPr>
                <w:rFonts w:ascii="Times New Roman" w:hAnsi="Times New Roman" w:cs="Times New Roman" w:hint="eastAsia"/>
                <w:szCs w:val="21"/>
              </w:rPr>
              <w:t>。</w:t>
            </w:r>
          </w:p>
          <w:p w14:paraId="255C422A" w14:textId="77777777" w:rsidR="00873715" w:rsidRPr="00BF6B06" w:rsidRDefault="00873715">
            <w:pPr>
              <w:spacing w:line="360" w:lineRule="auto"/>
              <w:ind w:firstLineChars="200" w:firstLine="420"/>
              <w:rPr>
                <w:rFonts w:ascii="Times New Roman" w:hAnsi="Times New Roman" w:cs="Times New Roman"/>
                <w:szCs w:val="21"/>
              </w:rPr>
            </w:pPr>
          </w:p>
          <w:p w14:paraId="43187A9B" w14:textId="77777777" w:rsidR="00873715" w:rsidRDefault="00AD1DE5">
            <w:pPr>
              <w:spacing w:line="360" w:lineRule="auto"/>
              <w:rPr>
                <w:rFonts w:ascii="Times New Roman" w:hAnsi="Times New Roman" w:cs="Times New Roman"/>
                <w:b/>
                <w:bCs/>
                <w:szCs w:val="21"/>
              </w:rPr>
            </w:pPr>
            <w:r>
              <w:rPr>
                <w:rFonts w:ascii="Times New Roman" w:hAnsi="Times New Roman" w:cs="Times New Roman" w:hint="eastAsia"/>
                <w:b/>
                <w:bCs/>
                <w:szCs w:val="21"/>
              </w:rPr>
              <w:t>三、问答环节主要内容</w:t>
            </w:r>
          </w:p>
          <w:p w14:paraId="0BA72048"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问题一：请公司介绍</w:t>
            </w:r>
            <w:r>
              <w:rPr>
                <w:rFonts w:ascii="Times New Roman" w:hAnsi="Times New Roman" w:cs="Times New Roman"/>
                <w:b/>
                <w:bCs/>
                <w:szCs w:val="21"/>
              </w:rPr>
              <w:t>2026</w:t>
            </w:r>
            <w:r>
              <w:rPr>
                <w:rFonts w:ascii="Times New Roman" w:hAnsi="Times New Roman" w:cs="Times New Roman" w:hint="eastAsia"/>
                <w:b/>
                <w:bCs/>
                <w:szCs w:val="21"/>
              </w:rPr>
              <w:t>年第三季度毛利率环比改善的主要原因及变化趋势。</w:t>
            </w:r>
          </w:p>
          <w:p w14:paraId="66D702E7"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w:t>
            </w:r>
            <w:r w:rsidRPr="00BF6B06">
              <w:rPr>
                <w:rFonts w:ascii="Times New Roman" w:hAnsi="Times New Roman" w:cs="Times New Roman" w:hint="eastAsia"/>
                <w:szCs w:val="21"/>
              </w:rPr>
              <w:t>2026</w:t>
            </w:r>
            <w:r w:rsidRPr="00BF6B06">
              <w:rPr>
                <w:rFonts w:ascii="Times New Roman" w:hAnsi="Times New Roman" w:cs="Times New Roman" w:hint="eastAsia"/>
                <w:szCs w:val="21"/>
              </w:rPr>
              <w:t>年第三季度，凭借在视觉感知领域的技术积淀与持续的产品结构优化，伴随智能驾驶、专业影像、机器视觉与机器人等产品线营收占比的持续提升，同时半导体设计业务在智能驾驶及</w:t>
            </w:r>
            <w:r w:rsidRPr="00BF6B06">
              <w:rPr>
                <w:rFonts w:ascii="Times New Roman" w:hAnsi="Times New Roman" w:cs="Times New Roman" w:hint="eastAsia"/>
                <w:szCs w:val="21"/>
              </w:rPr>
              <w:t>AI</w:t>
            </w:r>
            <w:r w:rsidRPr="00BF6B06">
              <w:rPr>
                <w:rFonts w:ascii="Times New Roman" w:hAnsi="Times New Roman" w:cs="Times New Roman" w:hint="eastAsia"/>
                <w:szCs w:val="21"/>
              </w:rPr>
              <w:t>相关应用场景的布局不断深化、高端产品份额扩大，带动毛利率环比稳步提升，第三季度毛利率回升至</w:t>
            </w:r>
            <w:r w:rsidRPr="00BF6B06">
              <w:rPr>
                <w:rFonts w:ascii="Times New Roman" w:hAnsi="Times New Roman" w:cs="Times New Roman" w:hint="eastAsia"/>
                <w:szCs w:val="21"/>
              </w:rPr>
              <w:t>30.00%</w:t>
            </w:r>
            <w:r w:rsidRPr="00BF6B06">
              <w:rPr>
                <w:rFonts w:ascii="Times New Roman" w:hAnsi="Times New Roman" w:cs="Times New Roman" w:hint="eastAsia"/>
                <w:szCs w:val="21"/>
              </w:rPr>
              <w:t>，环比提升</w:t>
            </w:r>
            <w:r w:rsidRPr="00BF6B06">
              <w:rPr>
                <w:rFonts w:ascii="Times New Roman" w:hAnsi="Times New Roman" w:cs="Times New Roman" w:hint="eastAsia"/>
                <w:szCs w:val="21"/>
              </w:rPr>
              <w:t>1.73</w:t>
            </w:r>
            <w:r w:rsidRPr="00BF6B06">
              <w:rPr>
                <w:rFonts w:ascii="Times New Roman" w:hAnsi="Times New Roman" w:cs="Times New Roman" w:hint="eastAsia"/>
                <w:szCs w:val="21"/>
              </w:rPr>
              <w:t>个百分点。且受益于全球汽车智能化产业升级，公司智能驾驶领域保持较快增长，专业影像、机器视觉与机器人、端侧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等新兴市场应用不断创新，车载模拟芯片及光通信高速模拟电芯片等新品实现量产导入，毛利率预计将继续稳步提升。经公司财务部门初步估算，公司预计</w:t>
            </w:r>
            <w:r w:rsidRPr="00BF6B06">
              <w:rPr>
                <w:rFonts w:ascii="Times New Roman" w:hAnsi="Times New Roman" w:cs="Times New Roman" w:hint="eastAsia"/>
                <w:szCs w:val="21"/>
              </w:rPr>
              <w:t>2026</w:t>
            </w:r>
            <w:r w:rsidRPr="00BF6B06">
              <w:rPr>
                <w:rFonts w:ascii="Times New Roman" w:hAnsi="Times New Roman" w:cs="Times New Roman" w:hint="eastAsia"/>
                <w:szCs w:val="21"/>
              </w:rPr>
              <w:t>年第四季度实现毛利率约为</w:t>
            </w:r>
            <w:r w:rsidRPr="00BF6B06">
              <w:rPr>
                <w:rFonts w:ascii="Times New Roman" w:hAnsi="Times New Roman" w:cs="Times New Roman" w:hint="eastAsia"/>
                <w:szCs w:val="21"/>
              </w:rPr>
              <w:t>29.44%</w:t>
            </w:r>
            <w:r w:rsidRPr="00BF6B06">
              <w:rPr>
                <w:rFonts w:ascii="Times New Roman" w:hAnsi="Times New Roman" w:cs="Times New Roman" w:hint="eastAsia"/>
                <w:szCs w:val="21"/>
              </w:rPr>
              <w:t>至</w:t>
            </w:r>
            <w:r w:rsidRPr="00BF6B06">
              <w:rPr>
                <w:rFonts w:ascii="Times New Roman" w:hAnsi="Times New Roman" w:cs="Times New Roman" w:hint="eastAsia"/>
                <w:szCs w:val="21"/>
              </w:rPr>
              <w:t>30.74%</w:t>
            </w:r>
            <w:r w:rsidRPr="00BF6B06">
              <w:rPr>
                <w:rFonts w:ascii="Times New Roman" w:hAnsi="Times New Roman" w:cs="Times New Roman" w:hint="eastAsia"/>
                <w:szCs w:val="21"/>
              </w:rPr>
              <w:t>。</w:t>
            </w:r>
          </w:p>
          <w:p w14:paraId="224C626F"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问题二：请从战略层面介绍公司现有业务结构以及正在开拓的业务方向。</w:t>
            </w:r>
          </w:p>
          <w:p w14:paraId="2A2E129F" w14:textId="6AB4B29E"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答：公司是一家主要从事芯片设计业务的</w:t>
            </w:r>
            <w:r w:rsidRPr="00BF6B06">
              <w:rPr>
                <w:rFonts w:ascii="Times New Roman" w:hAnsi="Times New Roman" w:cs="Times New Roman" w:hint="eastAsia"/>
                <w:szCs w:val="21"/>
              </w:rPr>
              <w:t>Fabless</w:t>
            </w:r>
            <w:r w:rsidRPr="00BF6B06">
              <w:rPr>
                <w:rFonts w:ascii="Times New Roman" w:hAnsi="Times New Roman" w:cs="Times New Roman" w:hint="eastAsia"/>
                <w:szCs w:val="21"/>
              </w:rPr>
              <w:t>芯片设计公司，根据咨询机构</w:t>
            </w:r>
            <w:proofErr w:type="spellStart"/>
            <w:r w:rsidRPr="00BF6B06">
              <w:rPr>
                <w:rFonts w:ascii="Times New Roman" w:hAnsi="Times New Roman" w:cs="Times New Roman" w:hint="eastAsia"/>
                <w:szCs w:val="21"/>
              </w:rPr>
              <w:t>TrendForce</w:t>
            </w:r>
            <w:proofErr w:type="spellEnd"/>
            <w:r w:rsidRPr="00BF6B06">
              <w:rPr>
                <w:rFonts w:ascii="Times New Roman" w:hAnsi="Times New Roman" w:cs="Times New Roman" w:hint="eastAsia"/>
                <w:szCs w:val="21"/>
              </w:rPr>
              <w:t>数据，公司是全球前十大无晶圆厂半导体公司之一；同时也是国内少数兼具半导体研发设计和半导体代理销售能力的企业，通过不同</w:t>
            </w:r>
            <w:r w:rsidRPr="00BF6B06">
              <w:rPr>
                <w:rFonts w:ascii="Times New Roman" w:hAnsi="Times New Roman" w:cs="Times New Roman" w:hint="eastAsia"/>
                <w:szCs w:val="21"/>
              </w:rPr>
              <w:lastRenderedPageBreak/>
              <w:t>业务板块间的协同发展及资源整合开拓市场。公司半导体设计业务聚焦图像传感器解决方案、显示解决方案、模拟解决方案三大核心板块</w:t>
            </w:r>
            <w:r>
              <w:rPr>
                <w:rFonts w:ascii="Times New Roman" w:hAnsi="Times New Roman" w:cs="Times New Roman" w:hint="eastAsia"/>
                <w:szCs w:val="21"/>
              </w:rPr>
              <w:t>。</w:t>
            </w:r>
            <w:r w:rsidRPr="00BF6B06">
              <w:rPr>
                <w:rFonts w:ascii="Times New Roman" w:hAnsi="Times New Roman" w:cs="Times New Roman" w:hint="eastAsia"/>
                <w:szCs w:val="21"/>
              </w:rPr>
              <w:t>公司依托在图像传感器解决方案领域的深厚技术积淀与市场优势，持续推动模拟解决方案和显示解决方案协调发展，围绕人工智能时代下游终端在感知、传输、处理与显示等方面的核心需求，构建从环境感知到信号传输、从数据处理到显示交互的全链路芯片解决方案能力，产品已广泛覆盖汽车、智能手机、专业影像、机器视觉与机器人、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、医疗、安防及光通信与</w:t>
            </w:r>
            <w:r w:rsidRPr="00BF6B06">
              <w:rPr>
                <w:rFonts w:ascii="Times New Roman" w:hAnsi="Times New Roman" w:cs="Times New Roman" w:hint="eastAsia"/>
                <w:szCs w:val="21"/>
              </w:rPr>
              <w:t>AI</w:t>
            </w:r>
            <w:r w:rsidRPr="00BF6B06">
              <w:rPr>
                <w:rFonts w:ascii="Times New Roman" w:hAnsi="Times New Roman" w:cs="Times New Roman" w:hint="eastAsia"/>
                <w:szCs w:val="21"/>
              </w:rPr>
              <w:t>算力基础设施等领域。</w:t>
            </w:r>
          </w:p>
          <w:p w14:paraId="584BB19F"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公司将持续优化业务结构，积极开拓新兴下游应用场景，紧抓人工智能带动的视觉感知升级机遇，持续深化技术创新与先进技术成果转化，推动端侧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机器视觉与机器人、智能驾驶等新兴场景应用落地，持续丰富高端应用领域的产品布局；同时充分利用公司在产品智能化、高端化进程中取得的优势，在夯实现有产品线高端化内生式增长的前提下，通过合理的外延式并购和团队扩充，丰富公司在整体解决方案下的产品组合，优化公司的盈利能力。</w:t>
            </w:r>
          </w:p>
          <w:p w14:paraId="2E98105A"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问题三：请介绍公司在机器视觉与机器人方向的技术与产品优势。</w:t>
            </w:r>
          </w:p>
          <w:p w14:paraId="49387DC7"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答：机器视觉与机器人领域的各类应用对图像传感器的全局快门、高帧率采集、高分辨率成像、宽动态、低功耗等性能形成刚性共性需求，公司核心技术储备与之高度契合。其中，全局快门（</w:t>
            </w:r>
            <w:r w:rsidRPr="00BF6B06">
              <w:rPr>
                <w:rFonts w:ascii="Times New Roman" w:hAnsi="Times New Roman" w:cs="Times New Roman" w:hint="eastAsia"/>
                <w:szCs w:val="21"/>
              </w:rPr>
              <w:t>Global Shutter</w:t>
            </w:r>
            <w:r w:rsidRPr="00BF6B06">
              <w:rPr>
                <w:rFonts w:ascii="Times New Roman" w:hAnsi="Times New Roman" w:cs="Times New Roman" w:hint="eastAsia"/>
                <w:szCs w:val="21"/>
              </w:rPr>
              <w:t>）技术是适配机器视觉与机器人场景的关键核心，可有效杜绝运动拍摄过程中的画面果冻效应，实现高速运动目标无畸变瞬时抓拍；搭配</w:t>
            </w:r>
            <w:proofErr w:type="spellStart"/>
            <w:r w:rsidRPr="00BF6B06">
              <w:rPr>
                <w:rFonts w:ascii="Times New Roman" w:hAnsi="Times New Roman" w:cs="Times New Roman" w:hint="eastAsia"/>
                <w:szCs w:val="21"/>
              </w:rPr>
              <w:t>Nyxel</w:t>
            </w:r>
            <w:proofErr w:type="spellEnd"/>
            <w:r w:rsidRPr="00BF6B06">
              <w:rPr>
                <w:rFonts w:ascii="Times New Roman" w:hAnsi="Times New Roman" w:cs="Times New Roman" w:hint="eastAsia"/>
                <w:szCs w:val="21"/>
                <w:vertAlign w:val="superscript"/>
              </w:rPr>
              <w:t>®</w:t>
            </w:r>
            <w:r w:rsidRPr="00BF6B06">
              <w:rPr>
                <w:rFonts w:ascii="Times New Roman" w:hAnsi="Times New Roman" w:cs="Times New Roman" w:hint="eastAsia"/>
                <w:szCs w:val="21"/>
              </w:rPr>
              <w:t>近红外成像技术、</w:t>
            </w:r>
            <w:r w:rsidRPr="00BF6B06">
              <w:rPr>
                <w:rFonts w:ascii="Times New Roman" w:hAnsi="Times New Roman" w:cs="Times New Roman" w:hint="eastAsia"/>
                <w:szCs w:val="21"/>
              </w:rPr>
              <w:t>BSI</w:t>
            </w:r>
            <w:r w:rsidRPr="00BF6B06">
              <w:rPr>
                <w:rFonts w:ascii="Times New Roman" w:hAnsi="Times New Roman" w:cs="Times New Roman" w:hint="eastAsia"/>
                <w:szCs w:val="21"/>
              </w:rPr>
              <w:t>背照式工艺，既能满足工业高速流水线动态检测、机器人快速移动过程中的稳定环境捕捉，也可支撑多目相机同步精准触发成像，适配机器人高速运动识别、高精度定位抓取、全天候弱光环境感知等场景需求。</w:t>
            </w:r>
          </w:p>
          <w:p w14:paraId="5F3636D2" w14:textId="759393AB"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公司依托在</w:t>
            </w:r>
            <w:proofErr w:type="spellStart"/>
            <w:r w:rsidRPr="00BF6B06">
              <w:rPr>
                <w:rFonts w:ascii="Times New Roman" w:hAnsi="Times New Roman" w:cs="Times New Roman" w:hint="eastAsia"/>
                <w:szCs w:val="21"/>
              </w:rPr>
              <w:t>Nyxel</w:t>
            </w:r>
            <w:proofErr w:type="spellEnd"/>
            <w:r w:rsidRPr="00BF6B06">
              <w:rPr>
                <w:rFonts w:ascii="Times New Roman" w:hAnsi="Times New Roman" w:cs="Times New Roman" w:hint="eastAsia"/>
                <w:szCs w:val="21"/>
                <w:vertAlign w:val="superscript"/>
              </w:rPr>
              <w:t>®</w:t>
            </w:r>
            <w:r w:rsidRPr="00BF6B06">
              <w:rPr>
                <w:rFonts w:ascii="Times New Roman" w:hAnsi="Times New Roman" w:cs="Times New Roman" w:hint="eastAsia"/>
                <w:szCs w:val="21"/>
              </w:rPr>
              <w:t>近红外成像、</w:t>
            </w:r>
            <w:r w:rsidRPr="00BF6B06">
              <w:rPr>
                <w:rFonts w:ascii="Times New Roman" w:hAnsi="Times New Roman" w:cs="Times New Roman" w:hint="eastAsia"/>
                <w:szCs w:val="21"/>
              </w:rPr>
              <w:t>BSI</w:t>
            </w:r>
            <w:r w:rsidRPr="00BF6B06">
              <w:rPr>
                <w:rFonts w:ascii="Times New Roman" w:hAnsi="Times New Roman" w:cs="Times New Roman" w:hint="eastAsia"/>
                <w:szCs w:val="21"/>
              </w:rPr>
              <w:t>背照式工艺、全局快门（</w:t>
            </w:r>
            <w:r w:rsidRPr="00BF6B06">
              <w:rPr>
                <w:rFonts w:ascii="Times New Roman" w:hAnsi="Times New Roman" w:cs="Times New Roman" w:hint="eastAsia"/>
                <w:szCs w:val="21"/>
              </w:rPr>
              <w:t>Global Shutter</w:t>
            </w:r>
            <w:r w:rsidRPr="00BF6B06">
              <w:rPr>
                <w:rFonts w:ascii="Times New Roman" w:hAnsi="Times New Roman" w:cs="Times New Roman" w:hint="eastAsia"/>
                <w:szCs w:val="21"/>
              </w:rPr>
              <w:t>）等领域的技术积累，针对工业场景复杂工况需求，开发了覆盖高分辨率成像、工业</w:t>
            </w:r>
            <w:r w:rsidRPr="00BF6B06">
              <w:rPr>
                <w:rFonts w:ascii="Times New Roman" w:hAnsi="Times New Roman" w:cs="Times New Roman" w:hint="eastAsia"/>
                <w:szCs w:val="21"/>
              </w:rPr>
              <w:t>3D</w:t>
            </w:r>
            <w:r w:rsidRPr="00BF6B06">
              <w:rPr>
                <w:rFonts w:ascii="Times New Roman" w:hAnsi="Times New Roman" w:cs="Times New Roman" w:hint="eastAsia"/>
                <w:szCs w:val="21"/>
              </w:rPr>
              <w:t>感知、条码识别等应用场景的视觉解决方案；同时公司已设立专门的机器视觉业务部门，有针对性提供适配工业自动化、各类机器人、物流条码扫描、智能交通系统（</w:t>
            </w:r>
            <w:r w:rsidRPr="00BF6B06">
              <w:rPr>
                <w:rFonts w:ascii="Times New Roman" w:hAnsi="Times New Roman" w:cs="Times New Roman" w:hint="eastAsia"/>
                <w:szCs w:val="21"/>
              </w:rPr>
              <w:t>ITS</w:t>
            </w:r>
            <w:r w:rsidRPr="00BF6B06">
              <w:rPr>
                <w:rFonts w:ascii="Times New Roman" w:hAnsi="Times New Roman" w:cs="Times New Roman" w:hint="eastAsia"/>
                <w:szCs w:val="21"/>
              </w:rPr>
              <w:t>）的整套视觉传感解决方案</w:t>
            </w:r>
            <w:r w:rsidRPr="00BF6B06">
              <w:rPr>
                <w:rFonts w:ascii="Times New Roman" w:hAnsi="Times New Roman" w:cs="Times New Roman" w:hint="eastAsia"/>
                <w:szCs w:val="21"/>
              </w:rPr>
              <w:t>。</w:t>
            </w:r>
          </w:p>
          <w:p w14:paraId="1F39A15F" w14:textId="31355282"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近期，</w:t>
            </w:r>
            <w:r w:rsidR="0077623D">
              <w:rPr>
                <w:rFonts w:ascii="Times New Roman" w:hAnsi="Times New Roman" w:cs="Times New Roman" w:hint="eastAsia"/>
                <w:szCs w:val="21"/>
              </w:rPr>
              <w:t>公司</w:t>
            </w:r>
            <w:r w:rsidRPr="00BF6B06">
              <w:rPr>
                <w:rFonts w:ascii="Times New Roman" w:hAnsi="Times New Roman" w:cs="Times New Roman" w:hint="eastAsia"/>
                <w:szCs w:val="21"/>
              </w:rPr>
              <w:t>推出业界首款</w:t>
            </w:r>
            <w:r w:rsidRPr="00BF6B06">
              <w:rPr>
                <w:rFonts w:ascii="Times New Roman" w:hAnsi="Times New Roman" w:cs="Times New Roman" w:hint="eastAsia"/>
                <w:szCs w:val="21"/>
              </w:rPr>
              <w:t>2.2</w:t>
            </w:r>
            <w:r w:rsidRPr="00BF6B06">
              <w:rPr>
                <w:rFonts w:ascii="Times New Roman" w:hAnsi="Times New Roman" w:cs="Times New Roman" w:hint="eastAsia"/>
                <w:szCs w:val="21"/>
              </w:rPr>
              <w:t>微米、</w:t>
            </w:r>
            <w:r w:rsidRPr="00BF6B06">
              <w:rPr>
                <w:rFonts w:ascii="Times New Roman" w:hAnsi="Times New Roman" w:cs="Times New Roman" w:hint="eastAsia"/>
                <w:szCs w:val="21"/>
              </w:rPr>
              <w:t>500</w:t>
            </w:r>
            <w:r w:rsidRPr="00BF6B06">
              <w:rPr>
                <w:rFonts w:ascii="Times New Roman" w:hAnsi="Times New Roman" w:cs="Times New Roman" w:hint="eastAsia"/>
                <w:szCs w:val="21"/>
              </w:rPr>
              <w:t>万像素全局快门高动态范围</w:t>
            </w:r>
            <w:r w:rsidRPr="00BF6B06">
              <w:rPr>
                <w:rFonts w:ascii="Times New Roman" w:hAnsi="Times New Roman" w:cs="Times New Roman" w:hint="eastAsia"/>
                <w:szCs w:val="21"/>
              </w:rPr>
              <w:t>CMOS</w:t>
            </w:r>
            <w:r w:rsidRPr="00BF6B06">
              <w:rPr>
                <w:rFonts w:ascii="Times New Roman" w:hAnsi="Times New Roman" w:cs="Times New Roman" w:hint="eastAsia"/>
                <w:szCs w:val="21"/>
              </w:rPr>
              <w:t>图像传感器</w:t>
            </w:r>
            <w:r w:rsidRPr="00BF6B06">
              <w:rPr>
                <w:rFonts w:ascii="Times New Roman" w:hAnsi="Times New Roman" w:cs="Times New Roman" w:hint="eastAsia"/>
                <w:szCs w:val="21"/>
              </w:rPr>
              <w:t>OG05D</w:t>
            </w:r>
            <w:r w:rsidRPr="00BF6B06">
              <w:rPr>
                <w:rFonts w:ascii="Times New Roman" w:hAnsi="Times New Roman" w:cs="Times New Roman" w:hint="eastAsia"/>
                <w:szCs w:val="21"/>
              </w:rPr>
              <w:t>，瞄准工厂自动化、条码扫描、紧凑型</w:t>
            </w:r>
            <w:r w:rsidRPr="00BF6B06">
              <w:rPr>
                <w:rFonts w:ascii="Times New Roman" w:hAnsi="Times New Roman" w:cs="Times New Roman" w:hint="eastAsia"/>
                <w:szCs w:val="21"/>
              </w:rPr>
              <w:t>AI</w:t>
            </w:r>
            <w:r w:rsidRPr="00BF6B06">
              <w:rPr>
                <w:rFonts w:ascii="Times New Roman" w:hAnsi="Times New Roman" w:cs="Times New Roman" w:hint="eastAsia"/>
                <w:szCs w:val="21"/>
              </w:rPr>
              <w:t>相机、人形机器</w:t>
            </w:r>
            <w:r w:rsidRPr="00BF6B06">
              <w:rPr>
                <w:rFonts w:ascii="Times New Roman" w:hAnsi="Times New Roman" w:cs="Times New Roman" w:hint="eastAsia"/>
                <w:szCs w:val="21"/>
              </w:rPr>
              <w:lastRenderedPageBreak/>
              <w:t>人，尤其适配机器人训练数据采集设备。工业场景当中高速运动物体、明暗交替环境，对传感器全局快门、动态范围、近红外成像能力提出严苛要求，</w:t>
            </w:r>
            <w:r w:rsidRPr="00BF6B06">
              <w:rPr>
                <w:rFonts w:ascii="Times New Roman" w:hAnsi="Times New Roman" w:cs="Times New Roman" w:hint="eastAsia"/>
                <w:szCs w:val="21"/>
              </w:rPr>
              <w:t>OG05D</w:t>
            </w:r>
            <w:r w:rsidRPr="00BF6B06">
              <w:rPr>
                <w:rFonts w:ascii="Times New Roman" w:hAnsi="Times New Roman" w:cs="Times New Roman" w:hint="eastAsia"/>
                <w:szCs w:val="21"/>
              </w:rPr>
              <w:t>融合全局快门、片上</w:t>
            </w:r>
            <w:r w:rsidRPr="00BF6B06">
              <w:rPr>
                <w:rFonts w:ascii="Times New Roman" w:hAnsi="Times New Roman" w:cs="Times New Roman" w:hint="eastAsia"/>
                <w:szCs w:val="21"/>
              </w:rPr>
              <w:t>HDR</w:t>
            </w:r>
            <w:r w:rsidRPr="00BF6B06">
              <w:rPr>
                <w:rFonts w:ascii="Times New Roman" w:hAnsi="Times New Roman" w:cs="Times New Roman" w:hint="eastAsia"/>
                <w:szCs w:val="21"/>
              </w:rPr>
              <w:t>合成、高近红外响应以及低功耗特性，适配嵌入式视觉设备的空间与功耗约束。</w:t>
            </w:r>
          </w:p>
          <w:p w14:paraId="4783333D"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至此，公司已搭建起完整的</w:t>
            </w:r>
            <w:r w:rsidRPr="00BF6B06">
              <w:rPr>
                <w:rFonts w:ascii="Times New Roman" w:hAnsi="Times New Roman" w:cs="Times New Roman" w:hint="eastAsia"/>
                <w:szCs w:val="21"/>
              </w:rPr>
              <w:t>2.2</w:t>
            </w:r>
            <w:r w:rsidRPr="00BF6B06">
              <w:rPr>
                <w:rFonts w:ascii="Times New Roman" w:hAnsi="Times New Roman" w:cs="Times New Roman" w:hint="eastAsia"/>
                <w:szCs w:val="21"/>
              </w:rPr>
              <w:t>微米像素技术产品矩阵，覆盖工业视觉、</w:t>
            </w:r>
            <w:r w:rsidRPr="00BF6B06">
              <w:rPr>
                <w:rFonts w:ascii="Times New Roman" w:hAnsi="Times New Roman" w:cs="Times New Roman" w:hint="eastAsia"/>
                <w:szCs w:val="21"/>
              </w:rPr>
              <w:t>AI</w:t>
            </w:r>
            <w:r w:rsidRPr="00BF6B06">
              <w:rPr>
                <w:rFonts w:ascii="Times New Roman" w:hAnsi="Times New Roman" w:cs="Times New Roman" w:hint="eastAsia"/>
                <w:szCs w:val="21"/>
              </w:rPr>
              <w:t>可穿戴、具身智能多元场景，其中</w:t>
            </w:r>
            <w:r w:rsidRPr="00BF6B06">
              <w:rPr>
                <w:rFonts w:ascii="Times New Roman" w:hAnsi="Times New Roman" w:cs="Times New Roman" w:hint="eastAsia"/>
                <w:szCs w:val="21"/>
              </w:rPr>
              <w:t>OG01A</w:t>
            </w:r>
            <w:r w:rsidRPr="00BF6B06">
              <w:rPr>
                <w:rFonts w:ascii="Times New Roman" w:hAnsi="Times New Roman" w:cs="Times New Roman" w:hint="eastAsia"/>
                <w:szCs w:val="21"/>
              </w:rPr>
              <w:t>、</w:t>
            </w:r>
            <w:r w:rsidRPr="00BF6B06">
              <w:rPr>
                <w:rFonts w:ascii="Times New Roman" w:hAnsi="Times New Roman" w:cs="Times New Roman" w:hint="eastAsia"/>
                <w:szCs w:val="21"/>
              </w:rPr>
              <w:t>OG02D</w:t>
            </w:r>
            <w:r w:rsidRPr="00BF6B06">
              <w:rPr>
                <w:rFonts w:ascii="Times New Roman" w:hAnsi="Times New Roman" w:cs="Times New Roman" w:hint="eastAsia"/>
                <w:szCs w:val="21"/>
              </w:rPr>
              <w:t>、</w:t>
            </w:r>
            <w:r w:rsidRPr="00BF6B06">
              <w:rPr>
                <w:rFonts w:ascii="Times New Roman" w:hAnsi="Times New Roman" w:cs="Times New Roman" w:hint="eastAsia"/>
                <w:szCs w:val="21"/>
              </w:rPr>
              <w:t>OG05B</w:t>
            </w:r>
            <w:r w:rsidRPr="00BF6B06">
              <w:rPr>
                <w:rFonts w:ascii="Times New Roman" w:hAnsi="Times New Roman" w:cs="Times New Roman" w:hint="eastAsia"/>
                <w:szCs w:val="21"/>
              </w:rPr>
              <w:t>已经量产，</w:t>
            </w:r>
            <w:r w:rsidRPr="00BF6B06">
              <w:rPr>
                <w:rFonts w:ascii="Times New Roman" w:hAnsi="Times New Roman" w:cs="Times New Roman" w:hint="eastAsia"/>
                <w:szCs w:val="21"/>
              </w:rPr>
              <w:t>OG0FA</w:t>
            </w:r>
            <w:r w:rsidRPr="00BF6B06">
              <w:rPr>
                <w:rFonts w:ascii="Times New Roman" w:hAnsi="Times New Roman" w:cs="Times New Roman" w:hint="eastAsia"/>
                <w:szCs w:val="21"/>
              </w:rPr>
              <w:t>、</w:t>
            </w:r>
            <w:r w:rsidRPr="00BF6B06">
              <w:rPr>
                <w:rFonts w:ascii="Times New Roman" w:hAnsi="Times New Roman" w:cs="Times New Roman" w:hint="eastAsia"/>
                <w:szCs w:val="21"/>
              </w:rPr>
              <w:t>OG01N</w:t>
            </w:r>
            <w:r w:rsidRPr="00BF6B06">
              <w:rPr>
                <w:rFonts w:ascii="Times New Roman" w:hAnsi="Times New Roman" w:cs="Times New Roman" w:hint="eastAsia"/>
                <w:szCs w:val="21"/>
              </w:rPr>
              <w:t>以及本次发布的</w:t>
            </w:r>
            <w:r w:rsidRPr="00BF6B06">
              <w:rPr>
                <w:rFonts w:ascii="Times New Roman" w:hAnsi="Times New Roman" w:cs="Times New Roman" w:hint="eastAsia"/>
                <w:szCs w:val="21"/>
              </w:rPr>
              <w:t>OG05D</w:t>
            </w:r>
            <w:r w:rsidRPr="00BF6B06">
              <w:rPr>
                <w:rFonts w:ascii="Times New Roman" w:hAnsi="Times New Roman" w:cs="Times New Roman" w:hint="eastAsia"/>
                <w:szCs w:val="21"/>
              </w:rPr>
              <w:t>已经出样，预计</w:t>
            </w:r>
            <w:r w:rsidRPr="00BF6B06">
              <w:rPr>
                <w:rFonts w:ascii="Times New Roman" w:hAnsi="Times New Roman" w:cs="Times New Roman" w:hint="eastAsia"/>
                <w:szCs w:val="21"/>
              </w:rPr>
              <w:t>2026</w:t>
            </w:r>
            <w:r w:rsidRPr="00BF6B06">
              <w:rPr>
                <w:rFonts w:ascii="Times New Roman" w:hAnsi="Times New Roman" w:cs="Times New Roman" w:hint="eastAsia"/>
                <w:szCs w:val="21"/>
              </w:rPr>
              <w:t>年第四季度陆续量产，持续把握机器人、自动化工厂的视觉需求红利。</w:t>
            </w:r>
          </w:p>
          <w:p w14:paraId="1BCAD2AA"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问题四：请介绍公司在端侧</w:t>
            </w:r>
            <w:r>
              <w:rPr>
                <w:rFonts w:ascii="Times New Roman" w:hAnsi="Times New Roman" w:cs="Times New Roman"/>
                <w:b/>
                <w:bCs/>
                <w:szCs w:val="21"/>
              </w:rPr>
              <w:t>AI</w:t>
            </w:r>
            <w:r>
              <w:rPr>
                <w:rFonts w:ascii="Times New Roman" w:hAnsi="Times New Roman" w:cs="Times New Roman" w:hint="eastAsia"/>
                <w:b/>
                <w:bCs/>
                <w:szCs w:val="21"/>
              </w:rPr>
              <w:t>方向的产品与技术布局。</w:t>
            </w:r>
          </w:p>
          <w:p w14:paraId="76F7908B"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答：公司依托成熟的视觉感知、端侧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集成及显示技术储备，精准匹配端侧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行业核心需求，构筑差异化技术壁垒：感知层面，公司核心全局快门（</w:t>
            </w:r>
            <w:r w:rsidRPr="00BF6B06">
              <w:rPr>
                <w:rFonts w:ascii="Times New Roman" w:hAnsi="Times New Roman" w:cs="Times New Roman" w:hint="eastAsia"/>
                <w:szCs w:val="21"/>
              </w:rPr>
              <w:t>Global Shutter</w:t>
            </w:r>
            <w:r w:rsidRPr="00BF6B06">
              <w:rPr>
                <w:rFonts w:ascii="Times New Roman" w:hAnsi="Times New Roman" w:cs="Times New Roman" w:hint="eastAsia"/>
                <w:szCs w:val="21"/>
              </w:rPr>
              <w:t>）技术可有效消除高速运动场景成像拖影、畸变问题，结合自研低光高灵敏度成像方案，保障复杂环境下稳定、高清的视觉采集能力；算力层面，公司创新采用</w:t>
            </w:r>
            <w:r w:rsidRPr="00BF6B06">
              <w:rPr>
                <w:rFonts w:ascii="Times New Roman" w:hAnsi="Times New Roman" w:cs="Times New Roman" w:hint="eastAsia"/>
                <w:szCs w:val="21"/>
              </w:rPr>
              <w:t>CIS</w:t>
            </w:r>
            <w:r w:rsidRPr="00BF6B06">
              <w:rPr>
                <w:rFonts w:ascii="Times New Roman" w:hAnsi="Times New Roman" w:cs="Times New Roman" w:hint="eastAsia"/>
                <w:szCs w:val="21"/>
              </w:rPr>
              <w:t>集成</w:t>
            </w:r>
            <w:r w:rsidRPr="00BF6B06">
              <w:rPr>
                <w:rFonts w:ascii="Times New Roman" w:hAnsi="Times New Roman" w:cs="Times New Roman" w:hint="eastAsia"/>
                <w:szCs w:val="21"/>
              </w:rPr>
              <w:t>NPU</w:t>
            </w:r>
            <w:r w:rsidRPr="00BF6B06">
              <w:rPr>
                <w:rFonts w:ascii="Times New Roman" w:hAnsi="Times New Roman" w:cs="Times New Roman" w:hint="eastAsia"/>
                <w:szCs w:val="21"/>
              </w:rPr>
              <w:t>的芯片级融合架构，实现图像感知与</w:t>
            </w:r>
            <w:r w:rsidRPr="00BF6B06">
              <w:rPr>
                <w:rFonts w:ascii="Times New Roman" w:hAnsi="Times New Roman" w:cs="Times New Roman" w:hint="eastAsia"/>
                <w:szCs w:val="21"/>
              </w:rPr>
              <w:t>AI</w:t>
            </w:r>
            <w:r w:rsidRPr="00BF6B06">
              <w:rPr>
                <w:rFonts w:ascii="Times New Roman" w:hAnsi="Times New Roman" w:cs="Times New Roman" w:hint="eastAsia"/>
                <w:szCs w:val="21"/>
              </w:rPr>
              <w:t>算力一体化集成，支持端侧数据采集、运算本地化处理，显著降低设备延迟、功耗与模组体积；此外，公司</w:t>
            </w:r>
            <w:proofErr w:type="spellStart"/>
            <w:r w:rsidRPr="00BF6B06">
              <w:rPr>
                <w:rFonts w:ascii="Times New Roman" w:hAnsi="Times New Roman" w:cs="Times New Roman" w:hint="eastAsia"/>
                <w:szCs w:val="21"/>
              </w:rPr>
              <w:t>CameraCubeChip</w:t>
            </w:r>
            <w:proofErr w:type="spellEnd"/>
            <w:r w:rsidRPr="00BF6B06">
              <w:rPr>
                <w:rFonts w:ascii="Times New Roman" w:hAnsi="Times New Roman" w:cs="Times New Roman" w:hint="eastAsia"/>
                <w:szCs w:val="21"/>
                <w:vertAlign w:val="superscript"/>
              </w:rPr>
              <w:t>®</w:t>
            </w:r>
            <w:r w:rsidRPr="00BF6B06">
              <w:rPr>
                <w:rFonts w:ascii="Times New Roman" w:hAnsi="Times New Roman" w:cs="Times New Roman" w:hint="eastAsia"/>
                <w:szCs w:val="21"/>
              </w:rPr>
              <w:t>晶圆级摄像头模组技术可充分满足端侧终端微型化设计需求；在显示领域，公司自研</w:t>
            </w:r>
            <w:r w:rsidRPr="00BF6B06">
              <w:rPr>
                <w:rFonts w:ascii="Times New Roman" w:hAnsi="Times New Roman" w:cs="Times New Roman" w:hint="eastAsia"/>
                <w:szCs w:val="21"/>
              </w:rPr>
              <w:t>LCOS</w:t>
            </w:r>
            <w:r w:rsidRPr="00BF6B06">
              <w:rPr>
                <w:rFonts w:ascii="Times New Roman" w:hAnsi="Times New Roman" w:cs="Times New Roman" w:hint="eastAsia"/>
                <w:szCs w:val="21"/>
              </w:rPr>
              <w:t>单芯片显示解决方案具备高分辨率、小体积、低功耗、高性价比等优势，适配端侧设备高清显示交互的升级需求。公司凭借感知、算力集成、微型化封装、高清显示的全链条技术优势，深度卡位端侧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优质赛道，目前已在国内外头部客户实现量产导入。</w:t>
            </w:r>
          </w:p>
          <w:p w14:paraId="2462208A"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问题五：请介绍公司在光通信及</w:t>
            </w:r>
            <w:r>
              <w:rPr>
                <w:rFonts w:ascii="Times New Roman" w:hAnsi="Times New Roman" w:cs="Times New Roman"/>
                <w:b/>
                <w:bCs/>
                <w:szCs w:val="21"/>
              </w:rPr>
              <w:t>AI</w:t>
            </w:r>
            <w:r>
              <w:rPr>
                <w:rFonts w:ascii="Times New Roman" w:hAnsi="Times New Roman" w:cs="Times New Roman" w:hint="eastAsia"/>
                <w:b/>
                <w:bCs/>
                <w:szCs w:val="21"/>
              </w:rPr>
              <w:t>算力基础设施领域的布局进展。</w:t>
            </w:r>
          </w:p>
          <w:p w14:paraId="2F159439" w14:textId="65AB0969"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答：面向</w:t>
            </w:r>
            <w:r w:rsidRPr="00BF6B06">
              <w:rPr>
                <w:rFonts w:ascii="Times New Roman" w:hAnsi="Times New Roman" w:cs="Times New Roman" w:hint="eastAsia"/>
                <w:szCs w:val="21"/>
              </w:rPr>
              <w:t>AI</w:t>
            </w:r>
            <w:r w:rsidRPr="00BF6B06">
              <w:rPr>
                <w:rFonts w:ascii="Times New Roman" w:hAnsi="Times New Roman" w:cs="Times New Roman" w:hint="eastAsia"/>
                <w:szCs w:val="21"/>
              </w:rPr>
              <w:t>算力基础设施对高速率、低功耗、高可靠光传输的需求，公司围绕光模块收发端核心模拟器件持续加大研发投入，同时持续迭代硅基液晶空间光调制器及配套驱动控制方案，巩固在波长选择开关（</w:t>
            </w:r>
            <w:r w:rsidRPr="00BF6B06">
              <w:rPr>
                <w:rFonts w:ascii="Times New Roman" w:hAnsi="Times New Roman" w:cs="Times New Roman" w:hint="eastAsia"/>
                <w:szCs w:val="21"/>
              </w:rPr>
              <w:t>WSS</w:t>
            </w:r>
            <w:r w:rsidRPr="00BF6B06">
              <w:rPr>
                <w:rFonts w:ascii="Times New Roman" w:hAnsi="Times New Roman" w:cs="Times New Roman" w:hint="eastAsia"/>
                <w:szCs w:val="21"/>
              </w:rPr>
              <w:t>）核心器件领域的技术优势，并向骨干网、城域网及数据中心光交换等应用方向拓展。公司</w:t>
            </w:r>
            <w:r w:rsidRPr="00BF6B06">
              <w:rPr>
                <w:rFonts w:ascii="Times New Roman" w:hAnsi="Times New Roman" w:cs="Times New Roman" w:hint="eastAsia"/>
                <w:szCs w:val="21"/>
              </w:rPr>
              <w:t>LCOS</w:t>
            </w:r>
            <w:r w:rsidRPr="00BF6B06">
              <w:rPr>
                <w:rFonts w:ascii="Times New Roman" w:hAnsi="Times New Roman" w:cs="Times New Roman" w:hint="eastAsia"/>
                <w:szCs w:val="21"/>
              </w:rPr>
              <w:t>产品可应用于</w:t>
            </w:r>
            <w:r w:rsidRPr="00BF6B06">
              <w:rPr>
                <w:rFonts w:ascii="Times New Roman" w:hAnsi="Times New Roman" w:cs="Times New Roman" w:hint="eastAsia"/>
                <w:szCs w:val="21"/>
              </w:rPr>
              <w:t>WSS</w:t>
            </w:r>
            <w:r w:rsidRPr="00BF6B06">
              <w:rPr>
                <w:rFonts w:ascii="Times New Roman" w:hAnsi="Times New Roman" w:cs="Times New Roman" w:hint="eastAsia"/>
                <w:szCs w:val="21"/>
              </w:rPr>
              <w:t>领域并已在全球量产使用；在</w:t>
            </w:r>
            <w:r w:rsidRPr="00BF6B06">
              <w:rPr>
                <w:rFonts w:ascii="Times New Roman" w:hAnsi="Times New Roman" w:cs="Times New Roman" w:hint="eastAsia"/>
                <w:szCs w:val="21"/>
              </w:rPr>
              <w:t>AI</w:t>
            </w:r>
            <w:r w:rsidRPr="00BF6B06">
              <w:rPr>
                <w:rFonts w:ascii="Times New Roman" w:hAnsi="Times New Roman" w:cs="Times New Roman" w:hint="eastAsia"/>
                <w:szCs w:val="21"/>
              </w:rPr>
              <w:t>数据中心光电路交换（</w:t>
            </w:r>
            <w:r w:rsidRPr="00BF6B06">
              <w:rPr>
                <w:rFonts w:ascii="Times New Roman" w:hAnsi="Times New Roman" w:cs="Times New Roman" w:hint="eastAsia"/>
                <w:szCs w:val="21"/>
              </w:rPr>
              <w:t>OCS</w:t>
            </w:r>
            <w:r w:rsidRPr="00BF6B06">
              <w:rPr>
                <w:rFonts w:ascii="Times New Roman" w:hAnsi="Times New Roman" w:cs="Times New Roman" w:hint="eastAsia"/>
                <w:szCs w:val="21"/>
              </w:rPr>
              <w:t>）中，</w:t>
            </w:r>
            <w:r w:rsidRPr="00BF6B06">
              <w:rPr>
                <w:rFonts w:ascii="Times New Roman" w:hAnsi="Times New Roman" w:cs="Times New Roman" w:hint="eastAsia"/>
                <w:szCs w:val="21"/>
              </w:rPr>
              <w:t>LCOS</w:t>
            </w:r>
            <w:r w:rsidRPr="00BF6B06">
              <w:rPr>
                <w:rFonts w:ascii="Times New Roman" w:hAnsi="Times New Roman" w:cs="Times New Roman" w:hint="eastAsia"/>
                <w:szCs w:val="21"/>
              </w:rPr>
              <w:t>作为无机械运动部件的固态技术具有独特性能特点，可靠性和寿命优于</w:t>
            </w:r>
            <w:r w:rsidRPr="00BF6B06">
              <w:rPr>
                <w:rFonts w:ascii="Times New Roman" w:hAnsi="Times New Roman" w:cs="Times New Roman" w:hint="eastAsia"/>
                <w:szCs w:val="21"/>
              </w:rPr>
              <w:t>MEMS</w:t>
            </w:r>
            <w:r w:rsidRPr="00BF6B06">
              <w:rPr>
                <w:rFonts w:ascii="Times New Roman" w:hAnsi="Times New Roman" w:cs="Times New Roman" w:hint="eastAsia"/>
                <w:szCs w:val="21"/>
              </w:rPr>
              <w:t>、成本更低。公司今年完成对</w:t>
            </w:r>
            <w:r>
              <w:rPr>
                <w:rFonts w:ascii="Times New Roman" w:hAnsi="Times New Roman" w:cs="Times New Roman"/>
                <w:szCs w:val="21"/>
              </w:rPr>
              <w:t>成都翌创微电子有限</w:t>
            </w:r>
            <w:r>
              <w:rPr>
                <w:rFonts w:ascii="Times New Roman" w:hAnsi="Times New Roman" w:cs="Times New Roman"/>
                <w:szCs w:val="21"/>
              </w:rPr>
              <w:lastRenderedPageBreak/>
              <w:t>公司</w:t>
            </w:r>
            <w:r w:rsidRPr="00BF6B06">
              <w:rPr>
                <w:rFonts w:ascii="Times New Roman" w:hAnsi="Times New Roman" w:cs="Times New Roman" w:hint="eastAsia"/>
                <w:szCs w:val="21"/>
              </w:rPr>
              <w:t>的控股，进一步拓展在数字电源控制及数模混合信号领域的技术布局。公司依托高速模拟设计积累，围绕光通信模拟电芯片方向开展技术研究与产品布局，并已实现对下游客户的量产导入。</w:t>
            </w:r>
          </w:p>
          <w:p w14:paraId="7EECA038"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问题六：请介绍公司图像传感器业务在手机与汽车两大市场的产品进展和市场地位。</w:t>
            </w:r>
          </w:p>
          <w:p w14:paraId="24D15877" w14:textId="57B50ACA"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答：在高端智能手机领域，公司持续突破关键技术瓶颈，</w:t>
            </w:r>
            <w:r w:rsidRPr="00BF6B06">
              <w:rPr>
                <w:rFonts w:ascii="Times New Roman" w:hAnsi="Times New Roman" w:cs="Times New Roman" w:hint="eastAsia"/>
                <w:szCs w:val="21"/>
              </w:rPr>
              <w:t>5000</w:t>
            </w:r>
            <w:r w:rsidRPr="00BF6B06">
              <w:rPr>
                <w:rFonts w:ascii="Times New Roman" w:hAnsi="Times New Roman" w:cs="Times New Roman" w:hint="eastAsia"/>
                <w:szCs w:val="21"/>
              </w:rPr>
              <w:t>万像素</w:t>
            </w:r>
            <w:r w:rsidR="00535886">
              <w:rPr>
                <w:rFonts w:ascii="Times New Roman" w:hAnsi="Times New Roman" w:cs="Times New Roman" w:hint="eastAsia"/>
                <w:szCs w:val="21"/>
              </w:rPr>
              <w:t>至两亿像素多款不同像素尺寸的高阶产品，凭借产品在高动态范围（</w:t>
            </w:r>
            <w:r w:rsidR="00535886">
              <w:rPr>
                <w:rFonts w:ascii="Times New Roman" w:hAnsi="Times New Roman" w:cs="Times New Roman" w:hint="eastAsia"/>
                <w:szCs w:val="21"/>
              </w:rPr>
              <w:t>HDR</w:t>
            </w:r>
            <w:r w:rsidR="00535886">
              <w:rPr>
                <w:rFonts w:ascii="Times New Roman" w:hAnsi="Times New Roman" w:cs="Times New Roman" w:hint="eastAsia"/>
                <w:szCs w:val="21"/>
              </w:rPr>
              <w:t>）、功耗、信噪比等核心性能优势</w:t>
            </w:r>
            <w:r w:rsidRPr="00BF6B06">
              <w:rPr>
                <w:rFonts w:ascii="Times New Roman" w:hAnsi="Times New Roman" w:cs="Times New Roman" w:hint="eastAsia"/>
                <w:szCs w:val="21"/>
              </w:rPr>
              <w:t>已进入国内主流安卓厂商高端机型供应链</w:t>
            </w:r>
            <w:r w:rsidR="00535886">
              <w:rPr>
                <w:rFonts w:ascii="Times New Roman" w:hAnsi="Times New Roman" w:cs="Times New Roman" w:hint="eastAsia"/>
                <w:szCs w:val="21"/>
              </w:rPr>
              <w:t>，并实现量产交付。</w:t>
            </w:r>
          </w:p>
          <w:p w14:paraId="72FC026E"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在汽车领域，公司是全球领先的汽车图像传感器解决方案供应商，凭借二十余年的行业积淀、完善的车规级验证体系及领先的像素与图像处理技术，产品全面覆盖</w:t>
            </w:r>
            <w:r w:rsidRPr="00BF6B06">
              <w:rPr>
                <w:rFonts w:ascii="Times New Roman" w:hAnsi="Times New Roman" w:cs="Times New Roman" w:hint="eastAsia"/>
                <w:szCs w:val="21"/>
              </w:rPr>
              <w:t>ADAS</w:t>
            </w:r>
            <w:r w:rsidRPr="00BF6B06">
              <w:rPr>
                <w:rFonts w:ascii="Times New Roman" w:hAnsi="Times New Roman" w:cs="Times New Roman" w:hint="eastAsia"/>
                <w:szCs w:val="21"/>
              </w:rPr>
              <w:t>、座舱监控、电子后视镜、仪表盘摄像头及后视与全景影像等应用场景。</w:t>
            </w:r>
            <w:r w:rsidRPr="00BF6B06">
              <w:rPr>
                <w:rFonts w:ascii="Times New Roman" w:hAnsi="Times New Roman" w:cs="Times New Roman" w:hint="eastAsia"/>
                <w:szCs w:val="21"/>
              </w:rPr>
              <w:t>2026</w:t>
            </w:r>
            <w:r w:rsidRPr="00BF6B06">
              <w:rPr>
                <w:rFonts w:ascii="Times New Roman" w:hAnsi="Times New Roman" w:cs="Times New Roman" w:hint="eastAsia"/>
                <w:szCs w:val="21"/>
              </w:rPr>
              <w:t>年上半年，公司车载产品分辨率结构持续升级，</w:t>
            </w:r>
            <w:r w:rsidRPr="00BF6B06">
              <w:rPr>
                <w:rFonts w:ascii="Times New Roman" w:hAnsi="Times New Roman" w:cs="Times New Roman" w:hint="eastAsia"/>
                <w:szCs w:val="21"/>
              </w:rPr>
              <w:t>800</w:t>
            </w:r>
            <w:r w:rsidRPr="00BF6B06">
              <w:rPr>
                <w:rFonts w:ascii="Times New Roman" w:hAnsi="Times New Roman" w:cs="Times New Roman" w:hint="eastAsia"/>
                <w:szCs w:val="21"/>
              </w:rPr>
              <w:t>万像素产品加速普及，为自动驾驶及辅助驾驶场景下的目标识别与环境感知提供核心技术支撑；同时推出采用</w:t>
            </w:r>
            <w:proofErr w:type="spellStart"/>
            <w:r w:rsidRPr="00BF6B06">
              <w:rPr>
                <w:rFonts w:ascii="Times New Roman" w:hAnsi="Times New Roman" w:cs="Times New Roman" w:hint="eastAsia"/>
                <w:szCs w:val="21"/>
              </w:rPr>
              <w:t>Nyxel</w:t>
            </w:r>
            <w:proofErr w:type="spellEnd"/>
            <w:r w:rsidRPr="00BF6B06">
              <w:rPr>
                <w:rFonts w:ascii="Times New Roman" w:hAnsi="Times New Roman" w:cs="Times New Roman" w:hint="eastAsia"/>
                <w:szCs w:val="21"/>
                <w:vertAlign w:val="superscript"/>
              </w:rPr>
              <w:t>®</w:t>
            </w:r>
            <w:r w:rsidRPr="00BF6B06">
              <w:rPr>
                <w:rFonts w:ascii="Times New Roman" w:hAnsi="Times New Roman" w:cs="Times New Roman" w:hint="eastAsia"/>
                <w:szCs w:val="21"/>
              </w:rPr>
              <w:t>近红外技术的车规级传感器新品，进一步丰富驾驶员监控系统产品矩阵；基于</w:t>
            </w:r>
            <w:proofErr w:type="spellStart"/>
            <w:r w:rsidRPr="00BF6B06">
              <w:rPr>
                <w:rFonts w:ascii="Times New Roman" w:hAnsi="Times New Roman" w:cs="Times New Roman" w:hint="eastAsia"/>
                <w:szCs w:val="21"/>
              </w:rPr>
              <w:t>TheiaCel</w:t>
            </w:r>
            <w:proofErr w:type="spellEnd"/>
            <w:r w:rsidRPr="00BF6B06">
              <w:rPr>
                <w:rFonts w:ascii="Times New Roman" w:hAnsi="Times New Roman" w:cs="Times New Roman" w:hint="eastAsia"/>
                <w:szCs w:val="21"/>
                <w:vertAlign w:val="superscript"/>
              </w:rPr>
              <w:t>®</w:t>
            </w:r>
            <w:r w:rsidRPr="00BF6B06">
              <w:rPr>
                <w:rFonts w:ascii="Times New Roman" w:hAnsi="Times New Roman" w:cs="Times New Roman" w:hint="eastAsia"/>
                <w:szCs w:val="21"/>
              </w:rPr>
              <w:t>技术平台的最新一代汽车图像传感器在关键性能指标上保持行业领先，获得客户广泛认可。</w:t>
            </w:r>
          </w:p>
          <w:p w14:paraId="48A23D51" w14:textId="497249A2"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公司在手机、汽车市场的份额占据了重要份额，根据</w:t>
            </w:r>
            <w:r w:rsidR="00804838">
              <w:rPr>
                <w:rFonts w:ascii="Times New Roman" w:hAnsi="Times New Roman" w:cs="Times New Roman" w:hint="eastAsia"/>
                <w:szCs w:val="21"/>
              </w:rPr>
              <w:t>第三方</w:t>
            </w:r>
            <w:r w:rsidRPr="00BF6B06">
              <w:rPr>
                <w:rFonts w:ascii="Times New Roman" w:hAnsi="Times New Roman" w:cs="Times New Roman" w:hint="eastAsia"/>
                <w:szCs w:val="21"/>
              </w:rPr>
              <w:t>咨询机构数据，按</w:t>
            </w:r>
            <w:r w:rsidRPr="00BF6B06">
              <w:rPr>
                <w:rFonts w:ascii="Times New Roman" w:hAnsi="Times New Roman" w:cs="Times New Roman" w:hint="eastAsia"/>
                <w:szCs w:val="21"/>
              </w:rPr>
              <w:t>2025</w:t>
            </w:r>
            <w:r w:rsidRPr="00BF6B06">
              <w:rPr>
                <w:rFonts w:ascii="Times New Roman" w:hAnsi="Times New Roman" w:cs="Times New Roman" w:hint="eastAsia"/>
                <w:szCs w:val="21"/>
              </w:rPr>
              <w:t>年度收入计算，公司是全球前</w:t>
            </w:r>
            <w:r w:rsidR="00804838">
              <w:rPr>
                <w:rFonts w:ascii="Times New Roman" w:hAnsi="Times New Roman" w:cs="Times New Roman" w:hint="eastAsia"/>
                <w:szCs w:val="21"/>
              </w:rPr>
              <w:t>二</w:t>
            </w:r>
            <w:r w:rsidRPr="00BF6B06">
              <w:rPr>
                <w:rFonts w:ascii="Times New Roman" w:hAnsi="Times New Roman" w:cs="Times New Roman" w:hint="eastAsia"/>
                <w:szCs w:val="21"/>
              </w:rPr>
              <w:t>大</w:t>
            </w:r>
            <w:r w:rsidRPr="00BF6B06">
              <w:rPr>
                <w:rFonts w:ascii="Times New Roman" w:hAnsi="Times New Roman" w:cs="Times New Roman" w:hint="eastAsia"/>
                <w:szCs w:val="21"/>
              </w:rPr>
              <w:t>CMOS</w:t>
            </w:r>
            <w:r w:rsidRPr="00BF6B06">
              <w:rPr>
                <w:rFonts w:ascii="Times New Roman" w:hAnsi="Times New Roman" w:cs="Times New Roman" w:hint="eastAsia"/>
                <w:szCs w:val="21"/>
              </w:rPr>
              <w:t>图像传感器供应商之一</w:t>
            </w:r>
            <w:r w:rsidR="0077623D">
              <w:rPr>
                <w:rFonts w:ascii="Times New Roman" w:hAnsi="Times New Roman" w:cs="Times New Roman" w:hint="eastAsia"/>
                <w:szCs w:val="21"/>
              </w:rPr>
              <w:t>，</w:t>
            </w:r>
            <w:r w:rsidR="00804838">
              <w:rPr>
                <w:rFonts w:ascii="Times New Roman" w:hAnsi="Times New Roman" w:cs="Times New Roman" w:hint="eastAsia"/>
                <w:szCs w:val="21"/>
              </w:rPr>
              <w:t>在</w:t>
            </w:r>
            <w:r w:rsidRPr="00BF6B06">
              <w:rPr>
                <w:rFonts w:ascii="Times New Roman" w:hAnsi="Times New Roman" w:cs="Times New Roman" w:hint="eastAsia"/>
                <w:szCs w:val="21"/>
              </w:rPr>
              <w:t>车用图像传感器</w:t>
            </w:r>
            <w:r w:rsidR="00804838">
              <w:rPr>
                <w:rFonts w:ascii="Times New Roman" w:hAnsi="Times New Roman" w:cs="Times New Roman" w:hint="eastAsia"/>
                <w:szCs w:val="21"/>
              </w:rPr>
              <w:t>市场</w:t>
            </w:r>
            <w:r w:rsidR="00A316BA">
              <w:rPr>
                <w:rFonts w:ascii="Times New Roman" w:hAnsi="Times New Roman" w:cs="Times New Roman" w:hint="eastAsia"/>
                <w:szCs w:val="21"/>
              </w:rPr>
              <w:t>，</w:t>
            </w:r>
            <w:r w:rsidR="00804838">
              <w:rPr>
                <w:rFonts w:ascii="Times New Roman" w:hAnsi="Times New Roman" w:cs="Times New Roman" w:hint="eastAsia"/>
                <w:szCs w:val="21"/>
              </w:rPr>
              <w:t>公司排名全球第一</w:t>
            </w:r>
            <w:r w:rsidRPr="00BF6B06">
              <w:rPr>
                <w:rFonts w:ascii="Times New Roman" w:hAnsi="Times New Roman" w:cs="Times New Roman" w:hint="eastAsia"/>
                <w:szCs w:val="21"/>
              </w:rPr>
              <w:t>。</w:t>
            </w:r>
          </w:p>
          <w:p w14:paraId="025CF5C5"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问题七：公司在新兴领域的持续投入是否会对费用端形成压力？后续研发投入方向如何安排？</w:t>
            </w:r>
          </w:p>
          <w:p w14:paraId="5BF84475" w14:textId="2E0F2924"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答：</w:t>
            </w:r>
            <w:r w:rsidRPr="00BF6B06">
              <w:rPr>
                <w:rFonts w:ascii="Times New Roman" w:hAnsi="Times New Roman" w:cs="Times New Roman" w:hint="eastAsia"/>
                <w:szCs w:val="21"/>
              </w:rPr>
              <w:t>2026</w:t>
            </w:r>
            <w:r w:rsidRPr="00BF6B06">
              <w:rPr>
                <w:rFonts w:ascii="Times New Roman" w:hAnsi="Times New Roman" w:cs="Times New Roman" w:hint="eastAsia"/>
                <w:szCs w:val="21"/>
              </w:rPr>
              <w:t>年前三季度，公司研发费用为</w:t>
            </w:r>
            <w:r w:rsidRPr="00BF6B06">
              <w:rPr>
                <w:rFonts w:ascii="Times New Roman" w:hAnsi="Times New Roman" w:cs="Times New Roman" w:hint="eastAsia"/>
                <w:szCs w:val="21"/>
              </w:rPr>
              <w:t>22.29</w:t>
            </w:r>
            <w:r w:rsidRPr="00BF6B06">
              <w:rPr>
                <w:rFonts w:ascii="Times New Roman" w:hAnsi="Times New Roman" w:cs="Times New Roman" w:hint="eastAsia"/>
                <w:szCs w:val="21"/>
              </w:rPr>
              <w:t>亿元，较上年同期增加</w:t>
            </w:r>
            <w:r w:rsidR="00804838">
              <w:rPr>
                <w:rFonts w:ascii="Times New Roman" w:hAnsi="Times New Roman" w:cs="Times New Roman" w:hint="eastAsia"/>
                <w:szCs w:val="21"/>
              </w:rPr>
              <w:t>约</w:t>
            </w:r>
            <w:r w:rsidR="00804838">
              <w:rPr>
                <w:rFonts w:ascii="Times New Roman" w:hAnsi="Times New Roman" w:cs="Times New Roman" w:hint="eastAsia"/>
                <w:szCs w:val="21"/>
              </w:rPr>
              <w:t>6%</w:t>
            </w:r>
            <w:r w:rsidRPr="00BF6B06">
              <w:rPr>
                <w:rFonts w:ascii="Times New Roman" w:hAnsi="Times New Roman" w:cs="Times New Roman" w:hint="eastAsia"/>
                <w:szCs w:val="21"/>
              </w:rPr>
              <w:t>，主要系积极布局新产品线进一步加大</w:t>
            </w:r>
            <w:r w:rsidR="00804838">
              <w:rPr>
                <w:rFonts w:ascii="Times New Roman" w:hAnsi="Times New Roman" w:cs="Times New Roman" w:hint="eastAsia"/>
                <w:szCs w:val="21"/>
              </w:rPr>
              <w:t>对于更多新兴产品领域的</w:t>
            </w:r>
            <w:r w:rsidRPr="00BF6B06">
              <w:rPr>
                <w:rFonts w:ascii="Times New Roman" w:hAnsi="Times New Roman" w:cs="Times New Roman" w:hint="eastAsia"/>
                <w:szCs w:val="21"/>
              </w:rPr>
              <w:t>研发投入所致。公司在加大</w:t>
            </w:r>
            <w:r w:rsidR="00804838">
              <w:rPr>
                <w:rFonts w:ascii="Times New Roman" w:hAnsi="Times New Roman" w:cs="Times New Roman" w:hint="eastAsia"/>
                <w:szCs w:val="21"/>
              </w:rPr>
              <w:t>研发</w:t>
            </w:r>
            <w:r w:rsidRPr="00BF6B06">
              <w:rPr>
                <w:rFonts w:ascii="Times New Roman" w:hAnsi="Times New Roman" w:cs="Times New Roman" w:hint="eastAsia"/>
                <w:szCs w:val="21"/>
              </w:rPr>
              <w:t>投入的同时，同步推进研发体系的提质增效，通过优化项目结构持续提升整体研发效率。总体而言，公司将把更多资源配置至智能驾驶、专业影像、机器视觉与机器人、端侧</w:t>
            </w:r>
            <w:r w:rsidRPr="00BF6B06">
              <w:rPr>
                <w:rFonts w:ascii="Times New Roman" w:hAnsi="Times New Roman" w:cs="Times New Roman" w:hint="eastAsia"/>
                <w:szCs w:val="21"/>
              </w:rPr>
              <w:t>AI</w:t>
            </w:r>
            <w:r w:rsidRPr="00BF6B06">
              <w:rPr>
                <w:rFonts w:ascii="Times New Roman" w:hAnsi="Times New Roman" w:cs="Times New Roman" w:hint="eastAsia"/>
                <w:szCs w:val="21"/>
              </w:rPr>
              <w:t>、医疗、光通信及</w:t>
            </w:r>
            <w:r w:rsidRPr="00BF6B06">
              <w:rPr>
                <w:rFonts w:ascii="Times New Roman" w:hAnsi="Times New Roman" w:cs="Times New Roman" w:hint="eastAsia"/>
                <w:szCs w:val="21"/>
              </w:rPr>
              <w:t>AI</w:t>
            </w:r>
            <w:r w:rsidRPr="00BF6B06">
              <w:rPr>
                <w:rFonts w:ascii="Times New Roman" w:hAnsi="Times New Roman" w:cs="Times New Roman" w:hint="eastAsia"/>
                <w:szCs w:val="21"/>
              </w:rPr>
              <w:t>算力基础设施等具备中长期成长空间的业务方向，推动整体经营质量稳步提升。</w:t>
            </w:r>
          </w:p>
          <w:p w14:paraId="6AB28EC7" w14:textId="77777777" w:rsidR="00873715" w:rsidRDefault="00AD1DE5">
            <w:pPr>
              <w:spacing w:line="360" w:lineRule="auto"/>
              <w:ind w:firstLineChars="200" w:firstLine="422"/>
              <w:rPr>
                <w:rFonts w:ascii="Times New Roman" w:hAnsi="Times New Roman" w:cs="Times New Roman"/>
                <w:b/>
                <w:bCs/>
                <w:szCs w:val="21"/>
              </w:rPr>
            </w:pPr>
            <w:r>
              <w:rPr>
                <w:rFonts w:ascii="Times New Roman" w:hAnsi="Times New Roman" w:cs="Times New Roman" w:hint="eastAsia"/>
                <w:b/>
                <w:bCs/>
                <w:szCs w:val="21"/>
              </w:rPr>
              <w:t>问题八：公司在投资者回报方面有什么作为？</w:t>
            </w:r>
          </w:p>
          <w:p w14:paraId="427112D5" w14:textId="39ABE92B"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lastRenderedPageBreak/>
              <w:t>答：</w:t>
            </w:r>
            <w:r>
              <w:rPr>
                <w:rFonts w:ascii="Times New Roman" w:hAnsi="Times New Roman" w:cs="Times New Roman"/>
                <w:szCs w:val="21"/>
              </w:rPr>
              <w:t>公司</w:t>
            </w:r>
            <w:r>
              <w:rPr>
                <w:rFonts w:ascii="Times New Roman" w:hAnsi="Times New Roman" w:cs="Times New Roman" w:hint="eastAsia"/>
                <w:szCs w:val="21"/>
              </w:rPr>
              <w:t>主要实施了</w:t>
            </w:r>
            <w:r>
              <w:rPr>
                <w:rFonts w:ascii="Times New Roman" w:hAnsi="Times New Roman" w:cs="Times New Roman"/>
                <w:szCs w:val="21"/>
              </w:rPr>
              <w:t>股份回购和现金</w:t>
            </w:r>
            <w:r w:rsidR="00A316BA">
              <w:rPr>
                <w:rFonts w:ascii="Times New Roman" w:hAnsi="Times New Roman" w:cs="Times New Roman" w:hint="eastAsia"/>
                <w:szCs w:val="21"/>
              </w:rPr>
              <w:t>分红等</w:t>
            </w:r>
            <w:r>
              <w:rPr>
                <w:rFonts w:ascii="Times New Roman" w:hAnsi="Times New Roman" w:cs="Times New Roman"/>
                <w:szCs w:val="21"/>
              </w:rPr>
              <w:t>方式回报股东。</w:t>
            </w:r>
            <w:r>
              <w:rPr>
                <w:rFonts w:ascii="Times New Roman" w:hAnsi="Times New Roman" w:cs="Times New Roman" w:hint="eastAsia"/>
                <w:szCs w:val="21"/>
              </w:rPr>
              <w:t>在股份</w:t>
            </w:r>
            <w:r w:rsidRPr="00BF6B06">
              <w:rPr>
                <w:rFonts w:ascii="Times New Roman" w:hAnsi="Times New Roman" w:cs="Times New Roman" w:hint="eastAsia"/>
                <w:szCs w:val="21"/>
              </w:rPr>
              <w:t>回购方面，公司于</w:t>
            </w:r>
            <w:r w:rsidRPr="00BF6B06">
              <w:rPr>
                <w:rFonts w:ascii="Times New Roman" w:hAnsi="Times New Roman" w:cs="Times New Roman" w:hint="eastAsia"/>
                <w:szCs w:val="21"/>
              </w:rPr>
              <w:t>2026</w:t>
            </w:r>
            <w:r w:rsidRPr="00BF6B06">
              <w:rPr>
                <w:rFonts w:ascii="Times New Roman" w:hAnsi="Times New Roman" w:cs="Times New Roman" w:hint="eastAsia"/>
                <w:szCs w:val="21"/>
              </w:rPr>
              <w:t>年</w:t>
            </w:r>
            <w:r w:rsidRPr="00BF6B06">
              <w:rPr>
                <w:rFonts w:ascii="Times New Roman" w:hAnsi="Times New Roman" w:cs="Times New Roman" w:hint="eastAsia"/>
                <w:szCs w:val="21"/>
              </w:rPr>
              <w:t>4</w:t>
            </w:r>
            <w:r w:rsidRPr="00BF6B06">
              <w:rPr>
                <w:rFonts w:ascii="Times New Roman" w:hAnsi="Times New Roman" w:cs="Times New Roman" w:hint="eastAsia"/>
                <w:szCs w:val="21"/>
              </w:rPr>
              <w:t>月</w:t>
            </w:r>
            <w:r w:rsidRPr="00BF6B06">
              <w:rPr>
                <w:rFonts w:ascii="Times New Roman" w:hAnsi="Times New Roman" w:cs="Times New Roman" w:hint="eastAsia"/>
                <w:szCs w:val="21"/>
              </w:rPr>
              <w:t>7</w:t>
            </w:r>
            <w:r w:rsidRPr="00BF6B06">
              <w:rPr>
                <w:rFonts w:ascii="Times New Roman" w:hAnsi="Times New Roman" w:cs="Times New Roman" w:hint="eastAsia"/>
                <w:szCs w:val="21"/>
              </w:rPr>
              <w:t>日至</w:t>
            </w:r>
            <w:r w:rsidRPr="00BF6B06">
              <w:rPr>
                <w:rFonts w:ascii="Times New Roman" w:hAnsi="Times New Roman" w:cs="Times New Roman" w:hint="eastAsia"/>
                <w:szCs w:val="21"/>
              </w:rPr>
              <w:t>2026</w:t>
            </w:r>
            <w:r w:rsidRPr="00BF6B06">
              <w:rPr>
                <w:rFonts w:ascii="Times New Roman" w:hAnsi="Times New Roman" w:cs="Times New Roman" w:hint="eastAsia"/>
                <w:szCs w:val="21"/>
              </w:rPr>
              <w:t>年</w:t>
            </w:r>
            <w:r w:rsidRPr="00BF6B06">
              <w:rPr>
                <w:rFonts w:ascii="Times New Roman" w:hAnsi="Times New Roman" w:cs="Times New Roman" w:hint="eastAsia"/>
                <w:szCs w:val="21"/>
              </w:rPr>
              <w:t>7</w:t>
            </w:r>
            <w:r w:rsidRPr="00BF6B06">
              <w:rPr>
                <w:rFonts w:ascii="Times New Roman" w:hAnsi="Times New Roman" w:cs="Times New Roman" w:hint="eastAsia"/>
                <w:szCs w:val="21"/>
              </w:rPr>
              <w:t>月</w:t>
            </w:r>
            <w:r w:rsidRPr="00BF6B06">
              <w:rPr>
                <w:rFonts w:ascii="Times New Roman" w:hAnsi="Times New Roman" w:cs="Times New Roman" w:hint="eastAsia"/>
                <w:szCs w:val="21"/>
              </w:rPr>
              <w:t>1</w:t>
            </w:r>
            <w:r w:rsidRPr="00BF6B06">
              <w:rPr>
                <w:rFonts w:ascii="Times New Roman" w:hAnsi="Times New Roman" w:cs="Times New Roman" w:hint="eastAsia"/>
                <w:szCs w:val="21"/>
              </w:rPr>
              <w:t>日通过集中竞价交易方式累计回购股份</w:t>
            </w:r>
            <w:r w:rsidRPr="00BF6B06">
              <w:rPr>
                <w:rFonts w:ascii="Times New Roman" w:hAnsi="Times New Roman" w:cs="Times New Roman" w:hint="eastAsia"/>
                <w:szCs w:val="21"/>
              </w:rPr>
              <w:t>8,750,205</w:t>
            </w:r>
            <w:r w:rsidRPr="00BF6B06">
              <w:rPr>
                <w:rFonts w:ascii="Times New Roman" w:hAnsi="Times New Roman" w:cs="Times New Roman" w:hint="eastAsia"/>
                <w:szCs w:val="21"/>
              </w:rPr>
              <w:t>股，支付总金额为</w:t>
            </w:r>
            <w:r w:rsidRPr="00BF6B06">
              <w:rPr>
                <w:rFonts w:ascii="Times New Roman" w:hAnsi="Times New Roman" w:cs="Times New Roman" w:hint="eastAsia"/>
                <w:szCs w:val="21"/>
              </w:rPr>
              <w:t>813,318,503.88</w:t>
            </w:r>
            <w:r w:rsidRPr="00BF6B06">
              <w:rPr>
                <w:rFonts w:ascii="Times New Roman" w:hAnsi="Times New Roman" w:cs="Times New Roman" w:hint="eastAsia"/>
                <w:szCs w:val="21"/>
              </w:rPr>
              <w:t>元（不含交易费用）。</w:t>
            </w:r>
            <w:r w:rsidRPr="00BF6B06">
              <w:rPr>
                <w:rFonts w:ascii="Times New Roman" w:hAnsi="Times New Roman" w:cs="Times New Roman" w:hint="eastAsia"/>
                <w:szCs w:val="21"/>
              </w:rPr>
              <w:t xml:space="preserve"> </w:t>
            </w:r>
            <w:r>
              <w:rPr>
                <w:rFonts w:ascii="Times New Roman" w:hAnsi="Times New Roman" w:cs="Times New Roman" w:hint="eastAsia"/>
                <w:szCs w:val="21"/>
              </w:rPr>
              <w:t>除此之外，</w:t>
            </w:r>
            <w:r w:rsidRPr="00BF6B06">
              <w:rPr>
                <w:rFonts w:ascii="Times New Roman" w:hAnsi="Times New Roman" w:cs="Times New Roman" w:hint="eastAsia"/>
                <w:szCs w:val="21"/>
              </w:rPr>
              <w:t>公司已于</w:t>
            </w:r>
            <w:r w:rsidRPr="00BF6B06">
              <w:rPr>
                <w:rFonts w:ascii="Times New Roman" w:hAnsi="Times New Roman" w:cs="Times New Roman" w:hint="eastAsia"/>
                <w:szCs w:val="21"/>
              </w:rPr>
              <w:t>2026</w:t>
            </w:r>
            <w:r w:rsidRPr="00BF6B06">
              <w:rPr>
                <w:rFonts w:ascii="Times New Roman" w:hAnsi="Times New Roman" w:cs="Times New Roman" w:hint="eastAsia"/>
                <w:szCs w:val="21"/>
              </w:rPr>
              <w:t>年</w:t>
            </w:r>
            <w:r w:rsidRPr="00BF6B06">
              <w:rPr>
                <w:rFonts w:ascii="Times New Roman" w:hAnsi="Times New Roman" w:cs="Times New Roman" w:hint="eastAsia"/>
                <w:szCs w:val="21"/>
              </w:rPr>
              <w:t>10</w:t>
            </w:r>
            <w:r w:rsidRPr="00BF6B06">
              <w:rPr>
                <w:rFonts w:ascii="Times New Roman" w:hAnsi="Times New Roman" w:cs="Times New Roman" w:hint="eastAsia"/>
                <w:szCs w:val="21"/>
              </w:rPr>
              <w:t>月</w:t>
            </w:r>
            <w:r w:rsidRPr="00BF6B06">
              <w:rPr>
                <w:rFonts w:ascii="Times New Roman" w:hAnsi="Times New Roman" w:cs="Times New Roman" w:hint="eastAsia"/>
                <w:szCs w:val="21"/>
              </w:rPr>
              <w:t>17</w:t>
            </w:r>
            <w:r w:rsidRPr="00BF6B06">
              <w:rPr>
                <w:rFonts w:ascii="Times New Roman" w:hAnsi="Times New Roman" w:cs="Times New Roman" w:hint="eastAsia"/>
                <w:szCs w:val="21"/>
              </w:rPr>
              <w:t>日披露新一轮股票回购计划，拟回购金额为</w:t>
            </w:r>
            <w:r w:rsidRPr="00BF6B06">
              <w:rPr>
                <w:rFonts w:ascii="Times New Roman" w:hAnsi="Times New Roman" w:cs="Times New Roman" w:hint="eastAsia"/>
                <w:szCs w:val="21"/>
              </w:rPr>
              <w:t>2.5</w:t>
            </w:r>
            <w:r w:rsidRPr="00BF6B06">
              <w:rPr>
                <w:rFonts w:ascii="Times New Roman" w:hAnsi="Times New Roman" w:cs="Times New Roman" w:hint="eastAsia"/>
                <w:szCs w:val="21"/>
              </w:rPr>
              <w:t>亿元至</w:t>
            </w:r>
            <w:r w:rsidRPr="00BF6B06">
              <w:rPr>
                <w:rFonts w:ascii="Times New Roman" w:hAnsi="Times New Roman" w:cs="Times New Roman" w:hint="eastAsia"/>
                <w:szCs w:val="21"/>
              </w:rPr>
              <w:t>5</w:t>
            </w:r>
            <w:r w:rsidRPr="00BF6B06">
              <w:rPr>
                <w:rFonts w:ascii="Times New Roman" w:hAnsi="Times New Roman" w:cs="Times New Roman" w:hint="eastAsia"/>
                <w:szCs w:val="21"/>
              </w:rPr>
              <w:t>亿元，回购期限为董事会审议通过之日起不超过</w:t>
            </w:r>
            <w:r w:rsidRPr="00BF6B06">
              <w:rPr>
                <w:rFonts w:ascii="Times New Roman" w:hAnsi="Times New Roman" w:cs="Times New Roman" w:hint="eastAsia"/>
                <w:szCs w:val="21"/>
              </w:rPr>
              <w:t>3</w:t>
            </w:r>
            <w:r w:rsidRPr="00BF6B06">
              <w:rPr>
                <w:rFonts w:ascii="Times New Roman" w:hAnsi="Times New Roman" w:cs="Times New Roman" w:hint="eastAsia"/>
                <w:szCs w:val="21"/>
              </w:rPr>
              <w:t>个月。公司将按披露方案积极推进</w:t>
            </w:r>
            <w:r>
              <w:rPr>
                <w:rFonts w:ascii="Times New Roman" w:hAnsi="Times New Roman" w:cs="Times New Roman" w:hint="eastAsia"/>
                <w:szCs w:val="21"/>
              </w:rPr>
              <w:t>回购</w:t>
            </w:r>
            <w:r w:rsidRPr="00BF6B06">
              <w:rPr>
                <w:rFonts w:ascii="Times New Roman" w:hAnsi="Times New Roman" w:cs="Times New Roman" w:hint="eastAsia"/>
                <w:szCs w:val="21"/>
              </w:rPr>
              <w:t>，并依法依规履行信息披露义务。</w:t>
            </w:r>
          </w:p>
          <w:p w14:paraId="20851B3F" w14:textId="131CED77" w:rsidR="00873715" w:rsidRPr="00BF6B06" w:rsidRDefault="00AD1DE5">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在现金</w:t>
            </w:r>
            <w:r w:rsidRPr="00BF6B06">
              <w:rPr>
                <w:rFonts w:ascii="Times New Roman" w:hAnsi="Times New Roman" w:cs="Times New Roman" w:hint="eastAsia"/>
                <w:szCs w:val="21"/>
              </w:rPr>
              <w:t>分红方面，公司</w:t>
            </w:r>
            <w:r w:rsidRPr="00BF6B06">
              <w:rPr>
                <w:rFonts w:ascii="Times New Roman" w:hAnsi="Times New Roman" w:cs="Times New Roman" w:hint="eastAsia"/>
                <w:szCs w:val="21"/>
              </w:rPr>
              <w:t>2025</w:t>
            </w:r>
            <w:r w:rsidRPr="00BF6B06">
              <w:rPr>
                <w:rFonts w:ascii="Times New Roman" w:hAnsi="Times New Roman" w:cs="Times New Roman" w:hint="eastAsia"/>
                <w:szCs w:val="21"/>
              </w:rPr>
              <w:t>年度利润分配方案为每</w:t>
            </w:r>
            <w:r w:rsidRPr="00BF6B06">
              <w:rPr>
                <w:rFonts w:ascii="Times New Roman" w:hAnsi="Times New Roman" w:cs="Times New Roman" w:hint="eastAsia"/>
                <w:szCs w:val="21"/>
              </w:rPr>
              <w:t>10</w:t>
            </w:r>
            <w:r w:rsidRPr="00BF6B06">
              <w:rPr>
                <w:rFonts w:ascii="Times New Roman" w:hAnsi="Times New Roman" w:cs="Times New Roman" w:hint="eastAsia"/>
                <w:szCs w:val="21"/>
              </w:rPr>
              <w:t>股派发现金红利</w:t>
            </w:r>
            <w:r w:rsidRPr="00BF6B06">
              <w:rPr>
                <w:rFonts w:ascii="Times New Roman" w:hAnsi="Times New Roman" w:cs="Times New Roman" w:hint="eastAsia"/>
                <w:szCs w:val="21"/>
              </w:rPr>
              <w:t>1.00</w:t>
            </w:r>
            <w:r w:rsidRPr="00BF6B06">
              <w:rPr>
                <w:rFonts w:ascii="Times New Roman" w:hAnsi="Times New Roman" w:cs="Times New Roman" w:hint="eastAsia"/>
                <w:szCs w:val="21"/>
              </w:rPr>
              <w:t>元（含税）</w:t>
            </w:r>
            <w:r>
              <w:rPr>
                <w:rFonts w:ascii="Times New Roman" w:hAnsi="Times New Roman" w:cs="Times New Roman" w:hint="eastAsia"/>
                <w:szCs w:val="21"/>
              </w:rPr>
              <w:t>；</w:t>
            </w:r>
            <w:r w:rsidRPr="00BF6B06">
              <w:rPr>
                <w:rFonts w:ascii="Times New Roman" w:hAnsi="Times New Roman" w:cs="Times New Roman" w:hint="eastAsia"/>
                <w:szCs w:val="21"/>
              </w:rPr>
              <w:t>2025</w:t>
            </w:r>
            <w:r w:rsidRPr="00BF6B06">
              <w:rPr>
                <w:rFonts w:ascii="Times New Roman" w:hAnsi="Times New Roman" w:cs="Times New Roman" w:hint="eastAsia"/>
                <w:szCs w:val="21"/>
              </w:rPr>
              <w:t>年中期利润分配方案为每</w:t>
            </w:r>
            <w:r w:rsidRPr="00BF6B06">
              <w:rPr>
                <w:rFonts w:ascii="Times New Roman" w:hAnsi="Times New Roman" w:cs="Times New Roman" w:hint="eastAsia"/>
                <w:szCs w:val="21"/>
              </w:rPr>
              <w:t>10</w:t>
            </w:r>
            <w:r w:rsidRPr="00BF6B06">
              <w:rPr>
                <w:rFonts w:ascii="Times New Roman" w:hAnsi="Times New Roman" w:cs="Times New Roman" w:hint="eastAsia"/>
                <w:szCs w:val="21"/>
              </w:rPr>
              <w:t>股派发现金红利</w:t>
            </w:r>
            <w:r w:rsidRPr="00BF6B06">
              <w:rPr>
                <w:rFonts w:ascii="Times New Roman" w:hAnsi="Times New Roman" w:cs="Times New Roman" w:hint="eastAsia"/>
                <w:szCs w:val="21"/>
              </w:rPr>
              <w:t>4.00</w:t>
            </w:r>
            <w:r w:rsidRPr="00BF6B06">
              <w:rPr>
                <w:rFonts w:ascii="Times New Roman" w:hAnsi="Times New Roman" w:cs="Times New Roman" w:hint="eastAsia"/>
                <w:szCs w:val="21"/>
              </w:rPr>
              <w:t>元（含税），</w:t>
            </w:r>
            <w:r w:rsidRPr="00BF6B06">
              <w:rPr>
                <w:rFonts w:ascii="Times New Roman" w:hAnsi="Times New Roman" w:cs="Times New Roman" w:hint="eastAsia"/>
                <w:szCs w:val="21"/>
              </w:rPr>
              <w:t>2025</w:t>
            </w:r>
            <w:r w:rsidRPr="00BF6B06">
              <w:rPr>
                <w:rFonts w:ascii="Times New Roman" w:hAnsi="Times New Roman" w:cs="Times New Roman" w:hint="eastAsia"/>
                <w:szCs w:val="21"/>
              </w:rPr>
              <w:t>年度累计现金分红金额为</w:t>
            </w:r>
            <w:r w:rsidRPr="00BF6B06">
              <w:rPr>
                <w:rFonts w:ascii="Times New Roman" w:hAnsi="Times New Roman" w:cs="Times New Roman" w:hint="eastAsia"/>
                <w:szCs w:val="21"/>
              </w:rPr>
              <w:t>6.08</w:t>
            </w:r>
            <w:r w:rsidRPr="00BF6B06">
              <w:rPr>
                <w:rFonts w:ascii="Times New Roman" w:hAnsi="Times New Roman" w:cs="Times New Roman" w:hint="eastAsia"/>
                <w:szCs w:val="21"/>
              </w:rPr>
              <w:t>亿元（含税），占公司</w:t>
            </w:r>
            <w:r w:rsidRPr="00BF6B06">
              <w:rPr>
                <w:rFonts w:ascii="Times New Roman" w:hAnsi="Times New Roman" w:cs="Times New Roman" w:hint="eastAsia"/>
                <w:szCs w:val="21"/>
              </w:rPr>
              <w:t>2025</w:t>
            </w:r>
            <w:r w:rsidRPr="00BF6B06">
              <w:rPr>
                <w:rFonts w:ascii="Times New Roman" w:hAnsi="Times New Roman" w:cs="Times New Roman" w:hint="eastAsia"/>
                <w:szCs w:val="21"/>
              </w:rPr>
              <w:t>年度合并报表归属于上市公司股东净利润的</w:t>
            </w:r>
            <w:r w:rsidRPr="00BF6B06">
              <w:rPr>
                <w:rFonts w:ascii="Times New Roman" w:hAnsi="Times New Roman" w:cs="Times New Roman" w:hint="eastAsia"/>
                <w:szCs w:val="21"/>
              </w:rPr>
              <w:t>15.03%</w:t>
            </w:r>
            <w:r w:rsidRPr="00BF6B06">
              <w:rPr>
                <w:rFonts w:ascii="Times New Roman" w:hAnsi="Times New Roman" w:cs="Times New Roman" w:hint="eastAsia"/>
                <w:szCs w:val="21"/>
              </w:rPr>
              <w:t>。</w:t>
            </w:r>
          </w:p>
          <w:p w14:paraId="5EB70190" w14:textId="77777777" w:rsidR="00873715" w:rsidRPr="00BF6B06" w:rsidRDefault="00AD1DE5">
            <w:pPr>
              <w:spacing w:line="360" w:lineRule="auto"/>
              <w:ind w:firstLineChars="200" w:firstLine="420"/>
              <w:rPr>
                <w:rFonts w:ascii="Times New Roman" w:hAnsi="Times New Roman" w:cs="Times New Roman"/>
                <w:szCs w:val="21"/>
              </w:rPr>
            </w:pPr>
            <w:r w:rsidRPr="00BF6B06">
              <w:rPr>
                <w:rFonts w:ascii="Times New Roman" w:hAnsi="Times New Roman" w:cs="Times New Roman" w:hint="eastAsia"/>
                <w:szCs w:val="21"/>
              </w:rPr>
              <w:t>公司将持续聚焦主业，推进业务结构优化和新兴应用场景拓展，改善经营基本面，提升经营质量和内在价值；同时规范公司治理，做好股东回报，并结合公司经营情况统筹回购等安排，切实维护全体股东利益。</w:t>
            </w:r>
          </w:p>
        </w:tc>
      </w:tr>
    </w:tbl>
    <w:p w14:paraId="3CB6FF3D" w14:textId="77777777" w:rsidR="00873715" w:rsidRPr="00BF6B06" w:rsidRDefault="00873715">
      <w:pPr>
        <w:spacing w:line="360" w:lineRule="auto"/>
        <w:rPr>
          <w:rFonts w:ascii="Times New Roman" w:hAnsi="Times New Roman" w:cs="Times New Roman"/>
          <w:szCs w:val="21"/>
        </w:rPr>
      </w:pPr>
    </w:p>
    <w:sectPr w:rsidR="00873715" w:rsidRPr="00BF6B06">
      <w:headerReference w:type="default" r:id="rId7"/>
      <w:footerReference w:type="default" r:id="rId8"/>
      <w:pgSz w:w="11906" w:h="16838"/>
      <w:pgMar w:top="1440" w:right="17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143C" w14:textId="77777777" w:rsidR="00AD1DE5" w:rsidRDefault="00AD1DE5">
      <w:r>
        <w:separator/>
      </w:r>
    </w:p>
  </w:endnote>
  <w:endnote w:type="continuationSeparator" w:id="0">
    <w:p w14:paraId="4ADF96BD" w14:textId="77777777" w:rsidR="00AD1DE5" w:rsidRDefault="00AD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微软雅黑"/>
    <w:charset w:val="86"/>
    <w:family w:val="modern"/>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docPartObj>
        <w:docPartGallery w:val="AutoText"/>
      </w:docPartObj>
    </w:sdtPr>
    <w:sdtEndPr>
      <w:rPr>
        <w:rFonts w:ascii="Times New Roman" w:hAnsi="Times New Roman" w:cs="Times New Roman"/>
      </w:rPr>
    </w:sdtEndPr>
    <w:sdtContent>
      <w:p w14:paraId="342C5D09" w14:textId="54968448" w:rsidR="00873715" w:rsidRPr="00BF6B06" w:rsidRDefault="00AD1DE5" w:rsidP="00BF6B06">
        <w:pPr>
          <w:pStyle w:val="a7"/>
          <w:jc w:val="center"/>
          <w:rPr>
            <w:rFonts w:ascii="Times New Roman" w:hAnsi="Times New Roman" w:cs="Times New Roman"/>
          </w:rPr>
        </w:pPr>
        <w:r w:rsidRPr="00BF6B06">
          <w:rPr>
            <w:rFonts w:ascii="Times New Roman" w:hAnsi="Times New Roman" w:cs="Times New Roman"/>
          </w:rPr>
          <w:fldChar w:fldCharType="begin"/>
        </w:r>
        <w:r w:rsidRPr="00BF6B06">
          <w:rPr>
            <w:rFonts w:ascii="Times New Roman" w:hAnsi="Times New Roman" w:cs="Times New Roman"/>
          </w:rPr>
          <w:instrText>PAGE   \* MERGEFORMAT</w:instrText>
        </w:r>
        <w:r w:rsidRPr="00BF6B06">
          <w:rPr>
            <w:rFonts w:ascii="Times New Roman" w:hAnsi="Times New Roman" w:cs="Times New Roman"/>
          </w:rPr>
          <w:fldChar w:fldCharType="separate"/>
        </w:r>
        <w:r w:rsidRPr="00BF6B06">
          <w:rPr>
            <w:rFonts w:ascii="Times New Roman" w:hAnsi="Times New Roman" w:cs="Times New Roman"/>
            <w:lang w:val="zh-CN"/>
          </w:rPr>
          <w:t>2</w:t>
        </w:r>
        <w:r w:rsidRPr="00BF6B0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783F2" w14:textId="77777777" w:rsidR="00AD1DE5" w:rsidRDefault="00AD1DE5">
      <w:r>
        <w:separator/>
      </w:r>
    </w:p>
  </w:footnote>
  <w:footnote w:type="continuationSeparator" w:id="0">
    <w:p w14:paraId="5FB15ABE" w14:textId="77777777" w:rsidR="00AD1DE5" w:rsidRDefault="00AD1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3336" w14:textId="77777777" w:rsidR="00873715" w:rsidRDefault="00AD1DE5">
    <w:pPr>
      <w:pStyle w:val="a9"/>
      <w:rPr>
        <w:rFonts w:ascii="Times New Roman" w:hAnsi="Times New Roman" w:cs="Times New Roman"/>
      </w:rPr>
    </w:pPr>
    <w:r>
      <w:rPr>
        <w:rFonts w:ascii="Times New Roman" w:hAnsi="Times New Roman" w:cs="Times New Roman" w:hint="eastAsia"/>
      </w:rPr>
      <w:t>证券代码：</w:t>
    </w:r>
    <w:proofErr w:type="gramStart"/>
    <w:r>
      <w:rPr>
        <w:rFonts w:ascii="Times New Roman" w:hAnsi="Times New Roman" w:cs="Times New Roman"/>
      </w:rPr>
      <w:t xml:space="preserve">603501                                                         </w:t>
    </w:r>
    <w:r>
      <w:rPr>
        <w:rFonts w:ascii="Times New Roman" w:hAnsi="Times New Roman" w:cs="Times New Roman" w:hint="eastAsia"/>
      </w:rPr>
      <w:t>证券</w:t>
    </w:r>
    <w:proofErr w:type="gramEnd"/>
    <w:r>
      <w:rPr>
        <w:rFonts w:ascii="Times New Roman" w:hAnsi="Times New Roman" w:cs="Times New Roman" w:hint="eastAsia"/>
      </w:rPr>
      <w:t>简称：豪威集团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E7"/>
    <w:rsid w:val="000058E7"/>
    <w:rsid w:val="000075EB"/>
    <w:rsid w:val="000105A0"/>
    <w:rsid w:val="00011174"/>
    <w:rsid w:val="00021D6B"/>
    <w:rsid w:val="0002480B"/>
    <w:rsid w:val="00035562"/>
    <w:rsid w:val="00035BB5"/>
    <w:rsid w:val="00045143"/>
    <w:rsid w:val="0004542B"/>
    <w:rsid w:val="000613FB"/>
    <w:rsid w:val="000642C8"/>
    <w:rsid w:val="00071E86"/>
    <w:rsid w:val="00073241"/>
    <w:rsid w:val="00076E57"/>
    <w:rsid w:val="00096653"/>
    <w:rsid w:val="000A0418"/>
    <w:rsid w:val="000A432F"/>
    <w:rsid w:val="000B239C"/>
    <w:rsid w:val="000B3384"/>
    <w:rsid w:val="000B33DD"/>
    <w:rsid w:val="000B5709"/>
    <w:rsid w:val="000C1B9F"/>
    <w:rsid w:val="000D2C22"/>
    <w:rsid w:val="000D3CE5"/>
    <w:rsid w:val="000E0B9E"/>
    <w:rsid w:val="000E34C9"/>
    <w:rsid w:val="000E4FCA"/>
    <w:rsid w:val="00101497"/>
    <w:rsid w:val="0010590F"/>
    <w:rsid w:val="00107B16"/>
    <w:rsid w:val="00117D22"/>
    <w:rsid w:val="001254AE"/>
    <w:rsid w:val="00131409"/>
    <w:rsid w:val="001379FE"/>
    <w:rsid w:val="001501CE"/>
    <w:rsid w:val="00153473"/>
    <w:rsid w:val="00153502"/>
    <w:rsid w:val="00155E22"/>
    <w:rsid w:val="00156F3E"/>
    <w:rsid w:val="001623E4"/>
    <w:rsid w:val="00163FC9"/>
    <w:rsid w:val="0017647A"/>
    <w:rsid w:val="00184D8F"/>
    <w:rsid w:val="00187131"/>
    <w:rsid w:val="00190D3F"/>
    <w:rsid w:val="00195055"/>
    <w:rsid w:val="001A3BB3"/>
    <w:rsid w:val="001A5054"/>
    <w:rsid w:val="001B2B9D"/>
    <w:rsid w:val="001B7932"/>
    <w:rsid w:val="001D0FC1"/>
    <w:rsid w:val="001D10CD"/>
    <w:rsid w:val="001D3F56"/>
    <w:rsid w:val="001F0DA3"/>
    <w:rsid w:val="001F1CB4"/>
    <w:rsid w:val="001F2671"/>
    <w:rsid w:val="001F26F1"/>
    <w:rsid w:val="001F325B"/>
    <w:rsid w:val="001F58AB"/>
    <w:rsid w:val="001F79D7"/>
    <w:rsid w:val="0021236C"/>
    <w:rsid w:val="00216C22"/>
    <w:rsid w:val="00216E74"/>
    <w:rsid w:val="002173E8"/>
    <w:rsid w:val="00223434"/>
    <w:rsid w:val="002266F7"/>
    <w:rsid w:val="002274C8"/>
    <w:rsid w:val="00244246"/>
    <w:rsid w:val="00254E0F"/>
    <w:rsid w:val="002570AA"/>
    <w:rsid w:val="0027492E"/>
    <w:rsid w:val="00286720"/>
    <w:rsid w:val="00297D27"/>
    <w:rsid w:val="002A1560"/>
    <w:rsid w:val="002A7F71"/>
    <w:rsid w:val="002B24F1"/>
    <w:rsid w:val="002C0BF1"/>
    <w:rsid w:val="002D3D04"/>
    <w:rsid w:val="002F2538"/>
    <w:rsid w:val="002F79BE"/>
    <w:rsid w:val="00300357"/>
    <w:rsid w:val="0031031F"/>
    <w:rsid w:val="003133E4"/>
    <w:rsid w:val="0032205B"/>
    <w:rsid w:val="0032324C"/>
    <w:rsid w:val="00323323"/>
    <w:rsid w:val="0032409E"/>
    <w:rsid w:val="00326117"/>
    <w:rsid w:val="0033250B"/>
    <w:rsid w:val="00332AFC"/>
    <w:rsid w:val="00333C5E"/>
    <w:rsid w:val="00335580"/>
    <w:rsid w:val="00337E1A"/>
    <w:rsid w:val="003446E7"/>
    <w:rsid w:val="0035284D"/>
    <w:rsid w:val="00361E35"/>
    <w:rsid w:val="003642FE"/>
    <w:rsid w:val="003701CB"/>
    <w:rsid w:val="003702E6"/>
    <w:rsid w:val="00384C4C"/>
    <w:rsid w:val="0038792A"/>
    <w:rsid w:val="00392BFD"/>
    <w:rsid w:val="003A1A90"/>
    <w:rsid w:val="003A3959"/>
    <w:rsid w:val="003C072A"/>
    <w:rsid w:val="003C42E9"/>
    <w:rsid w:val="003E0E01"/>
    <w:rsid w:val="003E11D2"/>
    <w:rsid w:val="003E5387"/>
    <w:rsid w:val="00401FBD"/>
    <w:rsid w:val="004079C6"/>
    <w:rsid w:val="00407ED6"/>
    <w:rsid w:val="00414949"/>
    <w:rsid w:val="00420E28"/>
    <w:rsid w:val="0042191E"/>
    <w:rsid w:val="00425887"/>
    <w:rsid w:val="004435C4"/>
    <w:rsid w:val="00445596"/>
    <w:rsid w:val="0046210C"/>
    <w:rsid w:val="00465ED1"/>
    <w:rsid w:val="00471D90"/>
    <w:rsid w:val="00474279"/>
    <w:rsid w:val="00481A4D"/>
    <w:rsid w:val="00487D25"/>
    <w:rsid w:val="00493E1F"/>
    <w:rsid w:val="0049519B"/>
    <w:rsid w:val="004966CE"/>
    <w:rsid w:val="004A1D5D"/>
    <w:rsid w:val="004A2F40"/>
    <w:rsid w:val="004A39D9"/>
    <w:rsid w:val="004A5D68"/>
    <w:rsid w:val="004B22AF"/>
    <w:rsid w:val="004B6FBB"/>
    <w:rsid w:val="004C34FF"/>
    <w:rsid w:val="004D0852"/>
    <w:rsid w:val="004D3C17"/>
    <w:rsid w:val="004D574C"/>
    <w:rsid w:val="004D61C2"/>
    <w:rsid w:val="004E0A9F"/>
    <w:rsid w:val="004E2779"/>
    <w:rsid w:val="004E4151"/>
    <w:rsid w:val="004E5163"/>
    <w:rsid w:val="004E79AF"/>
    <w:rsid w:val="004F2774"/>
    <w:rsid w:val="00504A01"/>
    <w:rsid w:val="00505E07"/>
    <w:rsid w:val="00506EBD"/>
    <w:rsid w:val="0050761C"/>
    <w:rsid w:val="005119CD"/>
    <w:rsid w:val="00523257"/>
    <w:rsid w:val="00523D0D"/>
    <w:rsid w:val="005335B1"/>
    <w:rsid w:val="00534CC0"/>
    <w:rsid w:val="00535886"/>
    <w:rsid w:val="0053714D"/>
    <w:rsid w:val="005717AB"/>
    <w:rsid w:val="005753B1"/>
    <w:rsid w:val="005801F8"/>
    <w:rsid w:val="00582DEA"/>
    <w:rsid w:val="00592F32"/>
    <w:rsid w:val="00594F75"/>
    <w:rsid w:val="005A0E51"/>
    <w:rsid w:val="005A6E20"/>
    <w:rsid w:val="005B064A"/>
    <w:rsid w:val="005B147D"/>
    <w:rsid w:val="005C10E9"/>
    <w:rsid w:val="005C233C"/>
    <w:rsid w:val="005C3C64"/>
    <w:rsid w:val="005F2E36"/>
    <w:rsid w:val="005F36EA"/>
    <w:rsid w:val="005F44A7"/>
    <w:rsid w:val="005F5EB1"/>
    <w:rsid w:val="005F72B1"/>
    <w:rsid w:val="00602184"/>
    <w:rsid w:val="00602C90"/>
    <w:rsid w:val="00611924"/>
    <w:rsid w:val="00614D2B"/>
    <w:rsid w:val="006233FA"/>
    <w:rsid w:val="006241D6"/>
    <w:rsid w:val="006248AF"/>
    <w:rsid w:val="00630133"/>
    <w:rsid w:val="006316E5"/>
    <w:rsid w:val="0064059C"/>
    <w:rsid w:val="00640D80"/>
    <w:rsid w:val="00642E3A"/>
    <w:rsid w:val="00652F9B"/>
    <w:rsid w:val="0065434F"/>
    <w:rsid w:val="0065581B"/>
    <w:rsid w:val="0066522E"/>
    <w:rsid w:val="00666DD9"/>
    <w:rsid w:val="00672673"/>
    <w:rsid w:val="0067327F"/>
    <w:rsid w:val="00681CB4"/>
    <w:rsid w:val="00692072"/>
    <w:rsid w:val="00693942"/>
    <w:rsid w:val="006947D3"/>
    <w:rsid w:val="00695DB5"/>
    <w:rsid w:val="006970D8"/>
    <w:rsid w:val="006A0444"/>
    <w:rsid w:val="006B26C6"/>
    <w:rsid w:val="006C1895"/>
    <w:rsid w:val="006C4581"/>
    <w:rsid w:val="006C4E62"/>
    <w:rsid w:val="006C7CB1"/>
    <w:rsid w:val="006D13E4"/>
    <w:rsid w:val="006E18B0"/>
    <w:rsid w:val="00703A03"/>
    <w:rsid w:val="007175ED"/>
    <w:rsid w:val="0071780A"/>
    <w:rsid w:val="007235DF"/>
    <w:rsid w:val="00727D77"/>
    <w:rsid w:val="00735372"/>
    <w:rsid w:val="00746E08"/>
    <w:rsid w:val="00752C95"/>
    <w:rsid w:val="0077623D"/>
    <w:rsid w:val="00776A81"/>
    <w:rsid w:val="007831AF"/>
    <w:rsid w:val="00786D31"/>
    <w:rsid w:val="007A6755"/>
    <w:rsid w:val="007B30CB"/>
    <w:rsid w:val="007B6389"/>
    <w:rsid w:val="007C1561"/>
    <w:rsid w:val="007C7E0E"/>
    <w:rsid w:val="007D2053"/>
    <w:rsid w:val="007D7F33"/>
    <w:rsid w:val="007E3C2A"/>
    <w:rsid w:val="007E7184"/>
    <w:rsid w:val="007E73BE"/>
    <w:rsid w:val="007F2653"/>
    <w:rsid w:val="0080343B"/>
    <w:rsid w:val="00803803"/>
    <w:rsid w:val="00804838"/>
    <w:rsid w:val="00813637"/>
    <w:rsid w:val="0081510E"/>
    <w:rsid w:val="008223D6"/>
    <w:rsid w:val="00823DDE"/>
    <w:rsid w:val="008272A4"/>
    <w:rsid w:val="00831AF2"/>
    <w:rsid w:val="00840597"/>
    <w:rsid w:val="00846D9F"/>
    <w:rsid w:val="00852D03"/>
    <w:rsid w:val="008617B4"/>
    <w:rsid w:val="00867B2D"/>
    <w:rsid w:val="00871A65"/>
    <w:rsid w:val="00871F03"/>
    <w:rsid w:val="00873715"/>
    <w:rsid w:val="0087492E"/>
    <w:rsid w:val="00875294"/>
    <w:rsid w:val="008766C2"/>
    <w:rsid w:val="008817D6"/>
    <w:rsid w:val="00883532"/>
    <w:rsid w:val="008942F2"/>
    <w:rsid w:val="00896FEF"/>
    <w:rsid w:val="0089746C"/>
    <w:rsid w:val="008977AC"/>
    <w:rsid w:val="008B6681"/>
    <w:rsid w:val="008D0313"/>
    <w:rsid w:val="008D7281"/>
    <w:rsid w:val="008E3E94"/>
    <w:rsid w:val="008E76B0"/>
    <w:rsid w:val="008E7B7C"/>
    <w:rsid w:val="008F44C2"/>
    <w:rsid w:val="00900074"/>
    <w:rsid w:val="009013C6"/>
    <w:rsid w:val="00904D7E"/>
    <w:rsid w:val="009116B1"/>
    <w:rsid w:val="00923FE1"/>
    <w:rsid w:val="00945192"/>
    <w:rsid w:val="0094557A"/>
    <w:rsid w:val="00950263"/>
    <w:rsid w:val="00962378"/>
    <w:rsid w:val="00964FCC"/>
    <w:rsid w:val="00976313"/>
    <w:rsid w:val="0097725B"/>
    <w:rsid w:val="00980B07"/>
    <w:rsid w:val="009829A0"/>
    <w:rsid w:val="00982E64"/>
    <w:rsid w:val="00997EE6"/>
    <w:rsid w:val="009A13CE"/>
    <w:rsid w:val="009A7CCB"/>
    <w:rsid w:val="009B0AE2"/>
    <w:rsid w:val="009B0CF1"/>
    <w:rsid w:val="009B1BB5"/>
    <w:rsid w:val="009B618B"/>
    <w:rsid w:val="009D1239"/>
    <w:rsid w:val="009D4FF0"/>
    <w:rsid w:val="009D574A"/>
    <w:rsid w:val="009D7CCD"/>
    <w:rsid w:val="009E269B"/>
    <w:rsid w:val="009E2D1F"/>
    <w:rsid w:val="009F3A87"/>
    <w:rsid w:val="00A00256"/>
    <w:rsid w:val="00A02B90"/>
    <w:rsid w:val="00A065C5"/>
    <w:rsid w:val="00A07E1B"/>
    <w:rsid w:val="00A16C23"/>
    <w:rsid w:val="00A20869"/>
    <w:rsid w:val="00A23D0E"/>
    <w:rsid w:val="00A258E0"/>
    <w:rsid w:val="00A263B4"/>
    <w:rsid w:val="00A316BA"/>
    <w:rsid w:val="00A35509"/>
    <w:rsid w:val="00A41C8A"/>
    <w:rsid w:val="00A73097"/>
    <w:rsid w:val="00A809F3"/>
    <w:rsid w:val="00A82189"/>
    <w:rsid w:val="00A82E22"/>
    <w:rsid w:val="00A832A0"/>
    <w:rsid w:val="00AA0D2A"/>
    <w:rsid w:val="00AA43FA"/>
    <w:rsid w:val="00AA4B5D"/>
    <w:rsid w:val="00AA5EAE"/>
    <w:rsid w:val="00AB1B11"/>
    <w:rsid w:val="00AB2263"/>
    <w:rsid w:val="00AC0CEF"/>
    <w:rsid w:val="00AD0A7E"/>
    <w:rsid w:val="00AD0CEE"/>
    <w:rsid w:val="00AD1DE5"/>
    <w:rsid w:val="00AD70A9"/>
    <w:rsid w:val="00AE522F"/>
    <w:rsid w:val="00AE75B6"/>
    <w:rsid w:val="00AE77B5"/>
    <w:rsid w:val="00AE7E57"/>
    <w:rsid w:val="00AF296E"/>
    <w:rsid w:val="00B019EB"/>
    <w:rsid w:val="00B02CC1"/>
    <w:rsid w:val="00B0377D"/>
    <w:rsid w:val="00B06340"/>
    <w:rsid w:val="00B11DE4"/>
    <w:rsid w:val="00B20A3E"/>
    <w:rsid w:val="00B26A70"/>
    <w:rsid w:val="00B27D7A"/>
    <w:rsid w:val="00B40D20"/>
    <w:rsid w:val="00B4441A"/>
    <w:rsid w:val="00B52FEF"/>
    <w:rsid w:val="00B54121"/>
    <w:rsid w:val="00B62F6B"/>
    <w:rsid w:val="00B653AA"/>
    <w:rsid w:val="00B74A0E"/>
    <w:rsid w:val="00BA0249"/>
    <w:rsid w:val="00BA50BD"/>
    <w:rsid w:val="00BA5655"/>
    <w:rsid w:val="00BB2444"/>
    <w:rsid w:val="00BB2ADD"/>
    <w:rsid w:val="00BC1320"/>
    <w:rsid w:val="00BD092B"/>
    <w:rsid w:val="00BD16E7"/>
    <w:rsid w:val="00BE0647"/>
    <w:rsid w:val="00BE69C3"/>
    <w:rsid w:val="00BF500C"/>
    <w:rsid w:val="00BF58C7"/>
    <w:rsid w:val="00BF6B06"/>
    <w:rsid w:val="00BF7640"/>
    <w:rsid w:val="00C00E73"/>
    <w:rsid w:val="00C07A62"/>
    <w:rsid w:val="00C113A8"/>
    <w:rsid w:val="00C20A30"/>
    <w:rsid w:val="00C26227"/>
    <w:rsid w:val="00C30E00"/>
    <w:rsid w:val="00C32D3C"/>
    <w:rsid w:val="00C33C91"/>
    <w:rsid w:val="00C402AF"/>
    <w:rsid w:val="00C52357"/>
    <w:rsid w:val="00C645D9"/>
    <w:rsid w:val="00C74D5D"/>
    <w:rsid w:val="00C80DC8"/>
    <w:rsid w:val="00C96FDF"/>
    <w:rsid w:val="00CA66F7"/>
    <w:rsid w:val="00CB2636"/>
    <w:rsid w:val="00CB52F3"/>
    <w:rsid w:val="00CB6025"/>
    <w:rsid w:val="00CC1092"/>
    <w:rsid w:val="00CD49AF"/>
    <w:rsid w:val="00CE2DC6"/>
    <w:rsid w:val="00CF06D8"/>
    <w:rsid w:val="00D004D0"/>
    <w:rsid w:val="00D03393"/>
    <w:rsid w:val="00D04422"/>
    <w:rsid w:val="00D07D67"/>
    <w:rsid w:val="00D118A4"/>
    <w:rsid w:val="00D121BC"/>
    <w:rsid w:val="00D24E69"/>
    <w:rsid w:val="00D253DE"/>
    <w:rsid w:val="00D30297"/>
    <w:rsid w:val="00D35CFC"/>
    <w:rsid w:val="00D414AD"/>
    <w:rsid w:val="00D43F25"/>
    <w:rsid w:val="00D46A23"/>
    <w:rsid w:val="00D47118"/>
    <w:rsid w:val="00D51CBF"/>
    <w:rsid w:val="00D560DD"/>
    <w:rsid w:val="00D5685F"/>
    <w:rsid w:val="00D5724B"/>
    <w:rsid w:val="00D57D6D"/>
    <w:rsid w:val="00D75BB5"/>
    <w:rsid w:val="00D80097"/>
    <w:rsid w:val="00D83D61"/>
    <w:rsid w:val="00D84F02"/>
    <w:rsid w:val="00D87A98"/>
    <w:rsid w:val="00D90141"/>
    <w:rsid w:val="00DA0DB3"/>
    <w:rsid w:val="00DA781F"/>
    <w:rsid w:val="00DC0288"/>
    <w:rsid w:val="00DC313F"/>
    <w:rsid w:val="00DC5852"/>
    <w:rsid w:val="00DC5A2E"/>
    <w:rsid w:val="00DD3F39"/>
    <w:rsid w:val="00DE462E"/>
    <w:rsid w:val="00E203AF"/>
    <w:rsid w:val="00E23B3C"/>
    <w:rsid w:val="00E23B46"/>
    <w:rsid w:val="00E40D87"/>
    <w:rsid w:val="00E45935"/>
    <w:rsid w:val="00E460FA"/>
    <w:rsid w:val="00E51A7F"/>
    <w:rsid w:val="00E53A38"/>
    <w:rsid w:val="00E57F78"/>
    <w:rsid w:val="00E61FBD"/>
    <w:rsid w:val="00E65B1D"/>
    <w:rsid w:val="00E71D8D"/>
    <w:rsid w:val="00E75C12"/>
    <w:rsid w:val="00E76A8A"/>
    <w:rsid w:val="00E77A81"/>
    <w:rsid w:val="00E8778C"/>
    <w:rsid w:val="00E90769"/>
    <w:rsid w:val="00E9239C"/>
    <w:rsid w:val="00E961F6"/>
    <w:rsid w:val="00E978F9"/>
    <w:rsid w:val="00EA465C"/>
    <w:rsid w:val="00EA752F"/>
    <w:rsid w:val="00EB122C"/>
    <w:rsid w:val="00ED259D"/>
    <w:rsid w:val="00F031D4"/>
    <w:rsid w:val="00F05ABE"/>
    <w:rsid w:val="00F10C86"/>
    <w:rsid w:val="00F152B2"/>
    <w:rsid w:val="00F16D3A"/>
    <w:rsid w:val="00F25B06"/>
    <w:rsid w:val="00F337FD"/>
    <w:rsid w:val="00F36FAE"/>
    <w:rsid w:val="00F40B51"/>
    <w:rsid w:val="00F44360"/>
    <w:rsid w:val="00F63187"/>
    <w:rsid w:val="00F64279"/>
    <w:rsid w:val="00F65243"/>
    <w:rsid w:val="00F76795"/>
    <w:rsid w:val="00F8761E"/>
    <w:rsid w:val="00F87EA7"/>
    <w:rsid w:val="00FB0C79"/>
    <w:rsid w:val="00FB2AAE"/>
    <w:rsid w:val="00FC1AB8"/>
    <w:rsid w:val="00FC6FF2"/>
    <w:rsid w:val="00FE35D1"/>
    <w:rsid w:val="00FE3D4F"/>
    <w:rsid w:val="0725A9C2"/>
    <w:rsid w:val="0DDCB4D5"/>
    <w:rsid w:val="0F7E297E"/>
    <w:rsid w:val="1F7F8CBE"/>
    <w:rsid w:val="20E776A8"/>
    <w:rsid w:val="23E792FD"/>
    <w:rsid w:val="26FB74A1"/>
    <w:rsid w:val="293F1501"/>
    <w:rsid w:val="2FE72DC2"/>
    <w:rsid w:val="31D3A984"/>
    <w:rsid w:val="335F1775"/>
    <w:rsid w:val="35DD4B4F"/>
    <w:rsid w:val="35F9EE97"/>
    <w:rsid w:val="37DFD0EF"/>
    <w:rsid w:val="3BBF30B6"/>
    <w:rsid w:val="3BEF0DBA"/>
    <w:rsid w:val="3BFBF446"/>
    <w:rsid w:val="3C93DE9D"/>
    <w:rsid w:val="3D677C66"/>
    <w:rsid w:val="3F79C8BA"/>
    <w:rsid w:val="3FA75D01"/>
    <w:rsid w:val="3FEDEDB1"/>
    <w:rsid w:val="3FEFDF8B"/>
    <w:rsid w:val="3FF7E07C"/>
    <w:rsid w:val="3FFBAB6B"/>
    <w:rsid w:val="3FFFB99D"/>
    <w:rsid w:val="475BC369"/>
    <w:rsid w:val="47EDBDBB"/>
    <w:rsid w:val="47FDBCAE"/>
    <w:rsid w:val="4FBF0EDB"/>
    <w:rsid w:val="4FC6265F"/>
    <w:rsid w:val="4FDB0868"/>
    <w:rsid w:val="4FF663B6"/>
    <w:rsid w:val="52FC8F04"/>
    <w:rsid w:val="56B2BF54"/>
    <w:rsid w:val="57C332E7"/>
    <w:rsid w:val="5AEF593B"/>
    <w:rsid w:val="5BFB07F8"/>
    <w:rsid w:val="5CE7E129"/>
    <w:rsid w:val="5DFFF238"/>
    <w:rsid w:val="5E4D6B3C"/>
    <w:rsid w:val="5FCF0CEE"/>
    <w:rsid w:val="5FEBCD87"/>
    <w:rsid w:val="5FF9AB67"/>
    <w:rsid w:val="5FFBC39B"/>
    <w:rsid w:val="5FFF58F0"/>
    <w:rsid w:val="63FB4635"/>
    <w:rsid w:val="67BDC96D"/>
    <w:rsid w:val="6FAE34DE"/>
    <w:rsid w:val="6FF9F5FB"/>
    <w:rsid w:val="73D77F1D"/>
    <w:rsid w:val="73DA2E9D"/>
    <w:rsid w:val="73E33132"/>
    <w:rsid w:val="75EFD775"/>
    <w:rsid w:val="77BC54AD"/>
    <w:rsid w:val="77CB560B"/>
    <w:rsid w:val="78B645DF"/>
    <w:rsid w:val="7927BBFA"/>
    <w:rsid w:val="793F08A2"/>
    <w:rsid w:val="79BF7CFB"/>
    <w:rsid w:val="79BF9AF0"/>
    <w:rsid w:val="7A203A50"/>
    <w:rsid w:val="7DAE2F0D"/>
    <w:rsid w:val="7E7F1914"/>
    <w:rsid w:val="7EE6470C"/>
    <w:rsid w:val="7F2DF94A"/>
    <w:rsid w:val="7F658BA9"/>
    <w:rsid w:val="7FC71DDF"/>
    <w:rsid w:val="7FEFF3CE"/>
    <w:rsid w:val="7FFB8572"/>
    <w:rsid w:val="7FFFC03A"/>
    <w:rsid w:val="97D60B8A"/>
    <w:rsid w:val="9BD7F4A1"/>
    <w:rsid w:val="9BFC87B1"/>
    <w:rsid w:val="9DAF0DCF"/>
    <w:rsid w:val="9EF7B332"/>
    <w:rsid w:val="ADF6CC83"/>
    <w:rsid w:val="AF6B357D"/>
    <w:rsid w:val="B4B3EB2C"/>
    <w:rsid w:val="B67E4757"/>
    <w:rsid w:val="B67F14B9"/>
    <w:rsid w:val="BB75829B"/>
    <w:rsid w:val="BBDCD786"/>
    <w:rsid w:val="BBEB7165"/>
    <w:rsid w:val="BBF78B27"/>
    <w:rsid w:val="BCEEA468"/>
    <w:rsid w:val="BDDD87CD"/>
    <w:rsid w:val="BEFBA3A9"/>
    <w:rsid w:val="BEFC2EBE"/>
    <w:rsid w:val="BF79FBD9"/>
    <w:rsid w:val="BF7F06E9"/>
    <w:rsid w:val="BFF87B8A"/>
    <w:rsid w:val="C31B14CD"/>
    <w:rsid w:val="C6FB3D23"/>
    <w:rsid w:val="C9FA6F4A"/>
    <w:rsid w:val="CB3D730D"/>
    <w:rsid w:val="CF77EA27"/>
    <w:rsid w:val="D0AFBA4E"/>
    <w:rsid w:val="D1ED2CFA"/>
    <w:rsid w:val="D3EF46A4"/>
    <w:rsid w:val="D6FD01C7"/>
    <w:rsid w:val="D7F7A0F7"/>
    <w:rsid w:val="DABBA363"/>
    <w:rsid w:val="DACB9EED"/>
    <w:rsid w:val="DBEC72CB"/>
    <w:rsid w:val="DBF7C3B2"/>
    <w:rsid w:val="DBF95A6D"/>
    <w:rsid w:val="DDEF998F"/>
    <w:rsid w:val="DDF61F6B"/>
    <w:rsid w:val="DDFF76A7"/>
    <w:rsid w:val="DFFD336B"/>
    <w:rsid w:val="E278F7E9"/>
    <w:rsid w:val="E55F8F8E"/>
    <w:rsid w:val="E7FE77A7"/>
    <w:rsid w:val="E8FA15D5"/>
    <w:rsid w:val="E9DBD198"/>
    <w:rsid w:val="EBFDEE50"/>
    <w:rsid w:val="EBFFAA32"/>
    <w:rsid w:val="EDFB05E4"/>
    <w:rsid w:val="EEDED2A5"/>
    <w:rsid w:val="EF7FB08C"/>
    <w:rsid w:val="EFBC5F0A"/>
    <w:rsid w:val="EFD68BCA"/>
    <w:rsid w:val="F24E97CB"/>
    <w:rsid w:val="F4D9B67B"/>
    <w:rsid w:val="F79D0612"/>
    <w:rsid w:val="F7A99FE5"/>
    <w:rsid w:val="F7BDA372"/>
    <w:rsid w:val="F7F60B91"/>
    <w:rsid w:val="F7FD67D1"/>
    <w:rsid w:val="F8FAFFE2"/>
    <w:rsid w:val="F95FA4AE"/>
    <w:rsid w:val="F9FFE52C"/>
    <w:rsid w:val="FA5F1C6B"/>
    <w:rsid w:val="FABFC7BB"/>
    <w:rsid w:val="FADC1193"/>
    <w:rsid w:val="FB776FF0"/>
    <w:rsid w:val="FBDF43C9"/>
    <w:rsid w:val="FBF11C06"/>
    <w:rsid w:val="FBF74829"/>
    <w:rsid w:val="FD67E475"/>
    <w:rsid w:val="FDAFC576"/>
    <w:rsid w:val="FDC6F996"/>
    <w:rsid w:val="FDFF6A92"/>
    <w:rsid w:val="FE57D0F2"/>
    <w:rsid w:val="FED429C6"/>
    <w:rsid w:val="FF6BFE66"/>
    <w:rsid w:val="FF7A5A71"/>
    <w:rsid w:val="FFB360AF"/>
    <w:rsid w:val="FFB567B4"/>
    <w:rsid w:val="FFCF1985"/>
    <w:rsid w:val="FFDE0F71"/>
    <w:rsid w:val="FFE5F9A9"/>
    <w:rsid w:val="FFFB5A89"/>
    <w:rsid w:val="FFFD48E5"/>
    <w:rsid w:val="FFFFC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8EAC"/>
  <w15:docId w15:val="{013A2D0F-B0E0-4A8A-B2FF-275FB2D2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widowControl/>
      <w:spacing w:beforeLines="150" w:before="150" w:afterLines="50" w:after="50"/>
      <w:outlineLvl w:val="0"/>
    </w:pPr>
    <w:rPr>
      <w:rFonts w:ascii="Arial" w:eastAsia="楷体_GB2312" w:hAnsi="Arial" w:cs="Times New Roman"/>
      <w:b/>
      <w:bCs/>
      <w:color w:val="FF0000"/>
      <w:kern w:val="36"/>
      <w:szCs w:val="4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rPr>
      <w:b/>
      <w:bCs/>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Emphasis"/>
    <w:basedOn w:val="a0"/>
    <w:uiPriority w:val="20"/>
    <w:qFormat/>
    <w:rPr>
      <w:i/>
    </w:rPr>
  </w:style>
  <w:style w:type="character" w:styleId="af1">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f2">
    <w:name w:val="List Paragraph"/>
    <w:basedOn w:val="a"/>
    <w:uiPriority w:val="34"/>
    <w:qFormat/>
    <w:pPr>
      <w:ind w:firstLineChars="200" w:firstLine="420"/>
    </w:pPr>
  </w:style>
  <w:style w:type="character" w:customStyle="1" w:styleId="a6">
    <w:name w:val="批注框文本 字符"/>
    <w:basedOn w:val="a0"/>
    <w:link w:val="a5"/>
    <w:uiPriority w:val="99"/>
    <w:semiHidden/>
    <w:rPr>
      <w:sz w:val="18"/>
      <w:szCs w:val="18"/>
    </w:rPr>
  </w:style>
  <w:style w:type="character" w:customStyle="1" w:styleId="10">
    <w:name w:val="标题 1 字符"/>
    <w:basedOn w:val="a0"/>
    <w:link w:val="1"/>
    <w:rPr>
      <w:rFonts w:ascii="Arial" w:eastAsia="楷体_GB2312" w:hAnsi="Arial" w:cs="Times New Roman"/>
      <w:b/>
      <w:bCs/>
      <w:color w:val="FF0000"/>
      <w:kern w:val="36"/>
      <w:szCs w:val="48"/>
    </w:rPr>
  </w:style>
  <w:style w:type="paragraph" w:customStyle="1" w:styleId="af3">
    <w:name w:val="问题"/>
    <w:basedOn w:val="a"/>
    <w:next w:val="a"/>
    <w:link w:val="af4"/>
    <w:qFormat/>
    <w:pPr>
      <w:widowControl/>
      <w:spacing w:beforeLines="200" w:before="200" w:afterLines="100" w:after="100"/>
      <w:ind w:firstLineChars="200" w:firstLine="200"/>
    </w:pPr>
    <w:rPr>
      <w:rFonts w:ascii="Arial" w:eastAsia="楷体_GB2312" w:hAnsi="Arial" w:cs="Times New Roman"/>
      <w:b/>
      <w:kern w:val="0"/>
      <w:szCs w:val="24"/>
    </w:rPr>
  </w:style>
  <w:style w:type="character" w:customStyle="1" w:styleId="af4">
    <w:name w:val="问题 字符"/>
    <w:link w:val="af3"/>
    <w:rPr>
      <w:rFonts w:ascii="Arial" w:eastAsia="楷体_GB2312" w:hAnsi="Arial" w:cs="Times New Roman"/>
      <w:b/>
      <w:kern w:val="0"/>
      <w:szCs w:val="24"/>
      <w:lang w:val="en-US"/>
    </w:rPr>
  </w:style>
  <w:style w:type="character" w:customStyle="1" w:styleId="30">
    <w:name w:val="标题 3 字符"/>
    <w:basedOn w:val="a0"/>
    <w:link w:val="3"/>
    <w:uiPriority w:val="9"/>
    <w:semiHidden/>
    <w:rPr>
      <w:b/>
      <w:bCs/>
      <w:sz w:val="32"/>
      <w:szCs w:val="32"/>
    </w:rPr>
  </w:style>
  <w:style w:type="character" w:customStyle="1" w:styleId="a4">
    <w:name w:val="批注文字 字符"/>
    <w:basedOn w:val="a0"/>
    <w:link w:val="a3"/>
    <w:uiPriority w:val="99"/>
  </w:style>
  <w:style w:type="character" w:customStyle="1" w:styleId="ad">
    <w:name w:val="批注主题 字符"/>
    <w:basedOn w:val="a4"/>
    <w:link w:val="ac"/>
    <w:uiPriority w:val="99"/>
    <w:semiHidden/>
    <w:rPr>
      <w:b/>
      <w:bCs/>
    </w:rPr>
  </w:style>
  <w:style w:type="paragraph" w:customStyle="1" w:styleId="1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paragraph" w:styleId="af5">
    <w:name w:val="Revision"/>
    <w:hidden/>
    <w:uiPriority w:val="99"/>
    <w:unhideWhenUsed/>
    <w:rsid w:val="00535886"/>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D78ADDE7-8D3F-4EB3-85BB-FE76E0E2E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884</Words>
  <Characters>5039</Characters>
  <Application>Microsoft Office Word</Application>
  <DocSecurity>0</DocSecurity>
  <Lines>41</Lines>
  <Paragraphs>11</Paragraphs>
  <ScaleCrop>false</ScaleCrop>
  <Company>Omnivision</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Jassie Li 李境晗</dc:creator>
  <cp:lastModifiedBy>Shuyang Zhou 周舒扬</cp:lastModifiedBy>
  <cp:revision>8</cp:revision>
  <cp:lastPrinted>2021-07-18T01:56:00Z</cp:lastPrinted>
  <dcterms:created xsi:type="dcterms:W3CDTF">2026-10-30T08:35:00Z</dcterms:created>
  <dcterms:modified xsi:type="dcterms:W3CDTF">2026-10-30T09:53:00Z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31E027EC13C6062084FBE36A144ABAB3_43</vt:lpwstr>
  </property>
</Properties>
</file>