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451" w:rsidRDefault="00CC2732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证券代码：</w:t>
      </w:r>
      <w:r>
        <w:rPr>
          <w:rFonts w:ascii="宋体" w:eastAsia="宋体" w:hAnsi="宋体"/>
        </w:rPr>
        <w:t xml:space="preserve">601311                                             </w:t>
      </w:r>
      <w:r>
        <w:rPr>
          <w:rFonts w:ascii="宋体" w:eastAsia="宋体" w:hAnsi="宋体" w:hint="eastAsia"/>
        </w:rPr>
        <w:t>证券简称：骆驼股份</w:t>
      </w:r>
    </w:p>
    <w:p w:rsidR="007F3451" w:rsidRDefault="00CC2732">
      <w:pPr>
        <w:jc w:val="center"/>
        <w:rPr>
          <w:rFonts w:asciiTheme="minorEastAsia" w:eastAsiaTheme="minorEastAsia" w:hAnsiTheme="minorEastAsia"/>
          <w:b/>
          <w:sz w:val="28"/>
          <w:szCs w:val="32"/>
        </w:rPr>
      </w:pPr>
      <w:r>
        <w:rPr>
          <w:rFonts w:asciiTheme="minorEastAsia" w:eastAsiaTheme="minorEastAsia" w:hAnsiTheme="minorEastAsia" w:hint="eastAsia"/>
          <w:b/>
          <w:sz w:val="28"/>
          <w:szCs w:val="32"/>
        </w:rPr>
        <w:t>骆驼集团</w:t>
      </w:r>
      <w:r>
        <w:rPr>
          <w:rFonts w:asciiTheme="minorEastAsia" w:eastAsiaTheme="minorEastAsia" w:hAnsiTheme="minorEastAsia"/>
          <w:b/>
          <w:sz w:val="28"/>
          <w:szCs w:val="32"/>
        </w:rPr>
        <w:t>股份有限公司</w:t>
      </w:r>
    </w:p>
    <w:p w:rsidR="007F3451" w:rsidRDefault="00CC2732">
      <w:pPr>
        <w:jc w:val="center"/>
        <w:rPr>
          <w:rFonts w:asciiTheme="minorEastAsia" w:eastAsiaTheme="minorEastAsia" w:hAnsiTheme="minorEastAsia"/>
          <w:b/>
          <w:sz w:val="28"/>
          <w:szCs w:val="32"/>
        </w:rPr>
      </w:pPr>
      <w:r>
        <w:rPr>
          <w:rFonts w:asciiTheme="minorEastAsia" w:eastAsiaTheme="minorEastAsia" w:hAnsiTheme="minorEastAsia" w:hint="eastAsia"/>
          <w:b/>
          <w:sz w:val="28"/>
          <w:szCs w:val="32"/>
        </w:rPr>
        <w:t>投资者调研沟通活动纪要（</w:t>
      </w:r>
      <w:r w:rsidR="00637D3D">
        <w:rPr>
          <w:rFonts w:asciiTheme="minorEastAsia" w:eastAsiaTheme="minorEastAsia" w:hAnsiTheme="minorEastAsia" w:hint="eastAsia"/>
          <w:b/>
          <w:sz w:val="28"/>
          <w:szCs w:val="32"/>
        </w:rPr>
        <w:t>2</w:t>
      </w:r>
      <w:r w:rsidR="00637D3D">
        <w:rPr>
          <w:rFonts w:asciiTheme="minorEastAsia" w:eastAsiaTheme="minorEastAsia" w:hAnsiTheme="minorEastAsia"/>
          <w:b/>
          <w:sz w:val="28"/>
          <w:szCs w:val="32"/>
        </w:rPr>
        <w:t>02</w:t>
      </w:r>
      <w:r w:rsidR="002D499C">
        <w:rPr>
          <w:rFonts w:asciiTheme="minorEastAsia" w:eastAsiaTheme="minorEastAsia" w:hAnsiTheme="minorEastAsia"/>
          <w:b/>
          <w:sz w:val="28"/>
          <w:szCs w:val="32"/>
        </w:rPr>
        <w:t>6</w:t>
      </w:r>
      <w:r w:rsidR="00637D3D">
        <w:rPr>
          <w:rFonts w:asciiTheme="minorEastAsia" w:eastAsiaTheme="minorEastAsia" w:hAnsiTheme="minorEastAsia" w:hint="eastAsia"/>
          <w:b/>
          <w:sz w:val="28"/>
          <w:szCs w:val="32"/>
        </w:rPr>
        <w:t>年</w:t>
      </w:r>
      <w:r w:rsidR="004E7C0F">
        <w:rPr>
          <w:rFonts w:asciiTheme="minorEastAsia" w:eastAsiaTheme="minorEastAsia" w:hAnsiTheme="minorEastAsia"/>
          <w:b/>
          <w:sz w:val="28"/>
          <w:szCs w:val="32"/>
        </w:rPr>
        <w:t>9</w:t>
      </w:r>
      <w:r w:rsidR="00EA33A4">
        <w:rPr>
          <w:rFonts w:asciiTheme="minorEastAsia" w:eastAsiaTheme="minorEastAsia" w:hAnsiTheme="minorEastAsia"/>
          <w:b/>
          <w:sz w:val="28"/>
          <w:szCs w:val="32"/>
        </w:rPr>
        <w:t>-</w:t>
      </w:r>
      <w:r w:rsidR="004E7C0F">
        <w:rPr>
          <w:rFonts w:asciiTheme="minorEastAsia" w:eastAsiaTheme="minorEastAsia" w:hAnsiTheme="minorEastAsia"/>
          <w:b/>
          <w:sz w:val="28"/>
          <w:szCs w:val="32"/>
        </w:rPr>
        <w:t>10</w:t>
      </w:r>
      <w:r w:rsidR="005225A5">
        <w:rPr>
          <w:rFonts w:asciiTheme="minorEastAsia" w:eastAsiaTheme="minorEastAsia" w:hAnsiTheme="minorEastAsia"/>
          <w:b/>
          <w:sz w:val="28"/>
          <w:szCs w:val="32"/>
        </w:rPr>
        <w:t>月</w:t>
      </w:r>
      <w:r>
        <w:rPr>
          <w:rFonts w:asciiTheme="minorEastAsia" w:eastAsiaTheme="minorEastAsia" w:hAnsiTheme="minorEastAsia" w:hint="eastAsia"/>
          <w:b/>
          <w:sz w:val="28"/>
          <w:szCs w:val="32"/>
        </w:rPr>
        <w:t>）</w:t>
      </w:r>
    </w:p>
    <w:tbl>
      <w:tblPr>
        <w:tblW w:w="52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6800"/>
      </w:tblGrid>
      <w:tr w:rsidR="007F3451" w:rsidTr="00DB36EB">
        <w:trPr>
          <w:jc w:val="center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  <w:t>活动类型</w:t>
            </w:r>
          </w:p>
        </w:tc>
        <w:tc>
          <w:tcPr>
            <w:tcW w:w="3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widowControl/>
              <w:spacing w:line="360" w:lineRule="auto"/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sym w:font="Wingdings 2" w:char="0052"/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特定对象调研 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sym w:font="Wingdings 2" w:char="0052"/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>分析师/投资者会议</w:t>
            </w:r>
          </w:p>
          <w:p w:rsidR="007F3451" w:rsidRDefault="00CC2732">
            <w:pPr>
              <w:widowControl/>
              <w:spacing w:line="360" w:lineRule="auto"/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</w:pPr>
            <w:bookmarkStart w:id="0" w:name="OLE_LINK1"/>
            <w:bookmarkStart w:id="1" w:name="OLE_LINK2"/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>□</w:t>
            </w:r>
            <w:bookmarkEnd w:id="0"/>
            <w:bookmarkEnd w:id="1"/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 媒体采访 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  <w:t xml:space="preserve">        </w:t>
            </w:r>
            <w:r w:rsidR="00C931CD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sym w:font="Wingdings 2" w:char="0052"/>
            </w:r>
            <w:bookmarkStart w:id="2" w:name="_GoBack"/>
            <w:bookmarkEnd w:id="2"/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 业绩说明会</w:t>
            </w:r>
          </w:p>
          <w:p w:rsidR="007F3451" w:rsidRDefault="00CC2732">
            <w:pPr>
              <w:widowControl/>
              <w:spacing w:line="360" w:lineRule="auto"/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□ 新闻发布会 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  <w:t xml:space="preserve">      </w:t>
            </w:r>
            <w:r w:rsidR="00637D3D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sym w:font="Wingdings 2" w:char="0052"/>
            </w: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 路演活动</w:t>
            </w:r>
          </w:p>
          <w:p w:rsidR="007F3451" w:rsidRDefault="007F213C">
            <w:pPr>
              <w:widowControl/>
              <w:tabs>
                <w:tab w:val="left" w:pos="2594"/>
              </w:tabs>
              <w:spacing w:line="360" w:lineRule="auto"/>
              <w:rPr>
                <w:rFonts w:asciiTheme="minorEastAsia" w:eastAsiaTheme="minorEastAsia" w:hAnsiTheme="minorEastAsia"/>
                <w:bCs/>
                <w:iCs/>
                <w:color w:val="000000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□ </w:t>
            </w:r>
            <w:r w:rsidR="00CC2732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 xml:space="preserve">现场参观 </w:t>
            </w:r>
            <w:r w:rsidR="00CC2732">
              <w:rPr>
                <w:rFonts w:asciiTheme="minorEastAsia" w:eastAsiaTheme="minorEastAsia" w:hAnsiTheme="minorEastAsia"/>
                <w:bCs/>
                <w:iCs/>
                <w:color w:val="000000"/>
                <w:kern w:val="0"/>
                <w:sz w:val="24"/>
                <w:szCs w:val="24"/>
              </w:rPr>
              <w:t xml:space="preserve">        </w:t>
            </w:r>
            <w:r w:rsidR="00CC2732">
              <w:rPr>
                <w:rFonts w:asciiTheme="minorEastAsia" w:eastAsiaTheme="minorEastAsia" w:hAnsiTheme="minorEastAsia" w:hint="eastAsia"/>
                <w:bCs/>
                <w:iCs/>
                <w:color w:val="000000"/>
                <w:kern w:val="0"/>
                <w:sz w:val="24"/>
                <w:szCs w:val="24"/>
              </w:rPr>
              <w:t>□其他</w:t>
            </w:r>
            <w:r w:rsidR="00CC2732">
              <w:rPr>
                <w:rFonts w:asciiTheme="minorEastAsia" w:eastAsiaTheme="minorEastAsia" w:hAnsiTheme="minorEastAsia" w:hint="eastAsia"/>
                <w:bCs/>
                <w:iCs/>
                <w:color w:val="000000"/>
                <w:u w:val="single"/>
              </w:rPr>
              <w:t xml:space="preserve"> </w:t>
            </w:r>
            <w:r w:rsidR="00CC2732">
              <w:rPr>
                <w:rFonts w:asciiTheme="minorEastAsia" w:eastAsiaTheme="minorEastAsia" w:hAnsiTheme="minorEastAsia"/>
                <w:bCs/>
                <w:iCs/>
                <w:color w:val="000000"/>
                <w:u w:val="single"/>
              </w:rPr>
              <w:t xml:space="preserve">                     </w:t>
            </w:r>
          </w:p>
        </w:tc>
      </w:tr>
      <w:tr w:rsidR="007F3451" w:rsidTr="00DB36EB">
        <w:trPr>
          <w:trHeight w:val="1229"/>
          <w:jc w:val="center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sz w:val="24"/>
              </w:rPr>
              <w:t>主要参与</w:t>
            </w:r>
          </w:p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sz w:val="24"/>
              </w:rPr>
              <w:t>单位名称</w:t>
            </w:r>
          </w:p>
        </w:tc>
        <w:tc>
          <w:tcPr>
            <w:tcW w:w="3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93094A" w:rsidP="009B5159">
            <w:pPr>
              <w:pStyle w:val="a6"/>
              <w:widowControl/>
              <w:spacing w:before="0" w:beforeAutospacing="0" w:after="0" w:afterAutospacing="0" w:line="360" w:lineRule="auto"/>
              <w:rPr>
                <w:rFonts w:asciiTheme="minorEastAsia" w:eastAsiaTheme="minorEastAsia" w:hAnsiTheme="minorEastAsia" w:cs="宋体"/>
                <w:bCs/>
                <w:iCs/>
                <w:color w:val="000000"/>
              </w:rPr>
            </w:pPr>
            <w:r w:rsidRPr="0093094A">
              <w:rPr>
                <w:rFonts w:asciiTheme="minorEastAsia" w:eastAsiaTheme="minorEastAsia" w:hAnsiTheme="minorEastAsia" w:cs="宋体" w:hint="eastAsia"/>
                <w:bCs/>
                <w:iCs/>
                <w:color w:val="000000"/>
              </w:rPr>
              <w:t>国信证券、中金公司、国泰海通证券、中泰证券、华西证券、西南证券、开源证券、山西证券、东方基金、南方基金、嘉实基金、长城基金、富国基金、创金合信基金、申万菱信基金、华宝基金、建信基金、太平资产、汇丰晋信基金、海富通基金、平安基金、睿远基金、汇添富基金、中银基金、华安基金、淡水泉投资、国海富兰克林基金、融通基金、安联保险资管、中信保诚基金、太平洋资产、中邮</w:t>
            </w:r>
            <w:r>
              <w:rPr>
                <w:rFonts w:asciiTheme="minorEastAsia" w:eastAsiaTheme="minorEastAsia" w:hAnsiTheme="minorEastAsia" w:cs="宋体" w:hint="eastAsia"/>
                <w:bCs/>
                <w:iCs/>
                <w:color w:val="000000"/>
              </w:rPr>
              <w:t>保险资管、工银安盛资产、平安理财、华夏理财、宁银理财、中海信托</w:t>
            </w:r>
            <w:r w:rsidR="00DE00D7" w:rsidRPr="00DE00D7">
              <w:rPr>
                <w:rFonts w:asciiTheme="minorEastAsia" w:eastAsiaTheme="minorEastAsia" w:hAnsiTheme="minorEastAsia" w:cs="宋体" w:hint="eastAsia"/>
                <w:bCs/>
                <w:iCs/>
                <w:color w:val="000000"/>
              </w:rPr>
              <w:t>等</w:t>
            </w:r>
          </w:p>
        </w:tc>
      </w:tr>
      <w:tr w:rsidR="007F3451" w:rsidTr="00DB36EB">
        <w:trPr>
          <w:trHeight w:val="818"/>
          <w:jc w:val="center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3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公司会议室</w:t>
            </w:r>
            <w:r w:rsidR="00300854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、</w:t>
            </w:r>
            <w:r w:rsidR="00A7339D"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策略会会场</w:t>
            </w:r>
            <w:r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  <w:t>等</w:t>
            </w:r>
          </w:p>
        </w:tc>
      </w:tr>
      <w:tr w:rsidR="007F3451" w:rsidTr="00DB36EB">
        <w:trPr>
          <w:jc w:val="center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sz w:val="24"/>
              </w:rPr>
              <w:t>公司主要</w:t>
            </w:r>
          </w:p>
          <w:p w:rsidR="007F3451" w:rsidRDefault="00CC2732">
            <w:pPr>
              <w:spacing w:line="480" w:lineRule="atLeast"/>
              <w:jc w:val="center"/>
              <w:rPr>
                <w:rFonts w:asciiTheme="minorEastAsia" w:eastAsiaTheme="minorEastAsia" w:hAnsiTheme="minorEastAsia"/>
                <w:b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/>
                <w:sz w:val="24"/>
              </w:rPr>
              <w:t>接待人员</w:t>
            </w:r>
          </w:p>
        </w:tc>
        <w:tc>
          <w:tcPr>
            <w:tcW w:w="3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3451" w:rsidRDefault="00CC2732">
            <w:pPr>
              <w:spacing w:line="480" w:lineRule="atLeast"/>
              <w:jc w:val="left"/>
              <w:rPr>
                <w:rFonts w:asciiTheme="minorEastAsia" w:eastAsiaTheme="minorEastAsia" w:hAnsiTheme="minorEastAsia"/>
                <w:bCs/>
                <w:iCs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iCs/>
                <w:color w:val="000000"/>
                <w:sz w:val="24"/>
              </w:rPr>
              <w:t>董事会秘书等</w:t>
            </w:r>
          </w:p>
        </w:tc>
      </w:tr>
    </w:tbl>
    <w:p w:rsidR="007F3451" w:rsidRDefault="007F3451">
      <w:pPr>
        <w:spacing w:beforeLines="50" w:before="156"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p w:rsidR="007F3451" w:rsidRDefault="00CC2732">
      <w:pPr>
        <w:spacing w:beforeLines="50" w:before="156" w:line="360" w:lineRule="auto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sz w:val="24"/>
          <w:szCs w:val="24"/>
        </w:rPr>
        <w:t>主要交流问题：</w:t>
      </w:r>
    </w:p>
    <w:p w:rsidR="00C03FA2" w:rsidRPr="00C03FA2" w:rsidRDefault="00CC2732" w:rsidP="00C03FA2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1</w:t>
      </w:r>
      <w:r w:rsidR="00F02F8B">
        <w:rPr>
          <w:rFonts w:asciiTheme="minorEastAsia" w:eastAsiaTheme="minorEastAsia" w:hAnsiTheme="minorEastAsia" w:hint="eastAsia"/>
          <w:b/>
          <w:sz w:val="24"/>
          <w:szCs w:val="24"/>
        </w:rPr>
        <w:t>、</w:t>
      </w:r>
      <w:r w:rsidR="00C03FA2" w:rsidRPr="00C03FA2">
        <w:rPr>
          <w:rFonts w:asciiTheme="minorEastAsia" w:eastAsiaTheme="minorEastAsia" w:hAnsiTheme="minorEastAsia" w:hint="eastAsia"/>
          <w:b/>
          <w:sz w:val="24"/>
          <w:szCs w:val="24"/>
        </w:rPr>
        <w:t>公司</w:t>
      </w:r>
      <w:r w:rsidR="00722BE7">
        <w:rPr>
          <w:rFonts w:asciiTheme="minorEastAsia" w:eastAsiaTheme="minorEastAsia" w:hAnsiTheme="minorEastAsia" w:hint="eastAsia"/>
          <w:b/>
          <w:sz w:val="24"/>
          <w:szCs w:val="24"/>
        </w:rPr>
        <w:t>前</w:t>
      </w:r>
      <w:r w:rsidR="00C03FA2" w:rsidRPr="00C03FA2">
        <w:rPr>
          <w:rFonts w:asciiTheme="minorEastAsia" w:eastAsiaTheme="minorEastAsia" w:hAnsiTheme="minorEastAsia" w:hint="eastAsia"/>
          <w:b/>
          <w:sz w:val="24"/>
          <w:szCs w:val="24"/>
        </w:rPr>
        <w:t>三季度的业绩</w:t>
      </w:r>
      <w:r w:rsidR="00722BE7">
        <w:rPr>
          <w:rFonts w:asciiTheme="minorEastAsia" w:eastAsiaTheme="minorEastAsia" w:hAnsiTheme="minorEastAsia" w:hint="eastAsia"/>
          <w:b/>
          <w:sz w:val="24"/>
          <w:szCs w:val="24"/>
        </w:rPr>
        <w:t>下降，主要原因是什么</w:t>
      </w:r>
      <w:r w:rsidR="00C03FA2" w:rsidRPr="00C03FA2">
        <w:rPr>
          <w:rFonts w:asciiTheme="minorEastAsia" w:eastAsiaTheme="minorEastAsia" w:hAnsiTheme="minorEastAsia" w:hint="eastAsia"/>
          <w:b/>
          <w:sz w:val="24"/>
          <w:szCs w:val="24"/>
        </w:rPr>
        <w:t>？</w:t>
      </w:r>
    </w:p>
    <w:p w:rsidR="00360B49" w:rsidRPr="00360B49" w:rsidRDefault="00360B49" w:rsidP="00360B49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/>
          <w:sz w:val="24"/>
          <w:szCs w:val="24"/>
        </w:rPr>
        <w:t>2026</w:t>
      </w:r>
      <w:r w:rsidRPr="00360B49">
        <w:rPr>
          <w:rFonts w:asciiTheme="minorEastAsia" w:eastAsiaTheme="minorEastAsia" w:hAnsiTheme="minorEastAsia"/>
          <w:sz w:val="24"/>
          <w:szCs w:val="24"/>
        </w:rPr>
        <w:t>年前三季度，公司实现营业收入</w:t>
      </w:r>
      <w:r>
        <w:rPr>
          <w:rFonts w:asciiTheme="minorEastAsia" w:eastAsiaTheme="minorEastAsia" w:hAnsiTheme="minorEastAsia"/>
          <w:sz w:val="24"/>
          <w:szCs w:val="24"/>
        </w:rPr>
        <w:t>114.31</w:t>
      </w:r>
      <w:r w:rsidRPr="00360B49">
        <w:rPr>
          <w:rFonts w:asciiTheme="minorEastAsia" w:eastAsiaTheme="minorEastAsia" w:hAnsiTheme="minorEastAsia"/>
          <w:sz w:val="24"/>
          <w:szCs w:val="24"/>
        </w:rPr>
        <w:t>亿元，同比下降5.86%；</w:t>
      </w:r>
      <w:r w:rsidR="00E610E8" w:rsidRPr="00E610E8">
        <w:rPr>
          <w:rFonts w:asciiTheme="minorEastAsia" w:eastAsiaTheme="minorEastAsia" w:hAnsiTheme="minorEastAsia" w:hint="eastAsia"/>
          <w:sz w:val="24"/>
          <w:szCs w:val="24"/>
        </w:rPr>
        <w:t>归属母公司股东的净利润</w:t>
      </w:r>
      <w:r w:rsidR="00E610E8">
        <w:rPr>
          <w:rFonts w:asciiTheme="minorEastAsia" w:eastAsiaTheme="minorEastAsia" w:hAnsiTheme="minorEastAsia" w:hint="eastAsia"/>
          <w:sz w:val="24"/>
          <w:szCs w:val="24"/>
        </w:rPr>
        <w:t>约</w:t>
      </w:r>
      <w:r>
        <w:rPr>
          <w:rFonts w:asciiTheme="minorEastAsia" w:eastAsiaTheme="minorEastAsia" w:hAnsiTheme="minorEastAsia"/>
          <w:sz w:val="24"/>
          <w:szCs w:val="24"/>
        </w:rPr>
        <w:t>3.54</w:t>
      </w:r>
      <w:r w:rsidR="00E610E8">
        <w:rPr>
          <w:rFonts w:asciiTheme="minorEastAsia" w:eastAsiaTheme="minorEastAsia" w:hAnsiTheme="minorEastAsia"/>
          <w:sz w:val="24"/>
          <w:szCs w:val="24"/>
        </w:rPr>
        <w:t>亿元，同比下降</w:t>
      </w:r>
      <w:r w:rsidRPr="00360B49">
        <w:rPr>
          <w:rFonts w:asciiTheme="minorEastAsia" w:eastAsiaTheme="minorEastAsia" w:hAnsiTheme="minorEastAsia"/>
          <w:sz w:val="24"/>
          <w:szCs w:val="24"/>
        </w:rPr>
        <w:t>42.81%；</w:t>
      </w:r>
      <w:r w:rsidR="00E610E8" w:rsidRPr="00E610E8">
        <w:rPr>
          <w:rFonts w:asciiTheme="minorEastAsia" w:eastAsiaTheme="minorEastAsia" w:hAnsiTheme="minorEastAsia" w:hint="eastAsia"/>
          <w:sz w:val="24"/>
          <w:szCs w:val="24"/>
        </w:rPr>
        <w:t>扣非后归属母公司股东的净利润</w:t>
      </w:r>
      <w:r w:rsidR="00E610E8">
        <w:rPr>
          <w:rFonts w:asciiTheme="minorEastAsia" w:eastAsiaTheme="minorEastAsia" w:hAnsiTheme="minorEastAsia" w:hint="eastAsia"/>
          <w:sz w:val="24"/>
          <w:szCs w:val="24"/>
        </w:rPr>
        <w:t>约</w:t>
      </w:r>
      <w:r>
        <w:rPr>
          <w:rFonts w:asciiTheme="minorEastAsia" w:eastAsiaTheme="minorEastAsia" w:hAnsiTheme="minorEastAsia"/>
          <w:sz w:val="24"/>
          <w:szCs w:val="24"/>
        </w:rPr>
        <w:t>3.45</w:t>
      </w:r>
      <w:r w:rsidRPr="00360B49">
        <w:rPr>
          <w:rFonts w:asciiTheme="minorEastAsia" w:eastAsiaTheme="minorEastAsia" w:hAnsiTheme="minorEastAsia"/>
          <w:sz w:val="24"/>
          <w:szCs w:val="24"/>
        </w:rPr>
        <w:t>亿元，同比下降27.89%。</w:t>
      </w:r>
      <w:r>
        <w:rPr>
          <w:rFonts w:asciiTheme="minorEastAsia" w:eastAsiaTheme="minorEastAsia" w:hAnsiTheme="minorEastAsia"/>
          <w:sz w:val="24"/>
          <w:szCs w:val="24"/>
        </w:rPr>
        <w:t>主要影响因素包括：</w:t>
      </w:r>
    </w:p>
    <w:p w:rsidR="00B152F5" w:rsidRPr="00B152F5" w:rsidRDefault="00B152F5" w:rsidP="00B152F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B152F5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B152F5">
        <w:rPr>
          <w:rFonts w:asciiTheme="minorEastAsia" w:eastAsiaTheme="minorEastAsia" w:hAnsiTheme="minorEastAsia"/>
          <w:sz w:val="24"/>
          <w:szCs w:val="24"/>
        </w:rPr>
        <w:t>1）汇兑损失增加。受汇率波动影响，财务费用较上年同期显著增长，对利润产生不利影响。</w:t>
      </w:r>
    </w:p>
    <w:p w:rsidR="00221E6B" w:rsidRDefault="00B152F5" w:rsidP="00B152F5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B152F5">
        <w:rPr>
          <w:rFonts w:asciiTheme="minorEastAsia" w:eastAsiaTheme="minorEastAsia" w:hAnsiTheme="minorEastAsia" w:hint="eastAsia"/>
          <w:sz w:val="24"/>
          <w:szCs w:val="24"/>
        </w:rPr>
        <w:t>（</w:t>
      </w:r>
      <w:r w:rsidRPr="00B152F5">
        <w:rPr>
          <w:rFonts w:asciiTheme="minorEastAsia" w:eastAsiaTheme="minorEastAsia" w:hAnsiTheme="minorEastAsia"/>
          <w:sz w:val="24"/>
          <w:szCs w:val="24"/>
        </w:rPr>
        <w:t>2）非经常性因素影响扩大。受资本市场波动影响，创新基金投资损失同比增加；同时上年同期确认债务重组收益、本期无同类事项。</w:t>
      </w:r>
    </w:p>
    <w:p w:rsidR="00B152F5" w:rsidRPr="003F55D2" w:rsidRDefault="00B152F5" w:rsidP="00B152F5">
      <w:pPr>
        <w:spacing w:line="360" w:lineRule="auto"/>
        <w:ind w:firstLineChars="200" w:firstLine="482"/>
        <w:rPr>
          <w:rFonts w:asciiTheme="minorEastAsia" w:eastAsiaTheme="minorEastAsia" w:hAnsiTheme="minorEastAsia" w:hint="eastAsia"/>
          <w:b/>
          <w:sz w:val="24"/>
          <w:szCs w:val="24"/>
        </w:rPr>
      </w:pPr>
    </w:p>
    <w:p w:rsidR="007E2803" w:rsidRDefault="007E2803" w:rsidP="00C03FA2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2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、</w:t>
      </w:r>
      <w:r w:rsidR="005F3495" w:rsidRPr="005F3495">
        <w:rPr>
          <w:rFonts w:asciiTheme="minorEastAsia" w:eastAsiaTheme="minorEastAsia" w:hAnsiTheme="minorEastAsia" w:hint="eastAsia"/>
          <w:b/>
          <w:sz w:val="24"/>
          <w:szCs w:val="24"/>
        </w:rPr>
        <w:t>国内售后业务后续如何展望？</w:t>
      </w:r>
    </w:p>
    <w:p w:rsidR="007E2803" w:rsidRPr="00B34611" w:rsidRDefault="00444950" w:rsidP="00B34611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国内维护替换市场是公司汽车低压电池业务的重要组成部分。公司持续推进渠道建设、终端服务和产品结构优化工作，提升市场覆盖度与服务效能；巩固传统铅酸电池业务，推动启停电池、驻车空调电池等产品升级替换，并根据市场需求变化加强铅酸电池与新型电源产品的协同布局。</w:t>
      </w:r>
    </w:p>
    <w:p w:rsidR="007E2803" w:rsidRDefault="007E2803" w:rsidP="00B34611">
      <w:pPr>
        <w:spacing w:line="360" w:lineRule="auto"/>
        <w:rPr>
          <w:rFonts w:asciiTheme="minorEastAsia" w:eastAsiaTheme="minorEastAsia" w:hAnsiTheme="minorEastAsia"/>
          <w:b/>
          <w:sz w:val="24"/>
          <w:szCs w:val="24"/>
        </w:rPr>
      </w:pPr>
    </w:p>
    <w:p w:rsidR="006159D6" w:rsidRDefault="00B34611" w:rsidP="00C03FA2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3</w:t>
      </w:r>
      <w:r w:rsidR="006159D6">
        <w:rPr>
          <w:rFonts w:asciiTheme="minorEastAsia" w:eastAsiaTheme="minorEastAsia" w:hAnsiTheme="minorEastAsia" w:hint="eastAsia"/>
          <w:b/>
          <w:sz w:val="24"/>
          <w:szCs w:val="24"/>
        </w:rPr>
        <w:t>、</w:t>
      </w:r>
      <w:r w:rsidR="00444950" w:rsidRPr="00444950">
        <w:rPr>
          <w:rFonts w:asciiTheme="minorEastAsia" w:eastAsiaTheme="minorEastAsia" w:hAnsiTheme="minorEastAsia" w:hint="eastAsia"/>
          <w:b/>
          <w:sz w:val="24"/>
          <w:szCs w:val="24"/>
        </w:rPr>
        <w:t>海外业务进展如何？后期如何展望？</w:t>
      </w:r>
    </w:p>
    <w:p w:rsidR="00444950" w:rsidRPr="00444950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海外市场是公司长期发展的重要方向。公司持续推进海外客户拓展、销售渠道建设和本地化业务布局工作。</w:t>
      </w:r>
    </w:p>
    <w:p w:rsidR="00444950" w:rsidRPr="00444950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近几年，海外业务</w:t>
      </w:r>
      <w:r>
        <w:rPr>
          <w:rFonts w:asciiTheme="minorEastAsia" w:eastAsiaTheme="minorEastAsia" w:hAnsiTheme="minorEastAsia" w:hint="eastAsia"/>
          <w:sz w:val="24"/>
          <w:szCs w:val="24"/>
        </w:rPr>
        <w:t>陆续</w:t>
      </w:r>
      <w:r w:rsidRPr="00444950">
        <w:rPr>
          <w:rFonts w:asciiTheme="minorEastAsia" w:eastAsiaTheme="minorEastAsia" w:hAnsiTheme="minorEastAsia" w:hint="eastAsia"/>
          <w:sz w:val="24"/>
          <w:szCs w:val="24"/>
        </w:rPr>
        <w:t>受到贸易保护和关税政策、地缘冲突等因素影响，整体销量阶段性承压。与此同时，公司在部分新兴市场取得进展，东南亚等地</w:t>
      </w:r>
      <w:r>
        <w:rPr>
          <w:rFonts w:asciiTheme="minorEastAsia" w:eastAsiaTheme="minorEastAsia" w:hAnsiTheme="minorEastAsia" w:hint="eastAsia"/>
          <w:sz w:val="24"/>
          <w:szCs w:val="24"/>
        </w:rPr>
        <w:t>区</w:t>
      </w:r>
      <w:r w:rsidRPr="00444950">
        <w:rPr>
          <w:rFonts w:asciiTheme="minorEastAsia" w:eastAsiaTheme="minorEastAsia" w:hAnsiTheme="minorEastAsia" w:hint="eastAsia"/>
          <w:sz w:val="24"/>
          <w:szCs w:val="24"/>
        </w:rPr>
        <w:t>的市场销量实现同比增长；欧洲部分车企定点项目也在推进中。</w:t>
      </w:r>
    </w:p>
    <w:p w:rsidR="006159D6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公司后续将优化海外产品结构，提高优势产品的市场覆盖；推动海外</w:t>
      </w:r>
      <w:r w:rsidRPr="00444950">
        <w:rPr>
          <w:rFonts w:asciiTheme="minorEastAsia" w:eastAsiaTheme="minorEastAsia" w:hAnsiTheme="minorEastAsia"/>
          <w:sz w:val="24"/>
          <w:szCs w:val="24"/>
        </w:rPr>
        <w:t>OEM项目从定点向量产交付转化；持续拓展海外售后等市场渠道；强化关税、汇率、国际贸易政策的应对能力。</w:t>
      </w:r>
    </w:p>
    <w:p w:rsidR="00444950" w:rsidRDefault="00444950" w:rsidP="00444950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</w:p>
    <w:p w:rsidR="00C371DF" w:rsidRPr="00221E6B" w:rsidRDefault="00B34611" w:rsidP="00C371DF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4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、</w:t>
      </w:r>
      <w:r w:rsidR="00444950" w:rsidRPr="00444950">
        <w:rPr>
          <w:rFonts w:asciiTheme="minorEastAsia" w:eastAsiaTheme="minorEastAsia" w:hAnsiTheme="minorEastAsia" w:hint="eastAsia"/>
          <w:b/>
          <w:sz w:val="24"/>
          <w:szCs w:val="24"/>
        </w:rPr>
        <w:t>低压锂电的业务进展如何，后续出货情况如何展望？</w:t>
      </w:r>
    </w:p>
    <w:p w:rsidR="00444950" w:rsidRPr="00444950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公司持续推进相关产品开发、客户定点、项目量产和产能建设优化等工作。</w:t>
      </w:r>
    </w:p>
    <w:p w:rsidR="00C371DF" w:rsidRPr="00B34611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/>
          <w:sz w:val="24"/>
          <w:szCs w:val="24"/>
        </w:rPr>
        <w:t>2026年上半年，公司低压锂电销量约43万KWH，同比增长86.91%；上半年新获</w:t>
      </w:r>
      <w:r>
        <w:rPr>
          <w:rFonts w:asciiTheme="minorEastAsia" w:eastAsiaTheme="minorEastAsia" w:hAnsiTheme="minorEastAsia"/>
          <w:sz w:val="24"/>
          <w:szCs w:val="24"/>
        </w:rPr>
        <w:t>36个定点项目，其中</w:t>
      </w:r>
      <w:r w:rsidRPr="00444950">
        <w:rPr>
          <w:rFonts w:asciiTheme="minorEastAsia" w:eastAsiaTheme="minorEastAsia" w:hAnsiTheme="minorEastAsia"/>
          <w:sz w:val="24"/>
          <w:szCs w:val="24"/>
        </w:rPr>
        <w:t>12V产品29个、24V产品7个，并有18个定点项目实现量产。后续业务增量将取决于已定点项目的量产进度、客户需求兑现情况、产能释放、以及公司产品的综合竞争力等因素。</w:t>
      </w:r>
    </w:p>
    <w:p w:rsidR="006159D6" w:rsidRPr="00C371DF" w:rsidRDefault="006159D6" w:rsidP="00C03FA2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</w:p>
    <w:p w:rsidR="00C371DF" w:rsidRPr="00C371DF" w:rsidRDefault="00B34611" w:rsidP="00C371DF">
      <w:pPr>
        <w:spacing w:line="360" w:lineRule="auto"/>
        <w:ind w:firstLineChars="200" w:firstLine="482"/>
        <w:rPr>
          <w:rFonts w:asciiTheme="minorEastAsia" w:eastAsiaTheme="minorEastAsia" w:hAnsiTheme="minorEastAsia"/>
          <w:b/>
          <w:sz w:val="24"/>
          <w:szCs w:val="24"/>
        </w:rPr>
      </w:pPr>
      <w:r>
        <w:rPr>
          <w:rFonts w:asciiTheme="minorEastAsia" w:eastAsiaTheme="minorEastAsia" w:hAnsiTheme="minorEastAsia"/>
          <w:b/>
          <w:sz w:val="24"/>
          <w:szCs w:val="24"/>
        </w:rPr>
        <w:t>5</w:t>
      </w:r>
      <w:r>
        <w:rPr>
          <w:rFonts w:asciiTheme="minorEastAsia" w:eastAsiaTheme="minorEastAsia" w:hAnsiTheme="minorEastAsia" w:hint="eastAsia"/>
          <w:b/>
          <w:sz w:val="24"/>
          <w:szCs w:val="24"/>
        </w:rPr>
        <w:t>、</w:t>
      </w:r>
      <w:r w:rsidR="00444950" w:rsidRPr="00444950">
        <w:rPr>
          <w:rFonts w:asciiTheme="minorEastAsia" w:eastAsiaTheme="minorEastAsia" w:hAnsiTheme="minorEastAsia" w:hint="eastAsia"/>
          <w:b/>
          <w:sz w:val="24"/>
          <w:szCs w:val="24"/>
        </w:rPr>
        <w:t>公司的钠电</w:t>
      </w:r>
      <w:r w:rsidR="00E610E8">
        <w:rPr>
          <w:rFonts w:asciiTheme="minorEastAsia" w:eastAsiaTheme="minorEastAsia" w:hAnsiTheme="minorEastAsia" w:hint="eastAsia"/>
          <w:b/>
          <w:sz w:val="24"/>
          <w:szCs w:val="24"/>
        </w:rPr>
        <w:t>和数据能源电池</w:t>
      </w:r>
      <w:r w:rsidR="00444950" w:rsidRPr="00444950">
        <w:rPr>
          <w:rFonts w:asciiTheme="minorEastAsia" w:eastAsiaTheme="minorEastAsia" w:hAnsiTheme="minorEastAsia" w:hint="eastAsia"/>
          <w:b/>
          <w:sz w:val="24"/>
          <w:szCs w:val="24"/>
        </w:rPr>
        <w:t>业务进展如何？</w:t>
      </w:r>
    </w:p>
    <w:p w:rsidR="00444950" w:rsidRPr="00444950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公司围绕电池生态战略，持续推进铅酸电池、低压锂电池、电池循环利用和电池产业链业务协同发展，并积极探索钠电及数据能源等新业务方向。</w:t>
      </w:r>
    </w:p>
    <w:p w:rsidR="00444950" w:rsidRPr="00444950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钠离子电池方面，公司正围绕低压电池应用推进产品研发、小批量市场验证工作。部分</w:t>
      </w:r>
      <w:r w:rsidRPr="00444950">
        <w:rPr>
          <w:rFonts w:asciiTheme="minorEastAsia" w:eastAsiaTheme="minorEastAsia" w:hAnsiTheme="minorEastAsia"/>
          <w:sz w:val="24"/>
          <w:szCs w:val="24"/>
        </w:rPr>
        <w:t>12V、24V钠电产品已实现小批量交付，并进入了欧洲某车企预研样</w:t>
      </w:r>
      <w:r w:rsidRPr="00444950">
        <w:rPr>
          <w:rFonts w:asciiTheme="minorEastAsia" w:eastAsiaTheme="minorEastAsia" w:hAnsiTheme="minorEastAsia"/>
          <w:sz w:val="24"/>
          <w:szCs w:val="24"/>
        </w:rPr>
        <w:lastRenderedPageBreak/>
        <w:t>件项目。</w:t>
      </w:r>
    </w:p>
    <w:p w:rsidR="0098097B" w:rsidRDefault="00444950" w:rsidP="00444950">
      <w:pPr>
        <w:spacing w:line="360" w:lineRule="auto"/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  <w:r w:rsidRPr="00444950">
        <w:rPr>
          <w:rFonts w:asciiTheme="minorEastAsia" w:eastAsiaTheme="minorEastAsia" w:hAnsiTheme="minorEastAsia" w:hint="eastAsia"/>
          <w:sz w:val="24"/>
          <w:szCs w:val="24"/>
        </w:rPr>
        <w:t>数据能源电池方面，公司积极对接备用电源等产品市</w:t>
      </w:r>
      <w:r>
        <w:rPr>
          <w:rFonts w:asciiTheme="minorEastAsia" w:eastAsiaTheme="minorEastAsia" w:hAnsiTheme="minorEastAsia" w:hint="eastAsia"/>
          <w:sz w:val="24"/>
          <w:szCs w:val="24"/>
        </w:rPr>
        <w:t>场需求，已完成内蒙古某智算中心项目交付，并着力推进其他项目落地</w:t>
      </w:r>
      <w:r w:rsidR="00C371DF" w:rsidRPr="00B34611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sectPr w:rsidR="009809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67C2" w:rsidRDefault="004667C2"/>
  </w:endnote>
  <w:endnote w:type="continuationSeparator" w:id="0">
    <w:p w:rsidR="004667C2" w:rsidRDefault="004667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67C2" w:rsidRDefault="004667C2"/>
  </w:footnote>
  <w:footnote w:type="continuationSeparator" w:id="0">
    <w:p w:rsidR="004667C2" w:rsidRDefault="004667C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JlNzI1ZWIxMTdkMTJmZjQ4Y2RhYjRlNzQyZTIxOTUifQ=="/>
  </w:docVars>
  <w:rsids>
    <w:rsidRoot w:val="009A3D3A"/>
    <w:rsid w:val="00002CE1"/>
    <w:rsid w:val="0000365A"/>
    <w:rsid w:val="00004860"/>
    <w:rsid w:val="00004939"/>
    <w:rsid w:val="00004F3C"/>
    <w:rsid w:val="000077EE"/>
    <w:rsid w:val="00017908"/>
    <w:rsid w:val="00022283"/>
    <w:rsid w:val="0002263C"/>
    <w:rsid w:val="00023497"/>
    <w:rsid w:val="000255D0"/>
    <w:rsid w:val="000310B9"/>
    <w:rsid w:val="00045969"/>
    <w:rsid w:val="00045B6F"/>
    <w:rsid w:val="000512A6"/>
    <w:rsid w:val="00052BE5"/>
    <w:rsid w:val="0005340F"/>
    <w:rsid w:val="00057D1B"/>
    <w:rsid w:val="00061DF0"/>
    <w:rsid w:val="00070766"/>
    <w:rsid w:val="00073CA7"/>
    <w:rsid w:val="00074FC2"/>
    <w:rsid w:val="00075118"/>
    <w:rsid w:val="00076362"/>
    <w:rsid w:val="00076F5A"/>
    <w:rsid w:val="00083084"/>
    <w:rsid w:val="000858CF"/>
    <w:rsid w:val="00091FD7"/>
    <w:rsid w:val="000A327D"/>
    <w:rsid w:val="000B280D"/>
    <w:rsid w:val="000B401C"/>
    <w:rsid w:val="000B5605"/>
    <w:rsid w:val="000B5925"/>
    <w:rsid w:val="000C1AA2"/>
    <w:rsid w:val="000C22E6"/>
    <w:rsid w:val="000C45AB"/>
    <w:rsid w:val="000C7186"/>
    <w:rsid w:val="000D0E5D"/>
    <w:rsid w:val="000D69A6"/>
    <w:rsid w:val="000E09FB"/>
    <w:rsid w:val="000E4BC8"/>
    <w:rsid w:val="000F37F7"/>
    <w:rsid w:val="000F3A44"/>
    <w:rsid w:val="000F4582"/>
    <w:rsid w:val="00102BA8"/>
    <w:rsid w:val="00103379"/>
    <w:rsid w:val="00104363"/>
    <w:rsid w:val="00104F78"/>
    <w:rsid w:val="00105B1D"/>
    <w:rsid w:val="001106EA"/>
    <w:rsid w:val="0011224C"/>
    <w:rsid w:val="00121E6F"/>
    <w:rsid w:val="0012349A"/>
    <w:rsid w:val="001254D1"/>
    <w:rsid w:val="00132A16"/>
    <w:rsid w:val="00134884"/>
    <w:rsid w:val="0014214F"/>
    <w:rsid w:val="00145D35"/>
    <w:rsid w:val="001509A3"/>
    <w:rsid w:val="001523F2"/>
    <w:rsid w:val="00175336"/>
    <w:rsid w:val="001828B8"/>
    <w:rsid w:val="001849D8"/>
    <w:rsid w:val="00187527"/>
    <w:rsid w:val="00190849"/>
    <w:rsid w:val="0019087C"/>
    <w:rsid w:val="001A28F4"/>
    <w:rsid w:val="001B6CF8"/>
    <w:rsid w:val="001C1484"/>
    <w:rsid w:val="001C1D05"/>
    <w:rsid w:val="001C2808"/>
    <w:rsid w:val="001C3225"/>
    <w:rsid w:val="001C5C93"/>
    <w:rsid w:val="001C7ED1"/>
    <w:rsid w:val="001D01B4"/>
    <w:rsid w:val="001D2796"/>
    <w:rsid w:val="001D470F"/>
    <w:rsid w:val="001F1EB2"/>
    <w:rsid w:val="001F73AE"/>
    <w:rsid w:val="00203D84"/>
    <w:rsid w:val="00204475"/>
    <w:rsid w:val="00207342"/>
    <w:rsid w:val="002167AB"/>
    <w:rsid w:val="00217AD8"/>
    <w:rsid w:val="00221334"/>
    <w:rsid w:val="00221B8B"/>
    <w:rsid w:val="00221E6B"/>
    <w:rsid w:val="0022526E"/>
    <w:rsid w:val="00225975"/>
    <w:rsid w:val="0023126C"/>
    <w:rsid w:val="00232845"/>
    <w:rsid w:val="00234A11"/>
    <w:rsid w:val="00237165"/>
    <w:rsid w:val="0024030C"/>
    <w:rsid w:val="00243550"/>
    <w:rsid w:val="002448D7"/>
    <w:rsid w:val="002451C2"/>
    <w:rsid w:val="00250E5F"/>
    <w:rsid w:val="00255B77"/>
    <w:rsid w:val="00275E24"/>
    <w:rsid w:val="00286DD2"/>
    <w:rsid w:val="00290C8E"/>
    <w:rsid w:val="002918CE"/>
    <w:rsid w:val="002A0BF8"/>
    <w:rsid w:val="002A173C"/>
    <w:rsid w:val="002A3A25"/>
    <w:rsid w:val="002B7645"/>
    <w:rsid w:val="002C641F"/>
    <w:rsid w:val="002D499C"/>
    <w:rsid w:val="002E087B"/>
    <w:rsid w:val="002E1B44"/>
    <w:rsid w:val="002F039A"/>
    <w:rsid w:val="002F214F"/>
    <w:rsid w:val="002F4766"/>
    <w:rsid w:val="002F6B8E"/>
    <w:rsid w:val="00300854"/>
    <w:rsid w:val="003073DC"/>
    <w:rsid w:val="00313650"/>
    <w:rsid w:val="00313F66"/>
    <w:rsid w:val="0031604C"/>
    <w:rsid w:val="0031799F"/>
    <w:rsid w:val="00324F6D"/>
    <w:rsid w:val="00325250"/>
    <w:rsid w:val="00344AFE"/>
    <w:rsid w:val="003502D9"/>
    <w:rsid w:val="0035578F"/>
    <w:rsid w:val="00360B49"/>
    <w:rsid w:val="003749F6"/>
    <w:rsid w:val="003810E0"/>
    <w:rsid w:val="00383087"/>
    <w:rsid w:val="0038717F"/>
    <w:rsid w:val="003908BE"/>
    <w:rsid w:val="003956F1"/>
    <w:rsid w:val="003A5317"/>
    <w:rsid w:val="003B37EC"/>
    <w:rsid w:val="003B6E87"/>
    <w:rsid w:val="003B7B1A"/>
    <w:rsid w:val="003C2163"/>
    <w:rsid w:val="003C3A74"/>
    <w:rsid w:val="003D0F98"/>
    <w:rsid w:val="003D274B"/>
    <w:rsid w:val="003D41FD"/>
    <w:rsid w:val="003D5324"/>
    <w:rsid w:val="003D6317"/>
    <w:rsid w:val="003E23F4"/>
    <w:rsid w:val="003E4444"/>
    <w:rsid w:val="003E577D"/>
    <w:rsid w:val="003E6221"/>
    <w:rsid w:val="003F551E"/>
    <w:rsid w:val="003F55D2"/>
    <w:rsid w:val="003F72B4"/>
    <w:rsid w:val="003F7627"/>
    <w:rsid w:val="00406A6A"/>
    <w:rsid w:val="00410C2F"/>
    <w:rsid w:val="00410D0A"/>
    <w:rsid w:val="004145AA"/>
    <w:rsid w:val="00421B39"/>
    <w:rsid w:val="00425012"/>
    <w:rsid w:val="00441262"/>
    <w:rsid w:val="00442B2E"/>
    <w:rsid w:val="00444950"/>
    <w:rsid w:val="00446FBC"/>
    <w:rsid w:val="004478D8"/>
    <w:rsid w:val="00451A82"/>
    <w:rsid w:val="00453BD8"/>
    <w:rsid w:val="004667C2"/>
    <w:rsid w:val="00470148"/>
    <w:rsid w:val="00471E78"/>
    <w:rsid w:val="0048156B"/>
    <w:rsid w:val="00482459"/>
    <w:rsid w:val="00483527"/>
    <w:rsid w:val="004856D2"/>
    <w:rsid w:val="0048692B"/>
    <w:rsid w:val="00486C73"/>
    <w:rsid w:val="00487A53"/>
    <w:rsid w:val="00487A71"/>
    <w:rsid w:val="00487BE2"/>
    <w:rsid w:val="00487CA7"/>
    <w:rsid w:val="004A2AAC"/>
    <w:rsid w:val="004A2B00"/>
    <w:rsid w:val="004A2D25"/>
    <w:rsid w:val="004A37A2"/>
    <w:rsid w:val="004A4562"/>
    <w:rsid w:val="004A59A7"/>
    <w:rsid w:val="004A7C6C"/>
    <w:rsid w:val="004B0208"/>
    <w:rsid w:val="004B2A26"/>
    <w:rsid w:val="004B2C17"/>
    <w:rsid w:val="004B5671"/>
    <w:rsid w:val="004B769D"/>
    <w:rsid w:val="004C09D7"/>
    <w:rsid w:val="004C5D95"/>
    <w:rsid w:val="004D2F57"/>
    <w:rsid w:val="004D5FC1"/>
    <w:rsid w:val="004E1083"/>
    <w:rsid w:val="004E18D9"/>
    <w:rsid w:val="004E2488"/>
    <w:rsid w:val="004E3EAC"/>
    <w:rsid w:val="004E3F14"/>
    <w:rsid w:val="004E7C0F"/>
    <w:rsid w:val="004F0D5D"/>
    <w:rsid w:val="00500A43"/>
    <w:rsid w:val="0050336E"/>
    <w:rsid w:val="005056B2"/>
    <w:rsid w:val="00506115"/>
    <w:rsid w:val="00521F5B"/>
    <w:rsid w:val="005225A5"/>
    <w:rsid w:val="00524853"/>
    <w:rsid w:val="0052501F"/>
    <w:rsid w:val="00525042"/>
    <w:rsid w:val="00530A8B"/>
    <w:rsid w:val="0053226E"/>
    <w:rsid w:val="00535700"/>
    <w:rsid w:val="00536E5D"/>
    <w:rsid w:val="0054600A"/>
    <w:rsid w:val="005540E4"/>
    <w:rsid w:val="005556BE"/>
    <w:rsid w:val="005631ED"/>
    <w:rsid w:val="005656B6"/>
    <w:rsid w:val="00565E45"/>
    <w:rsid w:val="00566019"/>
    <w:rsid w:val="00571211"/>
    <w:rsid w:val="0057195F"/>
    <w:rsid w:val="00575AEF"/>
    <w:rsid w:val="00576BB4"/>
    <w:rsid w:val="00577B07"/>
    <w:rsid w:val="00584F3D"/>
    <w:rsid w:val="005964C0"/>
    <w:rsid w:val="005A5F0D"/>
    <w:rsid w:val="005A704E"/>
    <w:rsid w:val="005B0654"/>
    <w:rsid w:val="005B0D5E"/>
    <w:rsid w:val="005B3D10"/>
    <w:rsid w:val="005B49F9"/>
    <w:rsid w:val="005C1405"/>
    <w:rsid w:val="005C39FB"/>
    <w:rsid w:val="005C78FA"/>
    <w:rsid w:val="005D4673"/>
    <w:rsid w:val="005E2A0F"/>
    <w:rsid w:val="005E2EDF"/>
    <w:rsid w:val="005E3B69"/>
    <w:rsid w:val="005F2C01"/>
    <w:rsid w:val="005F323D"/>
    <w:rsid w:val="005F3495"/>
    <w:rsid w:val="006022C2"/>
    <w:rsid w:val="00602B08"/>
    <w:rsid w:val="0060497D"/>
    <w:rsid w:val="00612F41"/>
    <w:rsid w:val="006159D6"/>
    <w:rsid w:val="00616288"/>
    <w:rsid w:val="00616375"/>
    <w:rsid w:val="0061641E"/>
    <w:rsid w:val="00625F9A"/>
    <w:rsid w:val="00637D3D"/>
    <w:rsid w:val="00641784"/>
    <w:rsid w:val="006442A0"/>
    <w:rsid w:val="006461D9"/>
    <w:rsid w:val="00646A89"/>
    <w:rsid w:val="006472D8"/>
    <w:rsid w:val="006531BE"/>
    <w:rsid w:val="006536CB"/>
    <w:rsid w:val="0065401E"/>
    <w:rsid w:val="006625DA"/>
    <w:rsid w:val="006641A7"/>
    <w:rsid w:val="006663E6"/>
    <w:rsid w:val="00666C35"/>
    <w:rsid w:val="006753C5"/>
    <w:rsid w:val="00677EFC"/>
    <w:rsid w:val="00680F57"/>
    <w:rsid w:val="00682CA7"/>
    <w:rsid w:val="0068642F"/>
    <w:rsid w:val="0069120D"/>
    <w:rsid w:val="006970D7"/>
    <w:rsid w:val="006A17F6"/>
    <w:rsid w:val="006A2C7A"/>
    <w:rsid w:val="006A42C9"/>
    <w:rsid w:val="006B693A"/>
    <w:rsid w:val="006B7499"/>
    <w:rsid w:val="006D1377"/>
    <w:rsid w:val="006D3348"/>
    <w:rsid w:val="006D45DB"/>
    <w:rsid w:val="006D791C"/>
    <w:rsid w:val="006E00C0"/>
    <w:rsid w:val="006E2022"/>
    <w:rsid w:val="006E73AB"/>
    <w:rsid w:val="006E7ED1"/>
    <w:rsid w:val="006F34C3"/>
    <w:rsid w:val="006F35B1"/>
    <w:rsid w:val="006F4AC5"/>
    <w:rsid w:val="006F7978"/>
    <w:rsid w:val="006F7E30"/>
    <w:rsid w:val="00702B52"/>
    <w:rsid w:val="00706748"/>
    <w:rsid w:val="00722BE7"/>
    <w:rsid w:val="00723FB4"/>
    <w:rsid w:val="00733D6D"/>
    <w:rsid w:val="00735430"/>
    <w:rsid w:val="00740E29"/>
    <w:rsid w:val="007449E1"/>
    <w:rsid w:val="00746F4E"/>
    <w:rsid w:val="00747AD3"/>
    <w:rsid w:val="00750F6A"/>
    <w:rsid w:val="00752BAC"/>
    <w:rsid w:val="00755427"/>
    <w:rsid w:val="00755B5E"/>
    <w:rsid w:val="00755E38"/>
    <w:rsid w:val="007564FF"/>
    <w:rsid w:val="00756DC2"/>
    <w:rsid w:val="0076026F"/>
    <w:rsid w:val="00765DE8"/>
    <w:rsid w:val="00765EFE"/>
    <w:rsid w:val="00767E7D"/>
    <w:rsid w:val="00775861"/>
    <w:rsid w:val="00783B92"/>
    <w:rsid w:val="00786227"/>
    <w:rsid w:val="007869BC"/>
    <w:rsid w:val="00790E34"/>
    <w:rsid w:val="007925C8"/>
    <w:rsid w:val="00792A12"/>
    <w:rsid w:val="00793E18"/>
    <w:rsid w:val="00796FF1"/>
    <w:rsid w:val="007A264A"/>
    <w:rsid w:val="007A6CDD"/>
    <w:rsid w:val="007B3652"/>
    <w:rsid w:val="007B397D"/>
    <w:rsid w:val="007C2615"/>
    <w:rsid w:val="007C5F6E"/>
    <w:rsid w:val="007D7C05"/>
    <w:rsid w:val="007E2803"/>
    <w:rsid w:val="007E3A57"/>
    <w:rsid w:val="007E6795"/>
    <w:rsid w:val="007F103D"/>
    <w:rsid w:val="007F213C"/>
    <w:rsid w:val="007F3451"/>
    <w:rsid w:val="007F763E"/>
    <w:rsid w:val="008002FC"/>
    <w:rsid w:val="00800659"/>
    <w:rsid w:val="0080073E"/>
    <w:rsid w:val="008035D0"/>
    <w:rsid w:val="00810C33"/>
    <w:rsid w:val="00812453"/>
    <w:rsid w:val="0081512A"/>
    <w:rsid w:val="00823A52"/>
    <w:rsid w:val="008300C3"/>
    <w:rsid w:val="008333E9"/>
    <w:rsid w:val="0083507A"/>
    <w:rsid w:val="00836789"/>
    <w:rsid w:val="00840238"/>
    <w:rsid w:val="00844482"/>
    <w:rsid w:val="008473B6"/>
    <w:rsid w:val="00847D9F"/>
    <w:rsid w:val="00850038"/>
    <w:rsid w:val="00860108"/>
    <w:rsid w:val="0086117D"/>
    <w:rsid w:val="008643A6"/>
    <w:rsid w:val="008664E4"/>
    <w:rsid w:val="008709C4"/>
    <w:rsid w:val="00871C6D"/>
    <w:rsid w:val="008744F3"/>
    <w:rsid w:val="008761B8"/>
    <w:rsid w:val="00876E97"/>
    <w:rsid w:val="00883400"/>
    <w:rsid w:val="00886164"/>
    <w:rsid w:val="00886F76"/>
    <w:rsid w:val="008924E1"/>
    <w:rsid w:val="008B2D46"/>
    <w:rsid w:val="008B668D"/>
    <w:rsid w:val="008C3D3B"/>
    <w:rsid w:val="008C5333"/>
    <w:rsid w:val="008D1EDB"/>
    <w:rsid w:val="008D2B52"/>
    <w:rsid w:val="008D2FAD"/>
    <w:rsid w:val="008D3591"/>
    <w:rsid w:val="008D596A"/>
    <w:rsid w:val="008D7111"/>
    <w:rsid w:val="008D7A61"/>
    <w:rsid w:val="008E39E9"/>
    <w:rsid w:val="008F68F9"/>
    <w:rsid w:val="00900665"/>
    <w:rsid w:val="00901E9D"/>
    <w:rsid w:val="00903724"/>
    <w:rsid w:val="00904CF4"/>
    <w:rsid w:val="00911BBA"/>
    <w:rsid w:val="00915F52"/>
    <w:rsid w:val="009272DB"/>
    <w:rsid w:val="0093094A"/>
    <w:rsid w:val="00932D8F"/>
    <w:rsid w:val="00933EF6"/>
    <w:rsid w:val="00936FA6"/>
    <w:rsid w:val="00940DBE"/>
    <w:rsid w:val="009433EA"/>
    <w:rsid w:val="00946601"/>
    <w:rsid w:val="009471BD"/>
    <w:rsid w:val="00950C26"/>
    <w:rsid w:val="0096067A"/>
    <w:rsid w:val="00965CAB"/>
    <w:rsid w:val="00966467"/>
    <w:rsid w:val="00976533"/>
    <w:rsid w:val="0098097B"/>
    <w:rsid w:val="00981049"/>
    <w:rsid w:val="0098183A"/>
    <w:rsid w:val="00982A72"/>
    <w:rsid w:val="00984A62"/>
    <w:rsid w:val="00984D3B"/>
    <w:rsid w:val="00996735"/>
    <w:rsid w:val="009A352F"/>
    <w:rsid w:val="009A3D3A"/>
    <w:rsid w:val="009A423E"/>
    <w:rsid w:val="009A53AA"/>
    <w:rsid w:val="009B0E15"/>
    <w:rsid w:val="009B1CC8"/>
    <w:rsid w:val="009B2547"/>
    <w:rsid w:val="009B341D"/>
    <w:rsid w:val="009B48D1"/>
    <w:rsid w:val="009B5159"/>
    <w:rsid w:val="009B6244"/>
    <w:rsid w:val="009D7B1E"/>
    <w:rsid w:val="009E20CC"/>
    <w:rsid w:val="009E2353"/>
    <w:rsid w:val="009E745E"/>
    <w:rsid w:val="009F04DB"/>
    <w:rsid w:val="009F09E3"/>
    <w:rsid w:val="009F1F5C"/>
    <w:rsid w:val="009F2DCE"/>
    <w:rsid w:val="00A10206"/>
    <w:rsid w:val="00A10F55"/>
    <w:rsid w:val="00A155DF"/>
    <w:rsid w:val="00A158BD"/>
    <w:rsid w:val="00A20693"/>
    <w:rsid w:val="00A21739"/>
    <w:rsid w:val="00A21C37"/>
    <w:rsid w:val="00A30E0F"/>
    <w:rsid w:val="00A40C84"/>
    <w:rsid w:val="00A515B1"/>
    <w:rsid w:val="00A54562"/>
    <w:rsid w:val="00A6083B"/>
    <w:rsid w:val="00A6260D"/>
    <w:rsid w:val="00A6402B"/>
    <w:rsid w:val="00A65E2C"/>
    <w:rsid w:val="00A70C63"/>
    <w:rsid w:val="00A7112E"/>
    <w:rsid w:val="00A7339D"/>
    <w:rsid w:val="00A73C30"/>
    <w:rsid w:val="00A74538"/>
    <w:rsid w:val="00A74B4D"/>
    <w:rsid w:val="00A76934"/>
    <w:rsid w:val="00A800E5"/>
    <w:rsid w:val="00A82974"/>
    <w:rsid w:val="00A82BEB"/>
    <w:rsid w:val="00A86630"/>
    <w:rsid w:val="00A91119"/>
    <w:rsid w:val="00A94753"/>
    <w:rsid w:val="00A974AB"/>
    <w:rsid w:val="00AA73B3"/>
    <w:rsid w:val="00AB0303"/>
    <w:rsid w:val="00AB26A9"/>
    <w:rsid w:val="00AB371A"/>
    <w:rsid w:val="00AB64F7"/>
    <w:rsid w:val="00AB68E6"/>
    <w:rsid w:val="00AC20D0"/>
    <w:rsid w:val="00AC3278"/>
    <w:rsid w:val="00AD395F"/>
    <w:rsid w:val="00AD443F"/>
    <w:rsid w:val="00AD6924"/>
    <w:rsid w:val="00AE33DF"/>
    <w:rsid w:val="00AF18C0"/>
    <w:rsid w:val="00B06857"/>
    <w:rsid w:val="00B0793F"/>
    <w:rsid w:val="00B07E1D"/>
    <w:rsid w:val="00B152A3"/>
    <w:rsid w:val="00B152F5"/>
    <w:rsid w:val="00B166F8"/>
    <w:rsid w:val="00B215A8"/>
    <w:rsid w:val="00B25890"/>
    <w:rsid w:val="00B261C5"/>
    <w:rsid w:val="00B3198D"/>
    <w:rsid w:val="00B33372"/>
    <w:rsid w:val="00B33A39"/>
    <w:rsid w:val="00B34611"/>
    <w:rsid w:val="00B42B48"/>
    <w:rsid w:val="00B43637"/>
    <w:rsid w:val="00B43664"/>
    <w:rsid w:val="00B535A4"/>
    <w:rsid w:val="00B53C4A"/>
    <w:rsid w:val="00B57717"/>
    <w:rsid w:val="00B6715A"/>
    <w:rsid w:val="00B758FB"/>
    <w:rsid w:val="00B7784F"/>
    <w:rsid w:val="00B824C4"/>
    <w:rsid w:val="00B83EED"/>
    <w:rsid w:val="00B84E65"/>
    <w:rsid w:val="00B86BDF"/>
    <w:rsid w:val="00B86D03"/>
    <w:rsid w:val="00B91F11"/>
    <w:rsid w:val="00B92FD0"/>
    <w:rsid w:val="00B970CA"/>
    <w:rsid w:val="00BA02CE"/>
    <w:rsid w:val="00BA3122"/>
    <w:rsid w:val="00BA46DB"/>
    <w:rsid w:val="00BA5531"/>
    <w:rsid w:val="00BA61B6"/>
    <w:rsid w:val="00BA7D2E"/>
    <w:rsid w:val="00BB30FD"/>
    <w:rsid w:val="00BB524F"/>
    <w:rsid w:val="00BB6E28"/>
    <w:rsid w:val="00BB7450"/>
    <w:rsid w:val="00BC0CBC"/>
    <w:rsid w:val="00BC1B58"/>
    <w:rsid w:val="00BC36C7"/>
    <w:rsid w:val="00BD1601"/>
    <w:rsid w:val="00BD184F"/>
    <w:rsid w:val="00BD236E"/>
    <w:rsid w:val="00BD4269"/>
    <w:rsid w:val="00BE2316"/>
    <w:rsid w:val="00BE27C9"/>
    <w:rsid w:val="00BF5A8E"/>
    <w:rsid w:val="00C03FA2"/>
    <w:rsid w:val="00C06925"/>
    <w:rsid w:val="00C07101"/>
    <w:rsid w:val="00C100A1"/>
    <w:rsid w:val="00C11878"/>
    <w:rsid w:val="00C15D6A"/>
    <w:rsid w:val="00C16FE3"/>
    <w:rsid w:val="00C17015"/>
    <w:rsid w:val="00C204F0"/>
    <w:rsid w:val="00C2150A"/>
    <w:rsid w:val="00C303F7"/>
    <w:rsid w:val="00C30F92"/>
    <w:rsid w:val="00C34ABD"/>
    <w:rsid w:val="00C35DA3"/>
    <w:rsid w:val="00C36035"/>
    <w:rsid w:val="00C371DF"/>
    <w:rsid w:val="00C45D2A"/>
    <w:rsid w:val="00C52B4B"/>
    <w:rsid w:val="00C548AA"/>
    <w:rsid w:val="00C54BA4"/>
    <w:rsid w:val="00C54CAE"/>
    <w:rsid w:val="00C57854"/>
    <w:rsid w:val="00C5797C"/>
    <w:rsid w:val="00C60C74"/>
    <w:rsid w:val="00C614E8"/>
    <w:rsid w:val="00C634AE"/>
    <w:rsid w:val="00C64D51"/>
    <w:rsid w:val="00C66E5E"/>
    <w:rsid w:val="00C67C3C"/>
    <w:rsid w:val="00C70784"/>
    <w:rsid w:val="00C7420F"/>
    <w:rsid w:val="00C8078C"/>
    <w:rsid w:val="00C8083F"/>
    <w:rsid w:val="00C90CD9"/>
    <w:rsid w:val="00C91C10"/>
    <w:rsid w:val="00C931CD"/>
    <w:rsid w:val="00C93CD3"/>
    <w:rsid w:val="00C95C0A"/>
    <w:rsid w:val="00CA175D"/>
    <w:rsid w:val="00CA3DC7"/>
    <w:rsid w:val="00CA5980"/>
    <w:rsid w:val="00CB33F1"/>
    <w:rsid w:val="00CB5958"/>
    <w:rsid w:val="00CB707F"/>
    <w:rsid w:val="00CB7416"/>
    <w:rsid w:val="00CC2732"/>
    <w:rsid w:val="00CC6E62"/>
    <w:rsid w:val="00CC7340"/>
    <w:rsid w:val="00CC782B"/>
    <w:rsid w:val="00CC7FD8"/>
    <w:rsid w:val="00CD03DA"/>
    <w:rsid w:val="00CD3AF6"/>
    <w:rsid w:val="00CD642A"/>
    <w:rsid w:val="00CF5550"/>
    <w:rsid w:val="00D039F9"/>
    <w:rsid w:val="00D063A0"/>
    <w:rsid w:val="00D104B9"/>
    <w:rsid w:val="00D11FF3"/>
    <w:rsid w:val="00D27C05"/>
    <w:rsid w:val="00D34F57"/>
    <w:rsid w:val="00D35DEB"/>
    <w:rsid w:val="00D429B7"/>
    <w:rsid w:val="00D4754D"/>
    <w:rsid w:val="00D50EBD"/>
    <w:rsid w:val="00D62C7A"/>
    <w:rsid w:val="00D6411B"/>
    <w:rsid w:val="00D75BE1"/>
    <w:rsid w:val="00D77627"/>
    <w:rsid w:val="00D93A27"/>
    <w:rsid w:val="00D96E70"/>
    <w:rsid w:val="00DB148F"/>
    <w:rsid w:val="00DB30E8"/>
    <w:rsid w:val="00DB36EB"/>
    <w:rsid w:val="00DB6149"/>
    <w:rsid w:val="00DB6287"/>
    <w:rsid w:val="00DC0CF4"/>
    <w:rsid w:val="00DC1CF5"/>
    <w:rsid w:val="00DC5DAB"/>
    <w:rsid w:val="00DC62C0"/>
    <w:rsid w:val="00DC6AEB"/>
    <w:rsid w:val="00DD0A87"/>
    <w:rsid w:val="00DD55ED"/>
    <w:rsid w:val="00DD7487"/>
    <w:rsid w:val="00DE00D7"/>
    <w:rsid w:val="00DE59EB"/>
    <w:rsid w:val="00DF1719"/>
    <w:rsid w:val="00DF69FF"/>
    <w:rsid w:val="00DF76F3"/>
    <w:rsid w:val="00E04F69"/>
    <w:rsid w:val="00E06CD8"/>
    <w:rsid w:val="00E12E39"/>
    <w:rsid w:val="00E1590B"/>
    <w:rsid w:val="00E17500"/>
    <w:rsid w:val="00E20243"/>
    <w:rsid w:val="00E20619"/>
    <w:rsid w:val="00E23AA9"/>
    <w:rsid w:val="00E30AE6"/>
    <w:rsid w:val="00E30F8B"/>
    <w:rsid w:val="00E36DF3"/>
    <w:rsid w:val="00E41510"/>
    <w:rsid w:val="00E437CC"/>
    <w:rsid w:val="00E4464D"/>
    <w:rsid w:val="00E47D84"/>
    <w:rsid w:val="00E55AD9"/>
    <w:rsid w:val="00E610E8"/>
    <w:rsid w:val="00E64744"/>
    <w:rsid w:val="00E65FF9"/>
    <w:rsid w:val="00E72C4F"/>
    <w:rsid w:val="00E7749D"/>
    <w:rsid w:val="00E86D27"/>
    <w:rsid w:val="00EA0531"/>
    <w:rsid w:val="00EA2E14"/>
    <w:rsid w:val="00EA33A4"/>
    <w:rsid w:val="00EA4DDB"/>
    <w:rsid w:val="00EB2F12"/>
    <w:rsid w:val="00EB48F7"/>
    <w:rsid w:val="00EC0D5E"/>
    <w:rsid w:val="00EC17F2"/>
    <w:rsid w:val="00EC3E11"/>
    <w:rsid w:val="00EC7847"/>
    <w:rsid w:val="00ED6F96"/>
    <w:rsid w:val="00EE0B0C"/>
    <w:rsid w:val="00EF2150"/>
    <w:rsid w:val="00EF4D4E"/>
    <w:rsid w:val="00F0027E"/>
    <w:rsid w:val="00F02F8B"/>
    <w:rsid w:val="00F0459B"/>
    <w:rsid w:val="00F04F19"/>
    <w:rsid w:val="00F104A2"/>
    <w:rsid w:val="00F124DD"/>
    <w:rsid w:val="00F17D57"/>
    <w:rsid w:val="00F2067C"/>
    <w:rsid w:val="00F20FEB"/>
    <w:rsid w:val="00F22B7D"/>
    <w:rsid w:val="00F27033"/>
    <w:rsid w:val="00F319A3"/>
    <w:rsid w:val="00F3317E"/>
    <w:rsid w:val="00F34FF0"/>
    <w:rsid w:val="00F37979"/>
    <w:rsid w:val="00F40264"/>
    <w:rsid w:val="00F46D08"/>
    <w:rsid w:val="00F47DEB"/>
    <w:rsid w:val="00F6302F"/>
    <w:rsid w:val="00F76004"/>
    <w:rsid w:val="00F85F13"/>
    <w:rsid w:val="00F86162"/>
    <w:rsid w:val="00F8645D"/>
    <w:rsid w:val="00F908E8"/>
    <w:rsid w:val="00F96B73"/>
    <w:rsid w:val="00FA038B"/>
    <w:rsid w:val="00FA3DA1"/>
    <w:rsid w:val="00FA54BA"/>
    <w:rsid w:val="00FA5BFF"/>
    <w:rsid w:val="00FA67FE"/>
    <w:rsid w:val="00FB1974"/>
    <w:rsid w:val="00FB3D99"/>
    <w:rsid w:val="00FC0FE7"/>
    <w:rsid w:val="00FC2E17"/>
    <w:rsid w:val="00FC45F2"/>
    <w:rsid w:val="00FD5037"/>
    <w:rsid w:val="00FD542D"/>
    <w:rsid w:val="00FD545D"/>
    <w:rsid w:val="00FE18D0"/>
    <w:rsid w:val="00FE652D"/>
    <w:rsid w:val="00FE7228"/>
    <w:rsid w:val="00FE7621"/>
    <w:rsid w:val="00FF1246"/>
    <w:rsid w:val="00FF53A3"/>
    <w:rsid w:val="0B9F31AA"/>
    <w:rsid w:val="0D7C3959"/>
    <w:rsid w:val="0DC14596"/>
    <w:rsid w:val="1BE80D3D"/>
    <w:rsid w:val="29891E41"/>
    <w:rsid w:val="2B28033B"/>
    <w:rsid w:val="2E080E2F"/>
    <w:rsid w:val="33A322E6"/>
    <w:rsid w:val="46DB5FB2"/>
    <w:rsid w:val="49883A6B"/>
    <w:rsid w:val="508A1E77"/>
    <w:rsid w:val="5E21747A"/>
    <w:rsid w:val="6ACF60B4"/>
    <w:rsid w:val="6D1B579F"/>
    <w:rsid w:val="6E0E3C8F"/>
    <w:rsid w:val="741713C4"/>
    <w:rsid w:val="74D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8C04193-37E4-4907-BDEC-BE341E5F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rFonts w:ascii="等线" w:eastAsia="等线" w:hAnsi="等线" w:cs="宋体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等线" w:eastAsia="等线" w:hAnsi="等线" w:cs="宋体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等线" w:eastAsia="等线" w:hAnsi="等线" w:cs="宋体"/>
      <w:kern w:val="2"/>
      <w:sz w:val="18"/>
      <w:szCs w:val="18"/>
    </w:rPr>
  </w:style>
  <w:style w:type="paragraph" w:customStyle="1" w:styleId="1">
    <w:name w:val="修订1"/>
    <w:hidden/>
    <w:uiPriority w:val="99"/>
    <w:semiHidden/>
    <w:rPr>
      <w:rFonts w:ascii="等线" w:eastAsia="等线" w:hAnsi="等线" w:cs="宋体"/>
      <w:kern w:val="2"/>
      <w:sz w:val="21"/>
      <w:szCs w:val="22"/>
    </w:rPr>
  </w:style>
  <w:style w:type="paragraph" w:styleId="a7">
    <w:name w:val="List Paragraph"/>
    <w:basedOn w:val="a"/>
    <w:uiPriority w:val="99"/>
    <w:qFormat/>
    <w:pPr>
      <w:ind w:firstLineChars="200" w:firstLine="420"/>
    </w:pPr>
    <w:rPr>
      <w:rFonts w:asciiTheme="minorHAnsi" w:eastAsiaTheme="minorEastAsia" w:hAnsiTheme="minorHAnsi" w:cstheme="min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30363</TotalTime>
  <Pages>1</Pages>
  <Words>226</Words>
  <Characters>1293</Characters>
  <Application>Microsoft Office Word</Application>
  <DocSecurity>0</DocSecurity>
  <Lines>10</Lines>
  <Paragraphs>3</Paragraphs>
  <ScaleCrop>false</ScaleCrop>
  <Company>Microsoft</Company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Huz</cp:lastModifiedBy>
  <cp:revision>84</cp:revision>
  <dcterms:created xsi:type="dcterms:W3CDTF">2023-08-31T09:10:00Z</dcterms:created>
  <dcterms:modified xsi:type="dcterms:W3CDTF">2026-10-30T09:29:00Z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8F5A58C9735141099671B4016E71FD70</vt:lpwstr>
  </property>
</Properties>
</file>