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宋体" w:hAnsi="宋体" w:eastAsia="宋体"/>
          <w:bCs/>
          <w:sz w:val="24"/>
          <w:lang w:val="en-US" w:eastAsia="zh-CN"/>
        </w:rPr>
      </w:pPr>
      <w:r>
        <w:rPr>
          <w:rFonts w:hint="eastAsia" w:ascii="宋体" w:hAnsi="宋体"/>
          <w:bCs/>
          <w:sz w:val="24"/>
        </w:rPr>
        <w:t>证券</w:t>
      </w:r>
      <w:r>
        <w:rPr>
          <w:rFonts w:ascii="宋体" w:hAnsi="宋体"/>
          <w:bCs/>
          <w:sz w:val="24"/>
        </w:rPr>
        <w:t>代码：</w:t>
      </w:r>
      <w:r>
        <w:rPr>
          <w:rFonts w:hint="eastAsia" w:ascii="宋体" w:hAnsi="宋体"/>
          <w:bCs/>
          <w:sz w:val="24"/>
        </w:rPr>
        <w:t>688517</w:t>
      </w:r>
      <w:r>
        <w:rPr>
          <w:rFonts w:hint="eastAsia" w:ascii="宋体" w:hAnsi="宋体"/>
          <w:bCs/>
          <w:sz w:val="24"/>
          <w:lang w:val="en-US" w:eastAsia="zh-CN"/>
        </w:rPr>
        <w:t xml:space="preserve">          </w:t>
      </w:r>
      <w:r>
        <w:rPr>
          <w:rFonts w:hint="eastAsia"/>
          <w:bCs/>
          <w:sz w:val="24"/>
        </w:rPr>
        <w:t>证券</w:t>
      </w:r>
      <w:r>
        <w:rPr>
          <w:rFonts w:hint="eastAsia" w:ascii="宋体" w:hAnsi="宋体"/>
          <w:bCs/>
          <w:sz w:val="24"/>
        </w:rPr>
        <w:t>简称：金冠电气</w:t>
      </w:r>
      <w:r>
        <w:rPr>
          <w:rFonts w:hint="eastAsia" w:ascii="宋体" w:hAnsi="宋体"/>
          <w:bCs/>
          <w:sz w:val="24"/>
          <w:lang w:val="en-US" w:eastAsia="zh-CN"/>
        </w:rPr>
        <w:t xml:space="preserve">          </w:t>
      </w:r>
      <w:r>
        <w:rPr>
          <w:rFonts w:hint="eastAsia" w:ascii="宋体" w:hAnsi="宋体"/>
          <w:bCs/>
          <w:sz w:val="24"/>
        </w:rPr>
        <w:t>编号：202</w:t>
      </w:r>
      <w:r>
        <w:rPr>
          <w:rFonts w:hint="eastAsia" w:ascii="宋体" w:hAnsi="宋体"/>
          <w:bCs/>
          <w:sz w:val="24"/>
          <w:lang w:val="en-US" w:eastAsia="zh-CN"/>
        </w:rPr>
        <w:t>6</w:t>
      </w:r>
      <w:r>
        <w:rPr>
          <w:rFonts w:hint="eastAsia" w:ascii="宋体" w:hAnsi="宋体"/>
          <w:bCs/>
          <w:sz w:val="24"/>
        </w:rPr>
        <w:t>-0</w:t>
      </w:r>
      <w:r>
        <w:rPr>
          <w:rFonts w:hint="eastAsia" w:ascii="宋体" w:hAnsi="宋体"/>
          <w:bCs/>
          <w:sz w:val="24"/>
          <w:lang w:val="en-US" w:eastAsia="zh-CN"/>
        </w:rPr>
        <w:t>03</w:t>
      </w:r>
    </w:p>
    <w:p>
      <w:pPr>
        <w:rPr>
          <w:rFonts w:ascii="宋体" w:hAnsi="宋体"/>
          <w:bCs/>
          <w:sz w:val="24"/>
        </w:rPr>
      </w:pPr>
    </w:p>
    <w:p>
      <w:pPr>
        <w:spacing w:before="312" w:beforeLines="100"/>
        <w:jc w:val="center"/>
        <w:rPr>
          <w:rFonts w:ascii="黑体" w:eastAsia="黑体" w:cs="黑体"/>
          <w:color w:val="000000"/>
          <w:sz w:val="32"/>
          <w:szCs w:val="28"/>
        </w:rPr>
      </w:pPr>
      <w:r>
        <w:rPr>
          <w:rFonts w:hint="eastAsia" w:ascii="黑体" w:eastAsia="黑体" w:cs="黑体"/>
          <w:color w:val="000000"/>
          <w:sz w:val="32"/>
          <w:szCs w:val="28"/>
        </w:rPr>
        <w:t>金冠电气股份有限公司</w:t>
      </w:r>
    </w:p>
    <w:p>
      <w:pPr>
        <w:spacing w:after="312" w:afterLines="100"/>
        <w:jc w:val="center"/>
        <w:rPr>
          <w:rFonts w:ascii="黑体" w:eastAsia="黑体" w:cs="黑体"/>
          <w:color w:val="000000"/>
          <w:sz w:val="32"/>
          <w:szCs w:val="28"/>
        </w:rPr>
      </w:pPr>
      <w:r>
        <w:rPr>
          <w:rFonts w:hint="eastAsia" w:ascii="黑体" w:eastAsia="黑体" w:cs="黑体"/>
          <w:color w:val="000000"/>
          <w:sz w:val="32"/>
          <w:szCs w:val="28"/>
        </w:rPr>
        <w:t>投资者关系活动记录表</w:t>
      </w:r>
    </w:p>
    <w:tbl>
      <w:tblPr>
        <w:tblStyle w:val="32"/>
        <w:tblW w:w="89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7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0" w:hRule="atLeast"/>
        </w:trPr>
        <w:tc>
          <w:tcPr>
            <w:tcW w:w="1271" w:type="dxa"/>
            <w:vAlign w:val="center"/>
          </w:tcPr>
          <w:p>
            <w:pPr>
              <w:jc w:val="center"/>
              <w:rPr>
                <w:rFonts w:ascii="宋体" w:hAnsi="Calibri" w:cs="宋体"/>
                <w:color w:val="000000"/>
                <w:sz w:val="24"/>
              </w:rPr>
            </w:pPr>
            <w:r>
              <w:rPr>
                <w:rFonts w:hint="eastAsia" w:ascii="宋体" w:hAnsi="Calibri" w:cs="宋体"/>
                <w:color w:val="000000"/>
                <w:sz w:val="24"/>
              </w:rPr>
              <w:t>投资者关系活动类别</w:t>
            </w:r>
          </w:p>
        </w:tc>
        <w:tc>
          <w:tcPr>
            <w:tcW w:w="7722" w:type="dxa"/>
            <w:vAlign w:val="center"/>
          </w:tcPr>
          <w:p>
            <w:pPr>
              <w:spacing w:before="156" w:beforeLines="50"/>
              <w:rPr>
                <w:rFonts w:ascii="宋体" w:hAnsi="Calibri" w:cs="宋体"/>
                <w:color w:val="000000"/>
                <w:sz w:val="24"/>
              </w:rPr>
            </w:pPr>
            <w:r>
              <w:rPr>
                <w:rFonts w:ascii="Wingdings 2" w:hAnsi="Wingdings 2" w:eastAsia="Wingdings 2" w:cs="Wingdings 2"/>
                <w:color w:val="000000"/>
                <w:sz w:val="24"/>
              </w:rPr>
              <w:t>R</w:t>
            </w:r>
            <w:r>
              <w:rPr>
                <w:rFonts w:hint="eastAsia" w:ascii="宋体" w:hAnsi="Calibri" w:cs="宋体"/>
                <w:color w:val="000000"/>
                <w:sz w:val="24"/>
              </w:rPr>
              <w:t>特定对象调研</w:t>
            </w:r>
            <w:r>
              <w:rPr>
                <w:rFonts w:hint="eastAsia" w:ascii="宋体" w:hAnsi="Calibri" w:cs="宋体"/>
                <w:color w:val="000000"/>
                <w:sz w:val="24"/>
                <w:lang w:val="en-US" w:eastAsia="zh-CN"/>
              </w:rPr>
              <w:t xml:space="preserve">     </w:t>
            </w:r>
            <w:r>
              <w:rPr>
                <w:rFonts w:hint="eastAsia" w:ascii="宋体" w:hAnsi="Calibri" w:cs="宋体"/>
                <w:color w:val="000000"/>
                <w:sz w:val="24"/>
              </w:rPr>
              <w:t>□分析师会议</w:t>
            </w:r>
          </w:p>
          <w:p>
            <w:pPr>
              <w:spacing w:before="156" w:beforeLines="50"/>
              <w:rPr>
                <w:rFonts w:ascii="宋体" w:hAnsi="Calibri" w:cs="宋体"/>
                <w:color w:val="000000"/>
                <w:sz w:val="24"/>
              </w:rPr>
            </w:pPr>
            <w:r>
              <w:rPr>
                <w:rFonts w:hint="eastAsia" w:ascii="宋体" w:hAnsi="Calibri" w:cs="宋体"/>
                <w:color w:val="000000"/>
                <w:sz w:val="24"/>
              </w:rPr>
              <w:t>□媒体</w:t>
            </w:r>
            <w:r>
              <w:rPr>
                <w:rFonts w:ascii="宋体" w:hAnsi="Calibri" w:cs="宋体"/>
                <w:color w:val="000000"/>
                <w:sz w:val="24"/>
              </w:rPr>
              <w:t>采访</w:t>
            </w:r>
            <w:r>
              <w:rPr>
                <w:rFonts w:hint="eastAsia" w:ascii="宋体" w:hAnsi="Calibri" w:cs="宋体"/>
                <w:color w:val="000000"/>
                <w:sz w:val="24"/>
                <w:lang w:val="en-US" w:eastAsia="zh-CN"/>
              </w:rPr>
              <w:t xml:space="preserve">         </w:t>
            </w:r>
            <w:r>
              <w:rPr>
                <w:rFonts w:hint="eastAsia" w:ascii="宋体" w:hAnsi="Calibri" w:cs="宋体"/>
                <w:color w:val="000000"/>
                <w:sz w:val="24"/>
              </w:rPr>
              <w:t>□业绩说明会</w:t>
            </w:r>
          </w:p>
          <w:p>
            <w:pPr>
              <w:spacing w:before="156" w:beforeLines="50"/>
              <w:rPr>
                <w:rFonts w:ascii="宋体" w:hAnsi="Calibri" w:cs="宋体"/>
                <w:color w:val="000000"/>
                <w:sz w:val="24"/>
              </w:rPr>
            </w:pPr>
            <w:r>
              <w:rPr>
                <w:rFonts w:hint="eastAsia" w:ascii="宋体" w:hAnsi="Calibri" w:cs="宋体"/>
                <w:color w:val="000000"/>
                <w:sz w:val="24"/>
              </w:rPr>
              <w:t>□新闻</w:t>
            </w:r>
            <w:r>
              <w:rPr>
                <w:rFonts w:ascii="宋体" w:hAnsi="Calibri" w:cs="宋体"/>
                <w:color w:val="000000"/>
                <w:sz w:val="24"/>
              </w:rPr>
              <w:t>发布会</w:t>
            </w:r>
            <w:r>
              <w:rPr>
                <w:rFonts w:hint="eastAsia" w:ascii="宋体" w:hAnsi="Calibri" w:cs="宋体"/>
                <w:color w:val="000000"/>
                <w:sz w:val="24"/>
                <w:lang w:val="en-US" w:eastAsia="zh-CN"/>
              </w:rPr>
              <w:t xml:space="preserve">       </w:t>
            </w:r>
            <w:r>
              <w:rPr>
                <w:rFonts w:hint="eastAsia" w:ascii="宋体" w:hAnsi="Calibri" w:cs="宋体"/>
                <w:color w:val="000000"/>
                <w:sz w:val="24"/>
              </w:rPr>
              <w:t>□路演</w:t>
            </w:r>
            <w:r>
              <w:rPr>
                <w:rFonts w:ascii="宋体" w:hAnsi="Calibri" w:cs="宋体"/>
                <w:color w:val="000000"/>
                <w:sz w:val="24"/>
              </w:rPr>
              <w:t>活动</w:t>
            </w:r>
          </w:p>
          <w:p>
            <w:pPr>
              <w:spacing w:before="156" w:beforeLines="50"/>
              <w:rPr>
                <w:rFonts w:ascii="宋体" w:hAnsi="Calibri" w:cs="宋体"/>
                <w:color w:val="000000"/>
                <w:sz w:val="24"/>
              </w:rPr>
            </w:pPr>
            <w:r>
              <w:rPr>
                <w:rFonts w:hint="eastAsia" w:ascii="宋体" w:hAnsi="Calibri" w:cs="宋体"/>
                <w:color w:val="000000"/>
                <w:sz w:val="24"/>
                <w:lang w:eastAsia="zh-CN"/>
              </w:rPr>
              <w:t>□</w:t>
            </w:r>
            <w:r>
              <w:rPr>
                <w:rFonts w:hint="eastAsia" w:ascii="宋体" w:hAnsi="Calibri" w:cs="宋体"/>
                <w:color w:val="000000"/>
                <w:sz w:val="24"/>
              </w:rPr>
              <w:t>现场参观</w:t>
            </w:r>
            <w:r>
              <w:rPr>
                <w:rFonts w:hint="eastAsia" w:ascii="宋体" w:hAnsi="Calibri" w:cs="宋体"/>
                <w:color w:val="000000"/>
                <w:sz w:val="24"/>
                <w:lang w:val="en-US" w:eastAsia="zh-CN"/>
              </w:rPr>
              <w:t xml:space="preserve">         </w:t>
            </w:r>
            <w:r>
              <w:rPr>
                <w:rFonts w:hint="eastAsia" w:ascii="宋体" w:hAnsi="Calibri" w:cs="宋体"/>
                <w:color w:val="000000"/>
                <w:sz w:val="24"/>
              </w:rPr>
              <w:t>□一</w:t>
            </w:r>
            <w:r>
              <w:rPr>
                <w:rFonts w:ascii="宋体" w:hAnsi="Calibri" w:cs="宋体"/>
                <w:color w:val="000000"/>
                <w:sz w:val="24"/>
              </w:rPr>
              <w:t>对一沟通</w:t>
            </w:r>
          </w:p>
          <w:p>
            <w:pPr>
              <w:spacing w:before="156" w:beforeLines="50"/>
              <w:rPr>
                <w:rFonts w:ascii="宋体" w:hAnsi="Calibri" w:cs="宋体"/>
                <w:color w:val="000000"/>
                <w:sz w:val="24"/>
              </w:rPr>
            </w:pPr>
            <w:r>
              <w:rPr>
                <w:rFonts w:ascii="Wingdings 2" w:hAnsi="Wingdings 2" w:eastAsia="Wingdings 2" w:cs="Wingdings 2"/>
                <w:color w:val="000000"/>
                <w:sz w:val="24"/>
              </w:rPr>
              <w:t>R</w:t>
            </w:r>
            <w:r>
              <w:rPr>
                <w:rFonts w:hint="eastAsia" w:ascii="宋体" w:hAnsi="Calibri" w:cs="宋体"/>
                <w:color w:val="000000"/>
                <w:sz w:val="24"/>
              </w:rPr>
              <w:t>其他（电话</w:t>
            </w:r>
            <w:r>
              <w:rPr>
                <w:rFonts w:ascii="宋体" w:hAnsi="Calibri" w:cs="宋体"/>
                <w:color w:val="000000"/>
                <w:sz w:val="24"/>
              </w:rPr>
              <w:t>会议</w:t>
            </w:r>
            <w:r>
              <w:rPr>
                <w:rFonts w:hint="eastAsia" w:ascii="宋体" w:hAnsi="Calibri" w:cs="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trPr>
        <w:tc>
          <w:tcPr>
            <w:tcW w:w="1271" w:type="dxa"/>
            <w:vAlign w:val="center"/>
          </w:tcPr>
          <w:p>
            <w:pPr>
              <w:jc w:val="center"/>
              <w:rPr>
                <w:rFonts w:ascii="宋体" w:hAnsi="Calibri" w:cs="宋体"/>
                <w:color w:val="000000"/>
                <w:sz w:val="24"/>
              </w:rPr>
            </w:pPr>
            <w:r>
              <w:rPr>
                <w:rFonts w:hint="eastAsia" w:ascii="宋体" w:hAnsi="Calibri" w:cs="宋体"/>
                <w:color w:val="000000"/>
                <w:sz w:val="24"/>
              </w:rPr>
              <w:t>参与单位名称</w:t>
            </w:r>
          </w:p>
        </w:tc>
        <w:tc>
          <w:tcPr>
            <w:tcW w:w="7722" w:type="dxa"/>
            <w:vAlign w:val="center"/>
          </w:tcPr>
          <w:p>
            <w:pPr>
              <w:spacing w:line="460" w:lineRule="exact"/>
              <w:rPr>
                <w:rFonts w:hint="default" w:eastAsia="宋体"/>
                <w:color w:val="000000"/>
                <w:sz w:val="24"/>
                <w:lang w:val="en-US" w:eastAsia="zh-CN"/>
              </w:rPr>
            </w:pPr>
            <w:r>
              <w:rPr>
                <w:rFonts w:hint="eastAsia" w:ascii="宋体" w:hAnsi="宋体" w:cs="宋体"/>
                <w:sz w:val="24"/>
                <w:szCs w:val="32"/>
                <w:lang w:val="en-US" w:eastAsia="zh-CN"/>
              </w:rPr>
              <w:t>国盛证券、西部证券、华创证券、东北证券、国投证券、中金公司、国金证券、浙商证券、华源证券、华泰柏瑞基金、鹏华基金、泰康基金、华夏基金、富国基金、天弘基金、招商基金、建投基金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271" w:type="dxa"/>
            <w:vAlign w:val="center"/>
          </w:tcPr>
          <w:p>
            <w:pPr>
              <w:jc w:val="center"/>
              <w:rPr>
                <w:rFonts w:ascii="宋体" w:hAnsi="Calibri" w:cs="宋体"/>
                <w:color w:val="000000"/>
                <w:sz w:val="24"/>
              </w:rPr>
            </w:pPr>
            <w:r>
              <w:rPr>
                <w:rFonts w:hint="eastAsia" w:ascii="宋体" w:hAnsi="Calibri" w:cs="宋体"/>
                <w:color w:val="000000"/>
                <w:sz w:val="24"/>
              </w:rPr>
              <w:t>时间</w:t>
            </w:r>
          </w:p>
        </w:tc>
        <w:tc>
          <w:tcPr>
            <w:tcW w:w="7722" w:type="dxa"/>
            <w:vAlign w:val="center"/>
          </w:tcPr>
          <w:p>
            <w:pPr>
              <w:spacing w:line="460" w:lineRule="exact"/>
              <w:rPr>
                <w:rFonts w:hint="default"/>
                <w:color w:val="000000" w:themeColor="text1"/>
                <w:lang w:val="en-US" w:eastAsia="zh-CN"/>
                <w14:textFill>
                  <w14:solidFill>
                    <w14:schemeClr w14:val="tx1"/>
                  </w14:solidFill>
                </w14:textFill>
              </w:rPr>
            </w:pPr>
            <w:r>
              <w:rPr>
                <w:rFonts w:hint="eastAsia" w:ascii="宋体" w:hAnsi="Calibri" w:cs="宋体"/>
                <w:color w:val="000000" w:themeColor="text1"/>
                <w:sz w:val="24"/>
                <w14:textFill>
                  <w14:solidFill>
                    <w14:schemeClr w14:val="tx1"/>
                  </w14:solidFill>
                </w14:textFill>
              </w:rPr>
              <w:t>2</w:t>
            </w:r>
            <w:r>
              <w:rPr>
                <w:rFonts w:hint="eastAsia" w:ascii="宋体" w:hAnsi="Calibri" w:cs="宋体"/>
                <w:color w:val="000000" w:themeColor="text1"/>
                <w:sz w:val="24"/>
                <w:lang w:val="en-US" w:eastAsia="zh-CN"/>
                <w14:textFill>
                  <w14:solidFill>
                    <w14:schemeClr w14:val="tx1"/>
                  </w14:solidFill>
                </w14:textFill>
              </w:rPr>
              <w:t>026</w:t>
            </w:r>
            <w:r>
              <w:rPr>
                <w:rFonts w:hint="eastAsia" w:ascii="宋体" w:hAnsi="Calibri" w:cs="宋体"/>
                <w:color w:val="000000" w:themeColor="text1"/>
                <w:sz w:val="24"/>
                <w14:textFill>
                  <w14:solidFill>
                    <w14:schemeClr w14:val="tx1"/>
                  </w14:solidFill>
                </w14:textFill>
              </w:rPr>
              <w:t>年</w:t>
            </w:r>
            <w:r>
              <w:rPr>
                <w:rFonts w:hint="eastAsia" w:ascii="宋体" w:hAnsi="Calibri" w:cs="宋体"/>
                <w:color w:val="000000" w:themeColor="text1"/>
                <w:sz w:val="24"/>
                <w:lang w:val="en-US" w:eastAsia="zh-CN"/>
                <w14:textFill>
                  <w14:solidFill>
                    <w14:schemeClr w14:val="tx1"/>
                  </w14:solidFill>
                </w14:textFill>
              </w:rPr>
              <w:t>10</w:t>
            </w:r>
            <w:r>
              <w:rPr>
                <w:rFonts w:hint="eastAsia" w:ascii="宋体" w:hAnsi="Calibri" w:cs="宋体"/>
                <w:color w:val="000000" w:themeColor="text1"/>
                <w:sz w:val="24"/>
                <w14:textFill>
                  <w14:solidFill>
                    <w14:schemeClr w14:val="tx1"/>
                  </w14:solidFill>
                </w14:textFill>
              </w:rPr>
              <w:t>月</w:t>
            </w:r>
            <w:r>
              <w:rPr>
                <w:rFonts w:hint="eastAsia" w:ascii="宋体" w:hAnsi="Calibri" w:cs="宋体"/>
                <w:color w:val="000000" w:themeColor="text1"/>
                <w:sz w:val="24"/>
                <w:lang w:val="en-US" w:eastAsia="zh-CN"/>
                <w14:textFill>
                  <w14:solidFill>
                    <w14:schemeClr w14:val="tx1"/>
                  </w14:solidFill>
                </w14:textFill>
              </w:rPr>
              <w:t>29日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271" w:type="dxa"/>
            <w:vAlign w:val="center"/>
          </w:tcPr>
          <w:p>
            <w:pPr>
              <w:jc w:val="center"/>
              <w:rPr>
                <w:rFonts w:ascii="宋体" w:hAnsi="Calibri" w:cs="宋体"/>
                <w:color w:val="000000"/>
                <w:sz w:val="24"/>
              </w:rPr>
            </w:pPr>
            <w:r>
              <w:rPr>
                <w:rFonts w:hint="eastAsia" w:ascii="宋体" w:hAnsi="Calibri" w:cs="宋体"/>
                <w:color w:val="000000"/>
                <w:sz w:val="24"/>
              </w:rPr>
              <w:t>地点</w:t>
            </w:r>
          </w:p>
        </w:tc>
        <w:tc>
          <w:tcPr>
            <w:tcW w:w="7722" w:type="dxa"/>
            <w:vAlign w:val="center"/>
          </w:tcPr>
          <w:p>
            <w:pPr>
              <w:rPr>
                <w:rFonts w:hint="default" w:ascii="宋体" w:hAnsi="Calibri" w:eastAsia="宋体" w:cs="宋体"/>
                <w:color w:val="000000" w:themeColor="text1"/>
                <w:sz w:val="24"/>
                <w:lang w:val="en-US" w:eastAsia="zh-CN"/>
                <w14:textFill>
                  <w14:solidFill>
                    <w14:schemeClr w14:val="tx1"/>
                  </w14:solidFill>
                </w14:textFill>
              </w:rPr>
            </w:pPr>
            <w:r>
              <w:rPr>
                <w:rFonts w:hint="eastAsia" w:ascii="宋体" w:hAnsi="Calibri" w:cs="宋体"/>
                <w:color w:val="000000" w:themeColor="text1"/>
                <w:sz w:val="24"/>
                <w:lang w:val="en-US" w:eastAsia="zh-CN"/>
                <w14:textFill>
                  <w14:solidFill>
                    <w14:schemeClr w14:val="tx1"/>
                  </w14:solidFill>
                </w14:textFill>
              </w:rPr>
              <w:t>公司二号会议室、腾讯会议（线上线下结合）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71" w:type="dxa"/>
            <w:vAlign w:val="center"/>
          </w:tcPr>
          <w:p>
            <w:pPr>
              <w:spacing w:line="560" w:lineRule="exact"/>
              <w:ind w:firstLine="0"/>
              <w:jc w:val="left"/>
              <w:rPr>
                <w:rFonts w:hint="eastAsia" w:ascii="宋体" w:hAnsi="宋体" w:cs="宋体"/>
                <w:b/>
                <w:sz w:val="24"/>
              </w:rPr>
            </w:pPr>
            <w:r>
              <w:rPr>
                <w:rFonts w:hint="eastAsia" w:ascii="宋体" w:hAnsi="Calibri" w:cs="宋体"/>
                <w:b w:val="0"/>
                <w:color w:val="000000"/>
                <w:sz w:val="24"/>
              </w:rPr>
              <w:t>公司接待人员姓名</w:t>
            </w:r>
          </w:p>
        </w:tc>
        <w:tc>
          <w:tcPr>
            <w:tcW w:w="7722" w:type="dxa"/>
            <w:vAlign w:val="center"/>
          </w:tcPr>
          <w:p>
            <w:pPr>
              <w:spacing w:line="560" w:lineRule="exact"/>
              <w:ind w:firstLine="0"/>
              <w:rPr>
                <w:rFonts w:hint="eastAsia" w:ascii="宋体" w:hAnsi="宋体" w:cs="宋体"/>
                <w:b w:val="0"/>
                <w:bCs/>
                <w:sz w:val="24"/>
              </w:rPr>
            </w:pPr>
            <w:r>
              <w:rPr>
                <w:rFonts w:hint="eastAsia" w:ascii="宋体" w:hAnsi="宋体" w:cs="宋体"/>
                <w:b w:val="0"/>
                <w:bCs/>
                <w:sz w:val="24"/>
                <w:lang w:val="en-US" w:eastAsia="zh-CN"/>
              </w:rPr>
              <w:t>董事会秘书：</w:t>
            </w:r>
            <w:r>
              <w:rPr>
                <w:rFonts w:hint="eastAsia" w:ascii="宋体" w:hAnsi="宋体" w:cs="宋体"/>
                <w:b w:val="0"/>
                <w:bCs/>
                <w:sz w:val="24"/>
              </w:rPr>
              <w:t>贾娜</w:t>
            </w:r>
          </w:p>
          <w:p>
            <w:pPr>
              <w:spacing w:line="560" w:lineRule="exact"/>
              <w:ind w:firstLine="0"/>
              <w:rPr>
                <w:rFonts w:hint="eastAsia" w:ascii="宋体" w:hAnsi="宋体" w:eastAsia="宋体" w:cs="宋体"/>
                <w:b/>
                <w:sz w:val="24"/>
                <w:lang w:val="en-US" w:eastAsia="zh-CN"/>
              </w:rPr>
            </w:pPr>
            <w:r>
              <w:rPr>
                <w:rFonts w:hint="eastAsia" w:ascii="宋体" w:hAnsi="宋体" w:cs="宋体"/>
                <w:b w:val="0"/>
                <w:bCs/>
                <w:sz w:val="24"/>
                <w:lang w:val="en-US" w:eastAsia="zh-CN"/>
              </w:rPr>
              <w:t>证券部经理：刘艳娜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271" w:type="dxa"/>
            <w:vAlign w:val="center"/>
          </w:tcPr>
          <w:p>
            <w:pPr>
              <w:spacing w:line="560" w:lineRule="exact"/>
              <w:ind w:firstLine="0"/>
              <w:jc w:val="left"/>
              <w:rPr>
                <w:rFonts w:hint="eastAsia" w:ascii="宋体" w:hAnsi="宋体" w:cs="宋体"/>
                <w:b/>
                <w:sz w:val="24"/>
              </w:rPr>
            </w:pPr>
            <w:r>
              <w:rPr>
                <w:rFonts w:hint="eastAsia" w:ascii="宋体" w:hAnsi="宋体" w:cs="宋体"/>
                <w:b/>
                <w:sz w:val="24"/>
              </w:rPr>
              <w:t>投资者关系活动主要内容介绍</w:t>
            </w:r>
          </w:p>
        </w:tc>
        <w:tc>
          <w:tcPr>
            <w:tcW w:w="7722" w:type="dxa"/>
            <w:vAlign w:val="center"/>
          </w:tcPr>
          <w:p>
            <w:pPr>
              <w:numPr>
                <w:ilvl w:val="0"/>
                <w:numId w:val="1"/>
              </w:numPr>
              <w:spacing w:line="560" w:lineRule="exact"/>
              <w:ind w:firstLine="482"/>
              <w:jc w:val="left"/>
              <w:rPr>
                <w:rFonts w:hint="eastAsia" w:ascii="宋体" w:hAnsi="宋体" w:cs="宋体"/>
                <w:b/>
                <w:bCs w:val="0"/>
                <w:sz w:val="24"/>
                <w:szCs w:val="24"/>
                <w:lang w:val="en-US" w:eastAsia="zh-CN" w:bidi="ar-SA"/>
              </w:rPr>
            </w:pPr>
            <w:r>
              <w:rPr>
                <w:rFonts w:hint="default" w:ascii="宋体" w:hAnsi="宋体" w:cs="宋体"/>
                <w:b/>
                <w:bCs w:val="0"/>
                <w:sz w:val="24"/>
                <w:szCs w:val="24"/>
                <w:lang w:val="en-US" w:eastAsia="zh-CN" w:bidi="ar-SA"/>
              </w:rPr>
              <w:t>公司整体产品布局情况？</w:t>
            </w:r>
          </w:p>
          <w:p>
            <w:pPr>
              <w:numPr>
                <w:ilvl w:val="0"/>
                <w:numId w:val="0"/>
              </w:numPr>
              <w:spacing w:line="560" w:lineRule="exact"/>
              <w:ind w:firstLine="481"/>
              <w:jc w:val="left"/>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公司专业从事输配电及控制设备的研发、生产与销售，为国家级高新技术企业，避雷器系列产品获评工业和信息化部制造业单项冠军产品。公司主营业务可划分为三类：一是避雷器系列产品，覆盖交直流全电压等级，核心客户为国家电网、南方电网，长期服务于以特高压为骨干网架、各级电网协调发展的坚强智能电网建设；二是智能配网设备，涵盖高低压开关柜、环网柜、一二次融合设备、柱上断路器等；三是新能源业务，包含新能源汽车充电桩、电化学储能设备。充电桩业务前期重点布局县域充电基础设施，当前市场重心转向新能源重卡充电桩设备及配套服务。</w:t>
            </w:r>
          </w:p>
          <w:p>
            <w:pPr>
              <w:numPr>
                <w:ilvl w:val="0"/>
                <w:numId w:val="0"/>
              </w:numPr>
              <w:spacing w:line="560" w:lineRule="exact"/>
              <w:ind w:firstLine="482"/>
              <w:jc w:val="left"/>
              <w:rPr>
                <w:rFonts w:hint="eastAsia" w:ascii="宋体" w:hAnsi="宋体" w:cs="宋体"/>
                <w:b/>
                <w:bCs w:val="0"/>
                <w:sz w:val="24"/>
                <w:lang w:val="en-US" w:eastAsia="zh-CN"/>
              </w:rPr>
            </w:pPr>
            <w:r>
              <w:rPr>
                <w:rFonts w:hint="eastAsia" w:ascii="宋体" w:hAnsi="宋体" w:eastAsia="宋体" w:cs="宋体"/>
                <w:b/>
                <w:bCs/>
                <w:sz w:val="24"/>
                <w:szCs w:val="24"/>
                <w:lang w:val="en-US" w:eastAsia="zh-CN"/>
              </w:rPr>
              <w:t>2、公司2026年前三季度业绩情况及主要影响因素？</w:t>
            </w:r>
          </w:p>
          <w:p>
            <w:pPr>
              <w:numPr>
                <w:ilvl w:val="0"/>
                <w:numId w:val="0"/>
              </w:numPr>
              <w:spacing w:line="560" w:lineRule="exact"/>
              <w:ind w:firstLine="481"/>
              <w:jc w:val="left"/>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根据公司于2026年10月28日披露的《2026年第三季度报告》，2026年前三季度公司实现营业收入49,772.93万元，同比下降5.15%；实现归属于上市公司股东的净利润2,922.71万元，同比下降50.60%；扣除非经常性损益后的净利润2,681.02万元，同比下降48.70%。分季度看，2026年第三季度公司实现营业收入19,642.60万元，同比增长6.62%，收入端已恢复同比增长；实现归属于上市公司股东的净利润1,092.95万元，同比下降35.03%，降幅较上半年有所收窄。业绩变动主要受两方面因素影响：一是年初至报告期末营业收入同比减少，电网项目招标与交付存在阶段性节奏差异；二是公司为开拓海外市场、推进新产品技术研发，持续加大销售与研发投入，期间费用同比增加，其中前三季度研发投入2,167.87万元、同比增长18.60%，占营业收入的比例提升至4.36%。公司避雷器主业订单储备较为充足，海外光储充项目稳步推进，后续将加快订单交付转化，持续推进降本增效，努力改善盈利水平。</w:t>
            </w:r>
          </w:p>
          <w:p>
            <w:pPr>
              <w:numPr>
                <w:ilvl w:val="0"/>
                <w:numId w:val="0"/>
              </w:numPr>
              <w:spacing w:line="560" w:lineRule="exact"/>
              <w:ind w:firstLine="481"/>
              <w:jc w:val="left"/>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3、公司研发投入持续增加，重点研发方向是哪些？</w:t>
            </w:r>
          </w:p>
          <w:p>
            <w:pPr>
              <w:numPr>
                <w:ilvl w:val="0"/>
                <w:numId w:val="0"/>
              </w:numPr>
              <w:spacing w:line="560" w:lineRule="exact"/>
              <w:ind w:firstLine="481"/>
              <w:jc w:val="left"/>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公司持续加大研发投入，研发方向围绕主业技术深化与新业务能力培育两条主线展开。一方面深耕避雷器核心赛道，重点推进电阻片配方工艺优化、小型化、智能化及直流避雷器等产品研发，夯实特高压、柔性直流领域技术优势；另一方面围绕新型电力系统，布局大功率重卡充电桩、储能系统、光储充一体化、智慧能源管理平台，支撑产业链延伸与海外业务拓展。</w:t>
            </w:r>
          </w:p>
          <w:p>
            <w:pPr>
              <w:numPr>
                <w:ilvl w:val="0"/>
                <w:numId w:val="0"/>
              </w:numPr>
              <w:spacing w:line="560" w:lineRule="exact"/>
              <w:ind w:firstLine="482"/>
              <w:jc w:val="left"/>
              <w:rPr>
                <w:rFonts w:hint="eastAsia" w:ascii="宋体" w:hAnsi="宋体" w:cs="宋体"/>
                <w:b/>
                <w:bCs w:val="0"/>
                <w:sz w:val="24"/>
                <w:lang w:val="en-US" w:eastAsia="zh-CN"/>
              </w:rPr>
            </w:pPr>
            <w:r>
              <w:rPr>
                <w:rFonts w:hint="eastAsia" w:ascii="宋体" w:hAnsi="宋体" w:cs="宋体"/>
                <w:b/>
                <w:bCs w:val="0"/>
                <w:sz w:val="24"/>
                <w:lang w:val="en-US" w:eastAsia="zh-CN"/>
              </w:rPr>
              <w:t>4、</w:t>
            </w:r>
            <w:r>
              <w:rPr>
                <w:rFonts w:ascii="宋体" w:hAnsi="宋体" w:eastAsia="宋体" w:cs="宋体"/>
                <w:b/>
                <w:bCs w:val="0"/>
                <w:sz w:val="24"/>
                <w:szCs w:val="24"/>
              </w:rPr>
              <w:t>公司主业避雷器业务订单情况如何？</w:t>
            </w:r>
          </w:p>
          <w:p>
            <w:pPr>
              <w:numPr>
                <w:ilvl w:val="0"/>
                <w:numId w:val="0"/>
              </w:numPr>
              <w:spacing w:line="560" w:lineRule="exact"/>
              <w:ind w:firstLine="481"/>
              <w:jc w:val="left"/>
              <w:rPr>
                <w:rFonts w:ascii="宋体" w:hAnsi="宋体" w:eastAsia="宋体" w:cs="宋体"/>
                <w:sz w:val="24"/>
                <w:szCs w:val="24"/>
              </w:rPr>
            </w:pPr>
            <w:r>
              <w:rPr>
                <w:rFonts w:ascii="宋体" w:hAnsi="宋体" w:eastAsia="宋体" w:cs="宋体"/>
                <w:sz w:val="24"/>
                <w:szCs w:val="24"/>
              </w:rPr>
              <w:t>在加快构建新型电力系统、推进能源绿色低碳转型背景下，国家电网“十五五”期间固定资产投资计划约4万亿元，较“十四五”增长约40%；南方电网投资规模亦保持增长，两网合计投资预计接近5万亿元，特高压、配网数字化改造、新能源配套送出工程持续落地，带动输配电设备需求稳步释放。</w:t>
            </w:r>
          </w:p>
          <w:p>
            <w:pPr>
              <w:numPr>
                <w:ilvl w:val="0"/>
                <w:numId w:val="0"/>
              </w:numPr>
              <w:spacing w:line="560" w:lineRule="exact"/>
              <w:ind w:firstLine="481"/>
              <w:jc w:val="left"/>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2026年上半年，国家电网、南方电网合计完成固定资产投资近4,000亿元，三季度项目建设持续放量，电网投资保持高景气。公司积极参与国家主干网架建设与升级改造，中标多个重点工程项目订单，避雷器业务订单储备较为充足。需说明的是，在手订单的收入确认需以实际交付进度及公司收入确认会计政策为准，订单金额与各期营业收入之间存在时间性差异，公司具体经营业绩请以定期报告为准。</w:t>
            </w:r>
          </w:p>
          <w:p>
            <w:pPr>
              <w:numPr>
                <w:ilvl w:val="0"/>
                <w:numId w:val="0"/>
              </w:numPr>
              <w:spacing w:line="560" w:lineRule="exact"/>
              <w:ind w:firstLine="482"/>
              <w:jc w:val="left"/>
              <w:rPr>
                <w:rFonts w:hint="eastAsia" w:ascii="宋体" w:hAnsi="宋体" w:eastAsia="宋体" w:cs="宋体"/>
                <w:b/>
                <w:bCs/>
                <w:sz w:val="24"/>
                <w:lang w:val="en-US" w:eastAsia="zh-CN"/>
              </w:rPr>
            </w:pPr>
            <w:r>
              <w:rPr>
                <w:rFonts w:hint="eastAsia" w:ascii="宋体" w:hAnsi="宋体" w:eastAsia="宋体" w:cs="宋体"/>
                <w:b/>
                <w:bCs/>
                <w:sz w:val="24"/>
                <w:szCs w:val="24"/>
                <w:lang w:val="en-US" w:eastAsia="zh-CN"/>
              </w:rPr>
              <w:t>5、公司非洲光储充EPC框架项目的相关情况及推进节奏如何？</w:t>
            </w:r>
          </w:p>
          <w:p>
            <w:pPr>
              <w:numPr>
                <w:ilvl w:val="0"/>
                <w:numId w:val="0"/>
              </w:numPr>
              <w:spacing w:line="560" w:lineRule="exact"/>
              <w:ind w:firstLine="481"/>
              <w:jc w:val="left"/>
              <w:rPr>
                <w:rFonts w:ascii="宋体" w:hAnsi="宋体" w:eastAsia="宋体" w:cs="宋体"/>
                <w:sz w:val="24"/>
                <w:szCs w:val="24"/>
              </w:rPr>
            </w:pPr>
            <w:r>
              <w:rPr>
                <w:rFonts w:ascii="宋体" w:hAnsi="宋体" w:eastAsia="宋体" w:cs="宋体"/>
                <w:sz w:val="24"/>
                <w:szCs w:val="24"/>
              </w:rPr>
              <w:t>公司已于2026年10月10日披露《关于全资子公司签订日常经营销售框架合同的公告》（公告编号：2026-036）。公司全资子公司金冠（深圳）光储充电气有限公司，与SPIRO签署EPC总承包框架协议，</w:t>
            </w:r>
            <w:r>
              <w:rPr>
                <w:rFonts w:hint="eastAsia" w:ascii="宋体" w:hAnsi="宋体" w:eastAsia="宋体" w:cs="宋体"/>
                <w:sz w:val="24"/>
                <w:szCs w:val="24"/>
                <w:lang w:val="en-US" w:eastAsia="zh-CN"/>
              </w:rPr>
              <w:t>在</w:t>
            </w:r>
            <w:r>
              <w:rPr>
                <w:rFonts w:ascii="宋体" w:hAnsi="宋体" w:eastAsia="宋体" w:cs="宋体"/>
                <w:sz w:val="24"/>
                <w:szCs w:val="24"/>
              </w:rPr>
              <w:t>非洲</w:t>
            </w:r>
            <w:r>
              <w:rPr>
                <w:rFonts w:hint="eastAsia" w:ascii="宋体" w:hAnsi="宋体" w:eastAsia="宋体" w:cs="宋体"/>
                <w:sz w:val="24"/>
                <w:szCs w:val="24"/>
                <w:lang w:val="en-US" w:eastAsia="zh-CN"/>
              </w:rPr>
              <w:t>开展</w:t>
            </w:r>
            <w:r>
              <w:rPr>
                <w:rFonts w:ascii="宋体" w:hAnsi="宋体" w:eastAsia="宋体" w:cs="宋体"/>
                <w:sz w:val="24"/>
                <w:szCs w:val="24"/>
              </w:rPr>
              <w:t>50个并网或离网光储充一体化电站项目，是公司光储充一体化业务开拓海外市场取得的重要进展。</w:t>
            </w:r>
            <w:r>
              <w:rPr>
                <w:rFonts w:ascii="宋体" w:hAnsi="宋体" w:eastAsia="宋体" w:cs="宋体"/>
                <w:sz w:val="24"/>
                <w:szCs w:val="24"/>
              </w:rPr>
              <w:br w:type="textWrapping"/>
            </w:r>
            <w:r>
              <w:rPr>
                <w:rFonts w:hint="eastAsia" w:ascii="宋体" w:hAnsi="宋体" w:eastAsia="宋体" w:cs="宋体"/>
                <w:sz w:val="24"/>
                <w:szCs w:val="24"/>
                <w:lang w:val="en-US" w:eastAsia="zh-CN"/>
              </w:rPr>
              <w:t xml:space="preserve">   SPIRO全称为SPIRO MOBILITY HOLDCO FZCO，注册于阿联酋迪拜，主要从事工商业控股企业的投资与管理，以及电池、三轮摩托车和摩托车的贸易业务。公司与SPIRO不存在关联关系，本次交易不构成关联交易。</w:t>
            </w:r>
          </w:p>
          <w:p>
            <w:pPr>
              <w:numPr>
                <w:ilvl w:val="0"/>
                <w:numId w:val="0"/>
              </w:numPr>
              <w:spacing w:line="560" w:lineRule="exact"/>
              <w:ind w:firstLine="481"/>
              <w:jc w:val="left"/>
              <w:rPr>
                <w:rFonts w:ascii="宋体" w:hAnsi="宋体" w:eastAsia="宋体" w:cs="宋体"/>
                <w:sz w:val="24"/>
                <w:szCs w:val="24"/>
              </w:rPr>
            </w:pPr>
            <w:r>
              <w:rPr>
                <w:rFonts w:ascii="宋体" w:hAnsi="宋体" w:eastAsia="宋体" w:cs="宋体"/>
                <w:sz w:val="24"/>
                <w:szCs w:val="24"/>
              </w:rPr>
              <w:t>本合同总金额不超过2.96亿美元（含税）。该金额系依据本合同约定的单个标准光储充一体化电站承包建设基准价及50个计划建设电站测算得出的预测金额，并非双方已最终确定的、可强制执行的合同总价，实际执行内容、价格及数量以双方后续签订的专项EPC执行协议为准。合同收入将依据实际履约进度及公司收入确认会计政策分期确认，最终以经审计的数据为准。</w:t>
            </w:r>
          </w:p>
          <w:p>
            <w:pPr>
              <w:numPr>
                <w:ilvl w:val="0"/>
                <w:numId w:val="0"/>
              </w:numPr>
              <w:spacing w:line="560" w:lineRule="exact"/>
              <w:ind w:firstLine="480"/>
              <w:jc w:val="left"/>
              <w:rPr>
                <w:rFonts w:ascii="宋体" w:hAnsi="宋体" w:eastAsia="宋体" w:cs="宋体"/>
                <w:sz w:val="24"/>
                <w:szCs w:val="24"/>
              </w:rPr>
            </w:pPr>
            <w:r>
              <w:rPr>
                <w:rFonts w:hint="eastAsia" w:ascii="宋体" w:hAnsi="宋体" w:eastAsia="宋体" w:cs="宋体"/>
                <w:sz w:val="24"/>
                <w:szCs w:val="24"/>
                <w:lang w:val="en-US" w:eastAsia="zh-CN"/>
              </w:rPr>
              <w:t>目前项目正按合同约定有序推进。项目采用分批次落地实施模式，各批站点的数量、地点、开工时间、工期及交付节点以双方另行签订的专项EPC执行协议为准。预计本年度内仅能实现部分批次站点的竣工和交付，无法实现全部50个站点的竣工和交付，对公司2026年度经营业绩影响相对有限，不构成对2026年及后续年度的业绩承诺或预测。项目实施还可能受到所在地政策法规、供应链与跨境物流、施工条件、汇率波动等多重因素影响，存在一定不确定性。公司将持续跟进合同执行情况，后续进展达到披露标准时将及时履行信息披露义务，敬请投资者注意投资风险。</w:t>
            </w:r>
          </w:p>
          <w:p>
            <w:pPr>
              <w:numPr>
                <w:ilvl w:val="0"/>
                <w:numId w:val="0"/>
              </w:numPr>
              <w:spacing w:line="560" w:lineRule="exact"/>
              <w:ind w:firstLine="482"/>
              <w:jc w:val="left"/>
              <w:rPr>
                <w:rFonts w:hint="eastAsia" w:ascii="宋体" w:hAnsi="宋体" w:eastAsia="宋体" w:cs="宋体"/>
                <w:b/>
                <w:bCs w:val="0"/>
                <w:sz w:val="24"/>
                <w:lang w:val="en-US" w:eastAsia="zh-CN"/>
              </w:rPr>
            </w:pPr>
            <w:r>
              <w:rPr>
                <w:rFonts w:hint="eastAsia" w:ascii="宋体" w:hAnsi="宋体" w:cs="宋体"/>
                <w:b/>
                <w:bCs w:val="0"/>
                <w:sz w:val="24"/>
                <w:lang w:val="en-US" w:eastAsia="zh-CN"/>
              </w:rPr>
              <w:t>6、公司海外团队配置情况？</w:t>
            </w:r>
          </w:p>
          <w:p>
            <w:pPr>
              <w:numPr>
                <w:ilvl w:val="0"/>
                <w:numId w:val="0"/>
              </w:numPr>
              <w:spacing w:line="560" w:lineRule="exact"/>
              <w:ind w:firstLine="480"/>
              <w:jc w:val="left"/>
              <w:rPr>
                <w:rFonts w:hint="eastAsia" w:ascii="宋体" w:hAnsi="宋体" w:eastAsia="宋体" w:cs="宋体"/>
                <w:sz w:val="24"/>
                <w:szCs w:val="24"/>
                <w:lang w:eastAsia="zh-CN"/>
              </w:rPr>
            </w:pPr>
            <w:r>
              <w:rPr>
                <w:rFonts w:ascii="宋体" w:hAnsi="宋体" w:eastAsia="宋体" w:cs="宋体"/>
                <w:sz w:val="24"/>
                <w:szCs w:val="24"/>
              </w:rPr>
              <w:t>公司设置两</w:t>
            </w:r>
            <w:r>
              <w:rPr>
                <w:rFonts w:hint="eastAsia" w:ascii="宋体" w:hAnsi="宋体" w:cs="宋体"/>
                <w:sz w:val="24"/>
                <w:szCs w:val="24"/>
                <w:lang w:val="en-US" w:eastAsia="zh-CN"/>
              </w:rPr>
              <w:t>个</w:t>
            </w:r>
            <w:r>
              <w:rPr>
                <w:rFonts w:ascii="宋体" w:hAnsi="宋体" w:eastAsia="宋体" w:cs="宋体"/>
                <w:sz w:val="24"/>
                <w:szCs w:val="24"/>
              </w:rPr>
              <w:t>专业化海外销售团队。</w:t>
            </w:r>
            <w:r>
              <w:rPr>
                <w:rFonts w:hint="eastAsia" w:ascii="宋体" w:hAnsi="宋体" w:cs="宋体"/>
                <w:sz w:val="24"/>
                <w:szCs w:val="24"/>
                <w:lang w:eastAsia="zh-CN"/>
              </w:rPr>
              <w:t>一支</w:t>
            </w:r>
            <w:r>
              <w:rPr>
                <w:rFonts w:ascii="宋体" w:hAnsi="宋体" w:eastAsia="宋体" w:cs="宋体"/>
                <w:sz w:val="24"/>
                <w:szCs w:val="24"/>
              </w:rPr>
              <w:t>为</w:t>
            </w:r>
            <w:r>
              <w:rPr>
                <w:rFonts w:hint="eastAsia" w:ascii="宋体" w:hAnsi="宋体" w:cs="宋体"/>
                <w:sz w:val="24"/>
                <w:szCs w:val="24"/>
                <w:lang w:val="en-US" w:eastAsia="zh-CN"/>
              </w:rPr>
              <w:t>电力设备</w:t>
            </w:r>
            <w:r>
              <w:rPr>
                <w:rFonts w:ascii="宋体" w:hAnsi="宋体" w:eastAsia="宋体" w:cs="宋体"/>
                <w:sz w:val="24"/>
                <w:szCs w:val="24"/>
              </w:rPr>
              <w:t>海外销售团队，主要负责避雷器、配网等输配电产品的海外市场开拓、客户维护与订单跟进；</w:t>
            </w:r>
            <w:r>
              <w:rPr>
                <w:rFonts w:hint="eastAsia" w:ascii="宋体" w:hAnsi="宋体" w:cs="宋体"/>
                <w:sz w:val="24"/>
                <w:szCs w:val="24"/>
                <w:lang w:eastAsia="zh-CN"/>
              </w:rPr>
              <w:t>另一支</w:t>
            </w:r>
            <w:r>
              <w:rPr>
                <w:rFonts w:ascii="宋体" w:hAnsi="宋体" w:eastAsia="宋体" w:cs="宋体"/>
                <w:sz w:val="24"/>
                <w:szCs w:val="24"/>
              </w:rPr>
              <w:t>为新能源海外</w:t>
            </w:r>
            <w:r>
              <w:rPr>
                <w:rFonts w:hint="eastAsia" w:ascii="宋体" w:hAnsi="宋体" w:cs="宋体"/>
                <w:sz w:val="24"/>
                <w:szCs w:val="24"/>
                <w:lang w:val="en-US" w:eastAsia="zh-CN"/>
              </w:rPr>
              <w:t>销售</w:t>
            </w:r>
            <w:r>
              <w:rPr>
                <w:rFonts w:ascii="宋体" w:hAnsi="宋体" w:eastAsia="宋体" w:cs="宋体"/>
                <w:sz w:val="24"/>
                <w:szCs w:val="24"/>
              </w:rPr>
              <w:t>团队</w:t>
            </w:r>
            <w:bookmarkStart w:id="0" w:name="_GoBack"/>
            <w:bookmarkEnd w:id="0"/>
            <w:r>
              <w:rPr>
                <w:rFonts w:ascii="宋体" w:hAnsi="宋体" w:eastAsia="宋体" w:cs="宋体"/>
                <w:sz w:val="24"/>
                <w:szCs w:val="24"/>
              </w:rPr>
              <w:t>，聚焦光储充一体化、充电桩等新能源业务，重点推进海外项目对接、商务洽谈及项目落地。分工协同，共同支撑公司海外业务稳步拓展</w:t>
            </w:r>
            <w:r>
              <w:rPr>
                <w:rFonts w:hint="eastAsia" w:ascii="宋体" w:hAnsi="宋体" w:eastAsia="宋体" w:cs="宋体"/>
                <w:sz w:val="24"/>
                <w:szCs w:val="24"/>
                <w:lang w:eastAsia="zh-CN"/>
              </w:rPr>
              <w:t>。</w:t>
            </w:r>
          </w:p>
          <w:p>
            <w:pPr>
              <w:numPr>
                <w:ilvl w:val="0"/>
                <w:numId w:val="0"/>
              </w:numPr>
              <w:spacing w:line="560" w:lineRule="exact"/>
              <w:ind w:firstLine="482"/>
              <w:jc w:val="left"/>
              <w:rPr>
                <w:rFonts w:hint="default" w:ascii="宋体" w:hAnsi="宋体" w:eastAsia="宋体" w:cs="宋体"/>
                <w:b/>
                <w:bCs w:val="0"/>
                <w:sz w:val="24"/>
                <w:lang w:val="en-US" w:eastAsia="zh-CN"/>
              </w:rPr>
            </w:pPr>
            <w:r>
              <w:rPr>
                <w:rFonts w:hint="eastAsia" w:ascii="宋体" w:hAnsi="宋体" w:cs="宋体"/>
                <w:b/>
                <w:bCs w:val="0"/>
                <w:sz w:val="24"/>
                <w:lang w:val="en-US" w:eastAsia="zh-CN"/>
              </w:rPr>
              <w:t>7、公司陶瓷基板业务研发进展情况？</w:t>
            </w:r>
          </w:p>
          <w:p>
            <w:pPr>
              <w:numPr>
                <w:ilvl w:val="0"/>
                <w:numId w:val="0"/>
              </w:numPr>
              <w:spacing w:line="560" w:lineRule="exact"/>
              <w:ind w:firstLine="480"/>
              <w:jc w:val="left"/>
              <w:rPr>
                <w:rFonts w:hint="eastAsia" w:ascii="宋体" w:hAnsi="宋体" w:cs="宋体"/>
                <w:b/>
                <w:sz w:val="24"/>
                <w:lang w:val="en-US" w:eastAsia="zh-CN"/>
              </w:rPr>
            </w:pPr>
            <w:r>
              <w:rPr>
                <w:rFonts w:ascii="宋体" w:hAnsi="宋体" w:eastAsia="宋体" w:cs="宋体"/>
                <w:sz w:val="24"/>
                <w:szCs w:val="24"/>
              </w:rPr>
              <w:t>公司陶瓷基板</w:t>
            </w:r>
            <w:r>
              <w:rPr>
                <w:rFonts w:hint="eastAsia" w:ascii="宋体" w:hAnsi="宋体" w:cs="宋体"/>
                <w:sz w:val="24"/>
                <w:szCs w:val="24"/>
                <w:lang w:val="en-US" w:eastAsia="zh-CN"/>
              </w:rPr>
              <w:t>研发</w:t>
            </w:r>
            <w:r>
              <w:rPr>
                <w:rFonts w:ascii="宋体" w:hAnsi="宋体" w:eastAsia="宋体" w:cs="宋体"/>
                <w:sz w:val="24"/>
                <w:szCs w:val="24"/>
              </w:rPr>
              <w:t>项目仍在持续推进。氮化铝、氮化硅等常规导热陶瓷基板基本工艺已定型，客户送样测试有序开展，公司正根据测试情况持续优化工艺参数；直接键合（DBC）、活性金属钎焊（AMB）覆铜陶瓷基板已完成实验室样品验证并实现稳定试制。该项目目前仍处于研发阶段，尚未形成规模销售收入，对公司当期经营业绩不构成重大影响。相关进展请以公司在指定信息披露媒体发布的定期报告和临时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271" w:type="dxa"/>
            <w:tcBorders>
              <w:bottom w:val="single" w:color="auto" w:sz="4" w:space="0"/>
            </w:tcBorders>
            <w:vAlign w:val="center"/>
          </w:tcPr>
          <w:p>
            <w:pPr>
              <w:jc w:val="center"/>
              <w:rPr>
                <w:rFonts w:ascii="宋体" w:hAnsi="宋体" w:cs="宋体"/>
                <w:color w:val="000000"/>
                <w:sz w:val="24"/>
              </w:rPr>
            </w:pPr>
            <w:r>
              <w:rPr>
                <w:rFonts w:hint="eastAsia" w:ascii="宋体" w:hAnsi="宋体" w:cs="宋体"/>
                <w:color w:val="000000"/>
                <w:sz w:val="24"/>
              </w:rPr>
              <w:t>附件</w:t>
            </w:r>
          </w:p>
          <w:p>
            <w:pPr>
              <w:jc w:val="center"/>
              <w:rPr>
                <w:rFonts w:ascii="宋体" w:hAnsi="宋体" w:cs="宋体"/>
                <w:color w:val="000000"/>
                <w:sz w:val="24"/>
              </w:rPr>
            </w:pPr>
            <w:r>
              <w:rPr>
                <w:rFonts w:hint="eastAsia" w:ascii="宋体" w:hAnsi="宋体" w:cs="宋体"/>
                <w:color w:val="000000"/>
                <w:sz w:val="24"/>
              </w:rPr>
              <w:t>清单</w:t>
            </w:r>
          </w:p>
        </w:tc>
        <w:tc>
          <w:tcPr>
            <w:tcW w:w="7722" w:type="dxa"/>
            <w:tcBorders>
              <w:bottom w:val="single" w:color="auto" w:sz="4" w:space="0"/>
            </w:tcBorders>
            <w:vAlign w:val="center"/>
          </w:tcPr>
          <w:p>
            <w:pPr>
              <w:rPr>
                <w:rFonts w:ascii="宋体" w:hAnsi="宋体" w:cs="宋体"/>
                <w:color w:val="000000"/>
                <w:sz w:val="24"/>
              </w:rPr>
            </w:pPr>
            <w:r>
              <w:rPr>
                <w:rFonts w:hint="eastAsia" w:ascii="宋体" w:hAnsi="宋体" w:cs="宋体"/>
                <w:color w:val="000000"/>
                <w:sz w:val="24"/>
              </w:rPr>
              <w:t>无</w:t>
            </w:r>
          </w:p>
        </w:tc>
      </w:tr>
    </w:tbl>
    <w:p>
      <w:pPr>
        <w:rPr>
          <w:rFonts w:ascii="宋体" w:hAnsi="宋体" w:cs="宋体"/>
          <w:color w:val="000000"/>
          <w:sz w:val="24"/>
        </w:rPr>
      </w:pPr>
    </w:p>
    <w:sectPr>
      <w:headerReference r:id="rId3" w:type="first"/>
      <w:footerReference r:id="rId5" w:type="first"/>
      <w:footerReference r:id="rId4" w:type="default"/>
      <w:pgSz w:w="11906" w:h="16838"/>
      <w:pgMar w:top="1304" w:right="1797" w:bottom="1304" w:left="1797" w:header="851" w:footer="992" w:gutter="0"/>
      <w:cols w:space="425"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w:t>
    </w:r>
    <w:r>
      <w:rPr>
        <w:b/>
        <w:sz w:val="24"/>
        <w:szCs w:val="24"/>
      </w:rPr>
      <w:fldChar w:fldCharType="begin"/>
    </w:r>
    <w:r>
      <w:rPr>
        <w:b/>
      </w:rPr>
      <w:instrText xml:space="preserve">NUMPAGES</w:instrText>
    </w:r>
    <w:r>
      <w:rPr>
        <w:b/>
        <w:sz w:val="24"/>
        <w:szCs w:val="24"/>
      </w:rPr>
      <w:fldChar w:fldCharType="separate"/>
    </w:r>
    <w:r>
      <w:rPr>
        <w:b/>
      </w:rPr>
      <w:t>2</w:t>
    </w:r>
    <w:r>
      <w:rPr>
        <w:b/>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t>-</w:t>
    </w:r>
    <w:r>
      <w:rPr>
        <w:rStyle w:val="37"/>
      </w:rPr>
      <w:fldChar w:fldCharType="begin"/>
    </w:r>
    <w:r>
      <w:rPr>
        <w:rStyle w:val="37"/>
      </w:rPr>
      <w:instrText xml:space="preserve"> PAGE </w:instrText>
    </w:r>
    <w:r>
      <w:rPr>
        <w:rStyle w:val="37"/>
      </w:rPr>
      <w:fldChar w:fldCharType="separate"/>
    </w:r>
    <w:r>
      <w:rPr>
        <w:rStyle w:val="37"/>
      </w:rPr>
      <w:t>1</w:t>
    </w:r>
    <w:r>
      <w:rPr>
        <w:rStyle w:val="37"/>
      </w:rPr>
      <w:fldChar w:fldCharType="end"/>
    </w:r>
    <w:r>
      <w:rPr>
        <w:rStyle w:val="37"/>
      </w:rPr>
      <w:t>-</w:t>
    </w:r>
  </w:p>
  <w:p>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000000"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42F44E"/>
    <w:multiLevelType w:val="multilevel"/>
    <w:tmpl w:val="9142F44E"/>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compat>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g0NDkzMTg3YTAzYWQxYWFjOGMzZDBkODA2M2IzMmUifQ=="/>
  </w:docVars>
  <w:rsids>
    <w:rsidRoot w:val="00000000"/>
    <w:rsid w:val="058E02E6"/>
    <w:rsid w:val="54224A59"/>
    <w:rsid w:val="5B9A44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semiHidden="0" w:name="toc 3"/>
    <w:lsdException w:uiPriority="39" w:semiHidden="0" w:name="toc 4"/>
    <w:lsdException w:qFormat="1" w:uiPriority="39" w:semiHidden="0" w:name="toc 5"/>
    <w:lsdException w:uiPriority="39" w:semiHidden="0" w:name="toc 6"/>
    <w:lsdException w:qFormat="1" w:uiPriority="39" w:semiHidden="0" w:name="toc 7"/>
    <w:lsdException w:uiPriority="39" w:semiHidden="0" w:name="toc 8"/>
    <w:lsdException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link w:val="167"/>
    <w:qFormat/>
    <w:uiPriority w:val="9"/>
    <w:pPr>
      <w:keepNext/>
      <w:keepLines/>
      <w:spacing w:before="360" w:after="80"/>
      <w:outlineLvl w:val="0"/>
    </w:pPr>
    <w:rPr>
      <w:rFonts w:ascii="Arial" w:hAnsi="Arial" w:eastAsia="Arial" w:cs="Arial"/>
      <w:color w:val="376092" w:themeColor="accent1" w:themeShade="BF"/>
      <w:sz w:val="40"/>
      <w:szCs w:val="40"/>
    </w:rPr>
  </w:style>
  <w:style w:type="paragraph" w:styleId="3">
    <w:name w:val="heading 2"/>
    <w:basedOn w:val="1"/>
    <w:next w:val="1"/>
    <w:link w:val="168"/>
    <w:unhideWhenUsed/>
    <w:qFormat/>
    <w:uiPriority w:val="9"/>
    <w:pPr>
      <w:keepNext/>
      <w:keepLines/>
      <w:spacing w:before="160" w:after="80"/>
      <w:outlineLvl w:val="1"/>
    </w:pPr>
    <w:rPr>
      <w:rFonts w:ascii="Arial" w:hAnsi="Arial" w:eastAsia="Arial" w:cs="Arial"/>
      <w:color w:val="376092" w:themeColor="accent1" w:themeShade="BF"/>
      <w:sz w:val="32"/>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sz w:val="27"/>
      <w:szCs w:val="27"/>
      <w:lang w:val="en-US" w:eastAsia="zh-CN" w:bidi="ar"/>
    </w:rPr>
  </w:style>
  <w:style w:type="paragraph" w:styleId="5">
    <w:name w:val="heading 4"/>
    <w:basedOn w:val="1"/>
    <w:next w:val="1"/>
    <w:link w:val="170"/>
    <w:unhideWhenUsed/>
    <w:qFormat/>
    <w:uiPriority w:val="9"/>
    <w:pPr>
      <w:keepNext/>
      <w:keepLines/>
      <w:spacing w:before="80" w:after="40"/>
      <w:outlineLvl w:val="3"/>
    </w:pPr>
    <w:rPr>
      <w:rFonts w:ascii="Arial" w:hAnsi="Arial" w:eastAsia="Arial" w:cs="Arial"/>
      <w:i/>
      <w:iCs/>
      <w:color w:val="376092" w:themeColor="accent1" w:themeShade="BF"/>
    </w:rPr>
  </w:style>
  <w:style w:type="paragraph" w:styleId="6">
    <w:name w:val="heading 5"/>
    <w:basedOn w:val="1"/>
    <w:next w:val="1"/>
    <w:link w:val="171"/>
    <w:unhideWhenUsed/>
    <w:qFormat/>
    <w:uiPriority w:val="9"/>
    <w:pPr>
      <w:keepNext/>
      <w:keepLines/>
      <w:spacing w:before="80" w:after="40"/>
      <w:outlineLvl w:val="4"/>
    </w:pPr>
    <w:rPr>
      <w:rFonts w:ascii="Arial" w:hAnsi="Arial" w:eastAsia="Arial" w:cs="Arial"/>
      <w:color w:val="376092" w:themeColor="accent1" w:themeShade="BF"/>
    </w:rPr>
  </w:style>
  <w:style w:type="paragraph" w:styleId="7">
    <w:name w:val="heading 6"/>
    <w:basedOn w:val="1"/>
    <w:next w:val="1"/>
    <w:link w:val="172"/>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73"/>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74"/>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75"/>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toc 7"/>
    <w:basedOn w:val="1"/>
    <w:next w:val="1"/>
    <w:unhideWhenUsed/>
    <w:qFormat/>
    <w:uiPriority w:val="39"/>
    <w:pPr>
      <w:spacing w:after="100"/>
      <w:ind w:left="1320"/>
    </w:pPr>
  </w:style>
  <w:style w:type="paragraph" w:styleId="12">
    <w:name w:val="caption"/>
    <w:basedOn w:val="1"/>
    <w:next w:val="1"/>
    <w:unhideWhenUsed/>
    <w:qFormat/>
    <w:uiPriority w:val="35"/>
    <w:pPr>
      <w:spacing w:after="200" w:line="240" w:lineRule="auto"/>
    </w:pPr>
    <w:rPr>
      <w:i/>
      <w:iCs/>
      <w:color w:val="1F497D" w:themeColor="text2"/>
      <w:sz w:val="18"/>
      <w:szCs w:val="18"/>
      <w14:textFill>
        <w14:solidFill>
          <w14:schemeClr w14:val="tx2"/>
        </w14:solidFill>
      </w14:textFill>
    </w:rPr>
  </w:style>
  <w:style w:type="paragraph" w:styleId="13">
    <w:name w:val="Body Text"/>
    <w:basedOn w:val="1"/>
    <w:semiHidden/>
    <w:unhideWhenUsed/>
    <w:qFormat/>
    <w:uiPriority w:val="99"/>
    <w:pPr>
      <w:widowControl w:val="0"/>
      <w:spacing w:after="120"/>
      <w:jc w:val="both"/>
    </w:pPr>
    <w:rPr>
      <w:rFonts w:ascii="Times New Roman" w:hAnsi="Times New Roman" w:cs="Times New Roman"/>
      <w:szCs w:val="21"/>
    </w:rPr>
  </w:style>
  <w:style w:type="paragraph" w:styleId="14">
    <w:name w:val="Body Text Indent"/>
    <w:basedOn w:val="1"/>
    <w:unhideWhenUsed/>
    <w:qFormat/>
    <w:uiPriority w:val="99"/>
    <w:pPr>
      <w:spacing w:after="120"/>
      <w:ind w:left="420"/>
    </w:pPr>
  </w:style>
  <w:style w:type="paragraph" w:styleId="15">
    <w:name w:val="toc 5"/>
    <w:basedOn w:val="1"/>
    <w:next w:val="1"/>
    <w:unhideWhenUsed/>
    <w:qFormat/>
    <w:uiPriority w:val="39"/>
    <w:pPr>
      <w:spacing w:after="100"/>
      <w:ind w:left="880"/>
    </w:pPr>
  </w:style>
  <w:style w:type="paragraph" w:styleId="16">
    <w:name w:val="toc 3"/>
    <w:basedOn w:val="1"/>
    <w:next w:val="1"/>
    <w:unhideWhenUsed/>
    <w:uiPriority w:val="39"/>
    <w:pPr>
      <w:spacing w:after="100"/>
      <w:ind w:left="440"/>
    </w:pPr>
  </w:style>
  <w:style w:type="paragraph" w:styleId="17">
    <w:name w:val="toc 8"/>
    <w:basedOn w:val="1"/>
    <w:next w:val="1"/>
    <w:unhideWhenUsed/>
    <w:uiPriority w:val="39"/>
    <w:pPr>
      <w:spacing w:after="100"/>
      <w:ind w:left="1540"/>
    </w:pPr>
  </w:style>
  <w:style w:type="paragraph" w:styleId="18">
    <w:name w:val="endnote text"/>
    <w:basedOn w:val="1"/>
    <w:link w:val="191"/>
    <w:semiHidden/>
    <w:unhideWhenUsed/>
    <w:qFormat/>
    <w:uiPriority w:val="99"/>
    <w:pPr>
      <w:spacing w:after="0" w:line="240" w:lineRule="auto"/>
    </w:pPr>
    <w:rPr>
      <w:sz w:val="20"/>
      <w:szCs w:val="20"/>
    </w:rPr>
  </w:style>
  <w:style w:type="paragraph" w:styleId="19">
    <w:name w:val="footer"/>
    <w:basedOn w:val="1"/>
    <w:link w:val="195"/>
    <w:unhideWhenUsed/>
    <w:qFormat/>
    <w:uiPriority w:val="99"/>
    <w:pPr>
      <w:tabs>
        <w:tab w:val="center" w:pos="4153"/>
        <w:tab w:val="right" w:pos="8306"/>
      </w:tabs>
      <w:jc w:val="left"/>
    </w:pPr>
    <w:rPr>
      <w:sz w:val="18"/>
      <w:szCs w:val="18"/>
    </w:rPr>
  </w:style>
  <w:style w:type="paragraph" w:styleId="20">
    <w:name w:val="header"/>
    <w:basedOn w:val="1"/>
    <w:link w:val="194"/>
    <w:unhideWhenUsed/>
    <w:qFormat/>
    <w:uiPriority w:val="99"/>
    <w:pPr>
      <w:pBdr>
        <w:bottom w:val="single" w:color="000000" w:sz="6" w:space="1"/>
      </w:pBdr>
      <w:tabs>
        <w:tab w:val="center" w:pos="4153"/>
        <w:tab w:val="right" w:pos="8306"/>
      </w:tabs>
      <w:jc w:val="center"/>
    </w:pPr>
    <w:rPr>
      <w:sz w:val="18"/>
      <w:szCs w:val="18"/>
    </w:rPr>
  </w:style>
  <w:style w:type="paragraph" w:styleId="21">
    <w:name w:val="toc 1"/>
    <w:basedOn w:val="1"/>
    <w:next w:val="1"/>
    <w:unhideWhenUsed/>
    <w:qFormat/>
    <w:uiPriority w:val="39"/>
    <w:pPr>
      <w:spacing w:after="100"/>
    </w:pPr>
  </w:style>
  <w:style w:type="paragraph" w:styleId="22">
    <w:name w:val="toc 4"/>
    <w:basedOn w:val="1"/>
    <w:next w:val="1"/>
    <w:unhideWhenUsed/>
    <w:uiPriority w:val="39"/>
    <w:pPr>
      <w:spacing w:after="100"/>
      <w:ind w:left="660"/>
    </w:pPr>
  </w:style>
  <w:style w:type="paragraph" w:styleId="23">
    <w:name w:val="Subtitle"/>
    <w:basedOn w:val="1"/>
    <w:next w:val="1"/>
    <w:link w:val="177"/>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4">
    <w:name w:val="footnote text"/>
    <w:basedOn w:val="1"/>
    <w:link w:val="190"/>
    <w:semiHidden/>
    <w:unhideWhenUsed/>
    <w:qFormat/>
    <w:uiPriority w:val="99"/>
    <w:pPr>
      <w:spacing w:after="0" w:line="240" w:lineRule="auto"/>
    </w:pPr>
    <w:rPr>
      <w:sz w:val="20"/>
      <w:szCs w:val="20"/>
    </w:rPr>
  </w:style>
  <w:style w:type="paragraph" w:styleId="25">
    <w:name w:val="toc 6"/>
    <w:basedOn w:val="1"/>
    <w:next w:val="1"/>
    <w:unhideWhenUsed/>
    <w:uiPriority w:val="39"/>
    <w:pPr>
      <w:spacing w:after="100"/>
      <w:ind w:left="1100"/>
    </w:pPr>
  </w:style>
  <w:style w:type="paragraph" w:styleId="26">
    <w:name w:val="table of figures"/>
    <w:basedOn w:val="1"/>
    <w:next w:val="1"/>
    <w:unhideWhenUsed/>
    <w:qFormat/>
    <w:uiPriority w:val="99"/>
    <w:pPr>
      <w:spacing w:after="0" w:afterAutospacing="0"/>
    </w:pPr>
  </w:style>
  <w:style w:type="paragraph" w:styleId="27">
    <w:name w:val="toc 2"/>
    <w:basedOn w:val="1"/>
    <w:next w:val="1"/>
    <w:unhideWhenUsed/>
    <w:qFormat/>
    <w:uiPriority w:val="39"/>
    <w:pPr>
      <w:spacing w:after="100"/>
      <w:ind w:left="220"/>
    </w:pPr>
  </w:style>
  <w:style w:type="paragraph" w:styleId="28">
    <w:name w:val="toc 9"/>
    <w:basedOn w:val="1"/>
    <w:next w:val="1"/>
    <w:unhideWhenUsed/>
    <w:uiPriority w:val="39"/>
    <w:pPr>
      <w:spacing w:after="100"/>
      <w:ind w:left="1760"/>
    </w:pPr>
  </w:style>
  <w:style w:type="paragraph" w:styleId="29">
    <w:name w:val="Normal (Web)"/>
    <w:basedOn w:val="1"/>
    <w:semiHidden/>
    <w:unhideWhenUsed/>
    <w:qFormat/>
    <w:uiPriority w:val="99"/>
    <w:pPr>
      <w:spacing w:before="0" w:beforeAutospacing="1" w:after="0" w:afterAutospacing="1"/>
      <w:ind w:left="0" w:right="0"/>
      <w:jc w:val="left"/>
    </w:pPr>
    <w:rPr>
      <w:sz w:val="24"/>
      <w:lang w:val="en-US" w:eastAsia="zh-CN" w:bidi="ar"/>
    </w:rPr>
  </w:style>
  <w:style w:type="paragraph" w:styleId="30">
    <w:name w:val="Title"/>
    <w:basedOn w:val="1"/>
    <w:next w:val="1"/>
    <w:qFormat/>
    <w:uiPriority w:val="10"/>
    <w:pPr>
      <w:spacing w:after="60"/>
      <w:jc w:val="left"/>
      <w:outlineLvl w:val="0"/>
    </w:pPr>
    <w:rPr>
      <w:rFonts w:asciiTheme="majorHAnsi" w:hAnsiTheme="majorHAnsi" w:cstheme="majorBidi"/>
      <w:b/>
      <w:bCs/>
      <w:sz w:val="32"/>
      <w:szCs w:val="32"/>
    </w:rPr>
  </w:style>
  <w:style w:type="paragraph" w:styleId="31">
    <w:name w:val="Body Text First Indent 2"/>
    <w:basedOn w:val="14"/>
    <w:unhideWhenUsed/>
    <w:qFormat/>
    <w:uiPriority w:val="99"/>
    <w:pPr>
      <w:ind w:firstLine="420"/>
    </w:pPr>
  </w:style>
  <w:style w:type="table" w:styleId="33">
    <w:name w:val="Table Grid"/>
    <w:basedOn w:val="32"/>
    <w:qFormat/>
    <w:uiPriority w:val="0"/>
    <w:pPr>
      <w:widowControl w:val="0"/>
      <w:jc w:val="both"/>
    </w:pPr>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5">
    <w:name w:val="Strong"/>
    <w:basedOn w:val="34"/>
    <w:qFormat/>
    <w:uiPriority w:val="22"/>
    <w:rPr>
      <w:b/>
    </w:rPr>
  </w:style>
  <w:style w:type="character" w:styleId="36">
    <w:name w:val="endnote reference"/>
    <w:basedOn w:val="34"/>
    <w:semiHidden/>
    <w:unhideWhenUsed/>
    <w:uiPriority w:val="99"/>
    <w:rPr>
      <w:vertAlign w:val="superscript"/>
    </w:rPr>
  </w:style>
  <w:style w:type="character" w:styleId="37">
    <w:name w:val="page number"/>
    <w:basedOn w:val="34"/>
    <w:qFormat/>
    <w:uiPriority w:val="0"/>
  </w:style>
  <w:style w:type="character" w:styleId="38">
    <w:name w:val="FollowedHyperlink"/>
    <w:basedOn w:val="34"/>
    <w:semiHidden/>
    <w:unhideWhenUsed/>
    <w:uiPriority w:val="99"/>
    <w:rPr>
      <w:color w:val="800080" w:themeColor="followedHyperlink"/>
      <w:u w:val="single"/>
      <w14:textFill>
        <w14:solidFill>
          <w14:schemeClr w14:val="folHlink"/>
        </w14:solidFill>
      </w14:textFill>
    </w:rPr>
  </w:style>
  <w:style w:type="character" w:styleId="39">
    <w:name w:val="Emphasis"/>
    <w:basedOn w:val="34"/>
    <w:qFormat/>
    <w:uiPriority w:val="20"/>
    <w:rPr>
      <w:i/>
    </w:rPr>
  </w:style>
  <w:style w:type="character" w:styleId="40">
    <w:name w:val="Hyperlink"/>
    <w:basedOn w:val="34"/>
    <w:unhideWhenUsed/>
    <w:qFormat/>
    <w:uiPriority w:val="99"/>
    <w:rPr>
      <w:color w:val="0000FF" w:themeColor="hyperlink"/>
      <w:u w:val="single"/>
      <w14:textFill>
        <w14:solidFill>
          <w14:schemeClr w14:val="hlink"/>
        </w14:solidFill>
      </w14:textFill>
    </w:rPr>
  </w:style>
  <w:style w:type="character" w:styleId="41">
    <w:name w:val="footnote reference"/>
    <w:basedOn w:val="34"/>
    <w:semiHidden/>
    <w:unhideWhenUsed/>
    <w:uiPriority w:val="99"/>
    <w:rPr>
      <w:vertAlign w:val="superscript"/>
    </w:rPr>
  </w:style>
  <w:style w:type="table" w:customStyle="1" w:styleId="42">
    <w:name w:val="Table Grid Light"/>
    <w:basedOn w:val="3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43">
    <w:name w:val="Plain Table 1"/>
    <w:basedOn w:val="3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4">
    <w:name w:val="Plain Table 2"/>
    <w:basedOn w:val="3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5">
    <w:name w:val="Plain Table 3"/>
    <w:basedOn w:val="32"/>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6">
    <w:name w:val="Plain Table 4"/>
    <w:basedOn w:val="32"/>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7">
    <w:name w:val="Plain Table 5"/>
    <w:basedOn w:val="32"/>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8">
    <w:name w:val="Grid Table 1 Light"/>
    <w:basedOn w:val="32"/>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9">
    <w:name w:val="Grid Table 1 Light - Accent 1"/>
    <w:basedOn w:val="32"/>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50">
    <w:name w:val="Grid Table 1 Light - Accent 2"/>
    <w:basedOn w:val="3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51">
    <w:name w:val="Grid Table 1 Light - Accent 3"/>
    <w:basedOn w:val="32"/>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52">
    <w:name w:val="Grid Table 1 Light - Accent 4"/>
    <w:basedOn w:val="32"/>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53">
    <w:name w:val="Grid Table 1 Light - Accent 5"/>
    <w:basedOn w:val="32"/>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54">
    <w:name w:val="Grid Table 1 Light - Accent 6"/>
    <w:basedOn w:val="32"/>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55">
    <w:name w:val="Grid Table 2"/>
    <w:basedOn w:val="3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56">
    <w:name w:val="Grid Table 2 - Accent 1"/>
    <w:basedOn w:val="32"/>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57">
    <w:name w:val="Grid Table 2 - Accent 2"/>
    <w:basedOn w:val="3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58">
    <w:name w:val="Grid Table 2 - Accent 3"/>
    <w:basedOn w:val="32"/>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59">
    <w:name w:val="Grid Table 2 - Accent 4"/>
    <w:basedOn w:val="32"/>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60">
    <w:name w:val="Grid Table 2 - Accent 5"/>
    <w:basedOn w:val="32"/>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61">
    <w:name w:val="Grid Table 2 - Accent 6"/>
    <w:basedOn w:val="32"/>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62">
    <w:name w:val="Grid Table 3"/>
    <w:basedOn w:val="3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3">
    <w:name w:val="Grid Table 3 - Accent 1"/>
    <w:basedOn w:val="32"/>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64">
    <w:name w:val="Grid Table 3 - Accent 2"/>
    <w:basedOn w:val="3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65">
    <w:name w:val="Grid Table 3 - Accent 3"/>
    <w:basedOn w:val="32"/>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66">
    <w:name w:val="Grid Table 3 - Accent 4"/>
    <w:basedOn w:val="32"/>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67">
    <w:name w:val="Grid Table 3 - Accent 5"/>
    <w:basedOn w:val="32"/>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68">
    <w:name w:val="Grid Table 3 - Accent 6"/>
    <w:basedOn w:val="32"/>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69">
    <w:name w:val="Grid Table 4"/>
    <w:basedOn w:val="32"/>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0">
    <w:name w:val="Grid Table 4 - Accent 1"/>
    <w:basedOn w:val="32"/>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71">
    <w:name w:val="Grid Table 4 - Accent 2"/>
    <w:basedOn w:val="32"/>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2">
    <w:name w:val="Grid Table 4 - Accent 3"/>
    <w:basedOn w:val="32"/>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3">
    <w:name w:val="Grid Table 4 - Accent 4"/>
    <w:basedOn w:val="32"/>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4">
    <w:name w:val="Grid Table 4 - Accent 5"/>
    <w:basedOn w:val="32"/>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5">
    <w:name w:val="Grid Table 4 - Accent 6"/>
    <w:basedOn w:val="32"/>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6">
    <w:name w:val="Grid Table 5 Dark"/>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77">
    <w:name w:val="Grid Table 5 Dark- Accent 1"/>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78">
    <w:name w:val="Grid Table 5 Dark - Accent 2"/>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79">
    <w:name w:val="Grid Table 5 Dark - Accent 3"/>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80">
    <w:name w:val="Grid Table 5 Dark- Accent 4"/>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81">
    <w:name w:val="Grid Table 5 Dark - Accent 5"/>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82">
    <w:name w:val="Grid Table 5 Dark - Accent 6"/>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83">
    <w:name w:val="Grid Table 6 Colorful"/>
    <w:basedOn w:val="32"/>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4">
    <w:name w:val="Grid Table 6 Colorful - Accent 1"/>
    <w:basedOn w:val="32"/>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5">
    <w:name w:val="Grid Table 6 Colorful - Accent 2"/>
    <w:basedOn w:val="3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6">
    <w:name w:val="Grid Table 6 Colorful - Accent 3"/>
    <w:basedOn w:val="32"/>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7">
    <w:name w:val="Grid Table 6 Colorful - Accent 4"/>
    <w:basedOn w:val="32"/>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8">
    <w:name w:val="Grid Table 6 Colorful - Accent 5"/>
    <w:basedOn w:val="32"/>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89">
    <w:name w:val="Grid Table 6 Colorful - Accent 6"/>
    <w:basedOn w:val="32"/>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0">
    <w:name w:val="Grid Table 7 Colorful"/>
    <w:basedOn w:val="32"/>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1">
    <w:name w:val="Grid Table 7 Colorful - Accent 1"/>
    <w:basedOn w:val="32"/>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2">
    <w:name w:val="Grid Table 7 Colorful - Accent 2"/>
    <w:basedOn w:val="32"/>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3">
    <w:name w:val="Grid Table 7 Colorful - Accent 3"/>
    <w:basedOn w:val="32"/>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4">
    <w:name w:val="Grid Table 7 Colorful - Accent 4"/>
    <w:basedOn w:val="32"/>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5">
    <w:name w:val="Grid Table 7 Colorful - Accent 5"/>
    <w:basedOn w:val="32"/>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6">
    <w:name w:val="Grid Table 7 Colorful - Accent 6"/>
    <w:basedOn w:val="32"/>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97">
    <w:name w:val="List Table 1 Light"/>
    <w:basedOn w:val="32"/>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98">
    <w:name w:val="List Table 1 Light - Accent 1"/>
    <w:basedOn w:val="32"/>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99">
    <w:name w:val="List Table 1 Light - Accent 2"/>
    <w:basedOn w:val="32"/>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00">
    <w:name w:val="List Table 1 Light - Accent 3"/>
    <w:basedOn w:val="32"/>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01">
    <w:name w:val="List Table 1 Light - Accent 4"/>
    <w:basedOn w:val="32"/>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02">
    <w:name w:val="List Table 1 Light - Accent 5"/>
    <w:basedOn w:val="32"/>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03">
    <w:name w:val="List Table 1 Light - Accent 6"/>
    <w:basedOn w:val="32"/>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04">
    <w:name w:val="List Table 2"/>
    <w:basedOn w:val="3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05">
    <w:name w:val="List Table 2 - Accent 1"/>
    <w:basedOn w:val="32"/>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06">
    <w:name w:val="List Table 2 - Accent 2"/>
    <w:basedOn w:val="32"/>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07">
    <w:name w:val="List Table 2 - Accent 3"/>
    <w:basedOn w:val="32"/>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08">
    <w:name w:val="List Table 2 - Accent 4"/>
    <w:basedOn w:val="32"/>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09">
    <w:name w:val="List Table 2 - Accent 5"/>
    <w:basedOn w:val="32"/>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10">
    <w:name w:val="List Table 2 - Accent 6"/>
    <w:basedOn w:val="32"/>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1">
    <w:name w:val="List Table 3"/>
    <w:basedOn w:val="32"/>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12">
    <w:name w:val="List Table 3 - Accent 1"/>
    <w:basedOn w:val="32"/>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13">
    <w:name w:val="List Table 3 - Accent 2"/>
    <w:basedOn w:val="32"/>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14">
    <w:name w:val="List Table 3 - Accent 3"/>
    <w:basedOn w:val="32"/>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15">
    <w:name w:val="List Table 3 - Accent 4"/>
    <w:basedOn w:val="32"/>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16">
    <w:name w:val="List Table 3 - Accent 5"/>
    <w:basedOn w:val="32"/>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17">
    <w:name w:val="List Table 3 - Accent 6"/>
    <w:basedOn w:val="32"/>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18">
    <w:name w:val="List Table 4"/>
    <w:basedOn w:val="3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9">
    <w:name w:val="List Table 4 - Accent 1"/>
    <w:basedOn w:val="32"/>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20">
    <w:name w:val="List Table 4 - Accent 2"/>
    <w:basedOn w:val="32"/>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21">
    <w:name w:val="List Table 4 - Accent 3"/>
    <w:basedOn w:val="32"/>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2">
    <w:name w:val="List Table 4 - Accent 4"/>
    <w:basedOn w:val="32"/>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3">
    <w:name w:val="List Table 4 - Accent 5"/>
    <w:basedOn w:val="32"/>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4">
    <w:name w:val="List Table 4 - Accent 6"/>
    <w:basedOn w:val="32"/>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5">
    <w:name w:val="List Table 5 Dark"/>
    <w:basedOn w:val="32"/>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26">
    <w:name w:val="List Table 5 Dark - Accent 1"/>
    <w:basedOn w:val="32"/>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27">
    <w:name w:val="List Table 5 Dark - Accent 2"/>
    <w:basedOn w:val="32"/>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28">
    <w:name w:val="List Table 5 Dark - Accent 3"/>
    <w:basedOn w:val="32"/>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29">
    <w:name w:val="List Table 5 Dark - Accent 4"/>
    <w:basedOn w:val="32"/>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30">
    <w:name w:val="List Table 5 Dark - Accent 5"/>
    <w:basedOn w:val="32"/>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31">
    <w:name w:val="List Table 5 Dark - Accent 6"/>
    <w:basedOn w:val="32"/>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32">
    <w:name w:val="List Table 6 Colorful"/>
    <w:basedOn w:val="32"/>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33">
    <w:name w:val="List Table 6 Colorful - Accent 1"/>
    <w:basedOn w:val="32"/>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34">
    <w:name w:val="List Table 6 Colorful - Accent 2"/>
    <w:basedOn w:val="32"/>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5">
    <w:name w:val="List Table 6 Colorful - Accent 3"/>
    <w:basedOn w:val="32"/>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6">
    <w:name w:val="List Table 6 Colorful - Accent 4"/>
    <w:basedOn w:val="32"/>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7">
    <w:name w:val="List Table 6 Colorful - Accent 5"/>
    <w:basedOn w:val="32"/>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8">
    <w:name w:val="List Table 6 Colorful - Accent 6"/>
    <w:basedOn w:val="32"/>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9">
    <w:name w:val="List Table 7 Colorful"/>
    <w:basedOn w:val="32"/>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40">
    <w:name w:val="List Table 7 Colorful - Accent 1"/>
    <w:basedOn w:val="32"/>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41">
    <w:name w:val="List Table 7 Colorful - Accent 2"/>
    <w:basedOn w:val="32"/>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2">
    <w:name w:val="List Table 7 Colorful - Accent 3"/>
    <w:basedOn w:val="32"/>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3">
    <w:name w:val="List Table 7 Colorful - Accent 4"/>
    <w:basedOn w:val="32"/>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4">
    <w:name w:val="List Table 7 Colorful - Accent 5"/>
    <w:basedOn w:val="32"/>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5">
    <w:name w:val="List Table 7 Colorful - Accent 6"/>
    <w:basedOn w:val="32"/>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6">
    <w:name w:val="Lined - Accent"/>
    <w:basedOn w:val="32"/>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47">
    <w:name w:val="Lined - Accent 1"/>
    <w:basedOn w:val="32"/>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48">
    <w:name w:val="Lined - Accent 2"/>
    <w:basedOn w:val="32"/>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49">
    <w:name w:val="Lined - Accent 3"/>
    <w:basedOn w:val="32"/>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50">
    <w:name w:val="Lined - Accent 4"/>
    <w:basedOn w:val="32"/>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51">
    <w:name w:val="Lined - Accent 5"/>
    <w:basedOn w:val="32"/>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52">
    <w:name w:val="Lined - Accent 6"/>
    <w:basedOn w:val="32"/>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53">
    <w:name w:val="Bordered &amp; Lined - Accent"/>
    <w:basedOn w:val="32"/>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54">
    <w:name w:val="Bordered &amp; Lined - Accent 1"/>
    <w:basedOn w:val="32"/>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55">
    <w:name w:val="Bordered &amp; Lined - Accent 2"/>
    <w:basedOn w:val="32"/>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56">
    <w:name w:val="Bordered &amp; Lined - Accent 3"/>
    <w:basedOn w:val="32"/>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57">
    <w:name w:val="Bordered &amp; Lined - Accent 4"/>
    <w:basedOn w:val="32"/>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58">
    <w:name w:val="Bordered &amp; Lined - Accent 5"/>
    <w:basedOn w:val="32"/>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59">
    <w:name w:val="Bordered &amp; Lined - Accent 6"/>
    <w:basedOn w:val="32"/>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60">
    <w:name w:val="Bordered"/>
    <w:basedOn w:val="32"/>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61">
    <w:name w:val="Bordered - Accent 1"/>
    <w:basedOn w:val="32"/>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62">
    <w:name w:val="Bordered - Accent 2"/>
    <w:basedOn w:val="32"/>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63">
    <w:name w:val="Bordered - Accent 3"/>
    <w:basedOn w:val="32"/>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64">
    <w:name w:val="Bordered - Accent 4"/>
    <w:basedOn w:val="32"/>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65">
    <w:name w:val="Bordered - Accent 5"/>
    <w:basedOn w:val="32"/>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66">
    <w:name w:val="Bordered - Accent 6"/>
    <w:basedOn w:val="32"/>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67">
    <w:name w:val="Heading 1 Char"/>
    <w:basedOn w:val="34"/>
    <w:link w:val="2"/>
    <w:uiPriority w:val="9"/>
    <w:rPr>
      <w:rFonts w:ascii="Arial" w:hAnsi="Arial" w:eastAsia="Arial" w:cs="Arial"/>
      <w:color w:val="376092" w:themeColor="accent1" w:themeShade="BF"/>
      <w:sz w:val="40"/>
      <w:szCs w:val="40"/>
    </w:rPr>
  </w:style>
  <w:style w:type="character" w:customStyle="1" w:styleId="168">
    <w:name w:val="Heading 2 Char"/>
    <w:basedOn w:val="34"/>
    <w:link w:val="3"/>
    <w:uiPriority w:val="9"/>
    <w:rPr>
      <w:rFonts w:ascii="Arial" w:hAnsi="Arial" w:eastAsia="Arial" w:cs="Arial"/>
      <w:color w:val="376092" w:themeColor="accent1" w:themeShade="BF"/>
      <w:sz w:val="32"/>
      <w:szCs w:val="32"/>
    </w:rPr>
  </w:style>
  <w:style w:type="character" w:customStyle="1" w:styleId="169">
    <w:name w:val="Heading 3 Char"/>
    <w:basedOn w:val="34"/>
    <w:uiPriority w:val="9"/>
    <w:rPr>
      <w:rFonts w:ascii="Arial" w:hAnsi="Arial" w:eastAsia="Arial" w:cs="Arial"/>
      <w:color w:val="376092" w:themeColor="accent1" w:themeShade="BF"/>
      <w:sz w:val="28"/>
      <w:szCs w:val="28"/>
    </w:rPr>
  </w:style>
  <w:style w:type="character" w:customStyle="1" w:styleId="170">
    <w:name w:val="Heading 4 Char"/>
    <w:basedOn w:val="34"/>
    <w:link w:val="5"/>
    <w:uiPriority w:val="9"/>
    <w:rPr>
      <w:rFonts w:ascii="Arial" w:hAnsi="Arial" w:eastAsia="Arial" w:cs="Arial"/>
      <w:i/>
      <w:iCs/>
      <w:color w:val="376092" w:themeColor="accent1" w:themeShade="BF"/>
    </w:rPr>
  </w:style>
  <w:style w:type="character" w:customStyle="1" w:styleId="171">
    <w:name w:val="Heading 5 Char"/>
    <w:basedOn w:val="34"/>
    <w:link w:val="6"/>
    <w:qFormat/>
    <w:uiPriority w:val="9"/>
    <w:rPr>
      <w:rFonts w:ascii="Arial" w:hAnsi="Arial" w:eastAsia="Arial" w:cs="Arial"/>
      <w:color w:val="376092" w:themeColor="accent1" w:themeShade="BF"/>
    </w:rPr>
  </w:style>
  <w:style w:type="character" w:customStyle="1" w:styleId="172">
    <w:name w:val="Heading 6 Char"/>
    <w:basedOn w:val="34"/>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73">
    <w:name w:val="Heading 7 Char"/>
    <w:basedOn w:val="34"/>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74">
    <w:name w:val="Heading 8 Char"/>
    <w:basedOn w:val="34"/>
    <w:link w:val="9"/>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5">
    <w:name w:val="Heading 9 Char"/>
    <w:basedOn w:val="34"/>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6">
    <w:name w:val="Title Char"/>
    <w:basedOn w:val="34"/>
    <w:uiPriority w:val="10"/>
    <w:rPr>
      <w:rFonts w:ascii="Arial" w:hAnsi="Arial" w:eastAsia="Arial" w:cs="Arial"/>
      <w:spacing w:val="-10"/>
      <w:sz w:val="56"/>
      <w:szCs w:val="56"/>
    </w:rPr>
  </w:style>
  <w:style w:type="character" w:customStyle="1" w:styleId="177">
    <w:name w:val="Subtitle Char"/>
    <w:basedOn w:val="34"/>
    <w:link w:val="23"/>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8">
    <w:name w:val="Quote"/>
    <w:basedOn w:val="1"/>
    <w:next w:val="1"/>
    <w:link w:val="17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9">
    <w:name w:val="Quote Char"/>
    <w:basedOn w:val="34"/>
    <w:link w:val="178"/>
    <w:qFormat/>
    <w:uiPriority w:val="29"/>
    <w:rPr>
      <w:i/>
      <w:iCs/>
      <w:color w:val="404040" w:themeColor="text1" w:themeTint="BF"/>
      <w14:textFill>
        <w14:solidFill>
          <w14:schemeClr w14:val="tx1">
            <w14:lumMod w14:val="75000"/>
            <w14:lumOff w14:val="25000"/>
          </w14:schemeClr>
        </w14:solidFill>
      </w14:textFill>
    </w:rPr>
  </w:style>
  <w:style w:type="character" w:customStyle="1" w:styleId="180">
    <w:name w:val="Intense Emphasis"/>
    <w:basedOn w:val="34"/>
    <w:qFormat/>
    <w:uiPriority w:val="21"/>
    <w:rPr>
      <w:i/>
      <w:iCs/>
      <w:color w:val="376092" w:themeColor="accent1" w:themeShade="BF"/>
    </w:rPr>
  </w:style>
  <w:style w:type="paragraph" w:styleId="181">
    <w:name w:val="Intense Quote"/>
    <w:basedOn w:val="1"/>
    <w:next w:val="1"/>
    <w:link w:val="182"/>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82">
    <w:name w:val="Intense Quote Char"/>
    <w:basedOn w:val="34"/>
    <w:link w:val="181"/>
    <w:qFormat/>
    <w:uiPriority w:val="30"/>
    <w:rPr>
      <w:i/>
      <w:iCs/>
      <w:color w:val="376092" w:themeColor="accent1" w:themeShade="BF"/>
    </w:rPr>
  </w:style>
  <w:style w:type="character" w:customStyle="1" w:styleId="183">
    <w:name w:val="Intense Reference"/>
    <w:basedOn w:val="34"/>
    <w:qFormat/>
    <w:uiPriority w:val="32"/>
    <w:rPr>
      <w:b/>
      <w:bCs/>
      <w:smallCaps/>
      <w:color w:val="376092" w:themeColor="accent1" w:themeShade="BF"/>
      <w:spacing w:val="5"/>
    </w:rPr>
  </w:style>
  <w:style w:type="paragraph" w:styleId="184">
    <w:name w:val="No Spacing"/>
    <w:basedOn w:val="1"/>
    <w:qFormat/>
    <w:uiPriority w:val="1"/>
    <w:pPr>
      <w:spacing w:after="0" w:line="240" w:lineRule="auto"/>
    </w:pPr>
  </w:style>
  <w:style w:type="character" w:customStyle="1" w:styleId="185">
    <w:name w:val="Subtle Emphasis"/>
    <w:basedOn w:val="34"/>
    <w:qFormat/>
    <w:uiPriority w:val="19"/>
    <w:rPr>
      <w:i/>
      <w:iCs/>
      <w:color w:val="404040" w:themeColor="text1" w:themeTint="BF"/>
      <w14:textFill>
        <w14:solidFill>
          <w14:schemeClr w14:val="tx1">
            <w14:lumMod w14:val="75000"/>
            <w14:lumOff w14:val="25000"/>
          </w14:schemeClr>
        </w14:solidFill>
      </w14:textFill>
    </w:rPr>
  </w:style>
  <w:style w:type="character" w:customStyle="1" w:styleId="186">
    <w:name w:val="Subtle Reference"/>
    <w:basedOn w:val="34"/>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7">
    <w:name w:val="Book Title"/>
    <w:basedOn w:val="34"/>
    <w:qFormat/>
    <w:uiPriority w:val="33"/>
    <w:rPr>
      <w:b/>
      <w:bCs/>
      <w:i/>
      <w:iCs/>
      <w:spacing w:val="5"/>
    </w:rPr>
  </w:style>
  <w:style w:type="character" w:customStyle="1" w:styleId="188">
    <w:name w:val="Header Char"/>
    <w:basedOn w:val="34"/>
    <w:qFormat/>
    <w:uiPriority w:val="99"/>
  </w:style>
  <w:style w:type="character" w:customStyle="1" w:styleId="189">
    <w:name w:val="Footer Char"/>
    <w:basedOn w:val="34"/>
    <w:qFormat/>
    <w:uiPriority w:val="99"/>
  </w:style>
  <w:style w:type="character" w:customStyle="1" w:styleId="190">
    <w:name w:val="Footnote Text Char"/>
    <w:basedOn w:val="34"/>
    <w:link w:val="24"/>
    <w:semiHidden/>
    <w:qFormat/>
    <w:uiPriority w:val="99"/>
    <w:rPr>
      <w:sz w:val="20"/>
      <w:szCs w:val="20"/>
    </w:rPr>
  </w:style>
  <w:style w:type="character" w:customStyle="1" w:styleId="191">
    <w:name w:val="Endnote Text Char"/>
    <w:basedOn w:val="34"/>
    <w:link w:val="18"/>
    <w:semiHidden/>
    <w:qFormat/>
    <w:uiPriority w:val="99"/>
    <w:rPr>
      <w:sz w:val="20"/>
      <w:szCs w:val="20"/>
    </w:rPr>
  </w:style>
  <w:style w:type="character" w:styleId="192">
    <w:name w:val="Placeholder Text"/>
    <w:basedOn w:val="34"/>
    <w:semiHidden/>
    <w:uiPriority w:val="99"/>
    <w:rPr>
      <w:color w:val="666666"/>
    </w:rPr>
  </w:style>
  <w:style w:type="paragraph" w:customStyle="1" w:styleId="193">
    <w:name w:val="TOC Heading"/>
    <w:unhideWhenUsed/>
    <w:uiPriority w:val="39"/>
    <w:rPr>
      <w:rFonts w:hint="default" w:ascii="Times New Roman" w:hAnsi="Times New Roman" w:eastAsia="宋体" w:cs="Times New Roman"/>
    </w:rPr>
  </w:style>
  <w:style w:type="character" w:customStyle="1" w:styleId="194">
    <w:name w:val="页眉 字符"/>
    <w:link w:val="20"/>
    <w:qFormat/>
    <w:uiPriority w:val="99"/>
    <w:rPr>
      <w:sz w:val="18"/>
      <w:szCs w:val="18"/>
    </w:rPr>
  </w:style>
  <w:style w:type="character" w:customStyle="1" w:styleId="195">
    <w:name w:val="页脚 字符"/>
    <w:link w:val="19"/>
    <w:qFormat/>
    <w:uiPriority w:val="99"/>
    <w:rPr>
      <w:sz w:val="18"/>
      <w:szCs w:val="18"/>
    </w:rPr>
  </w:style>
  <w:style w:type="paragraph" w:customStyle="1" w:styleId="196">
    <w:name w:val="Default"/>
    <w:qFormat/>
    <w:uiPriority w:val="0"/>
    <w:pPr>
      <w:widowControl w:val="0"/>
    </w:pPr>
    <w:rPr>
      <w:rFonts w:hint="default" w:ascii="黑体" w:hAnsi="Calibri" w:eastAsia="黑体" w:cs="黑体"/>
      <w:color w:val="000000"/>
      <w:sz w:val="24"/>
      <w:szCs w:val="24"/>
      <w:lang w:val="en-US" w:eastAsia="zh-CN" w:bidi="ar-SA"/>
    </w:rPr>
  </w:style>
  <w:style w:type="paragraph" w:styleId="197">
    <w:name w:val="List Paragraph"/>
    <w:basedOn w:val="1"/>
    <w:qFormat/>
    <w:uiPriority w:val="34"/>
    <w:pPr>
      <w:ind w:firstLine="420"/>
    </w:pPr>
    <w:rPr>
      <w:rFonts w:ascii="等线" w:hAnsi="等线" w:eastAsia="等线"/>
      <w:szCs w:val="22"/>
    </w:rPr>
  </w:style>
  <w:style w:type="paragraph" w:customStyle="1" w:styleId="198">
    <w:name w:val="msolistparagraph"/>
    <w:basedOn w:val="1"/>
    <w:qFormat/>
    <w:uiPriority w:val="0"/>
    <w:pPr>
      <w:ind w:firstLine="420"/>
    </w:pPr>
    <w:rPr>
      <w:rFonts w:hint="eastAsia" w:ascii="等线" w:hAnsi="等线" w:eastAsia="等线"/>
      <w:szCs w:val="22"/>
    </w:rPr>
  </w:style>
  <w:style w:type="paragraph" w:customStyle="1" w:styleId="199">
    <w:name w:val="005正文"/>
    <w:basedOn w:val="1"/>
    <w:link w:val="200"/>
    <w:qFormat/>
    <w:uiPriority w:val="0"/>
    <w:pPr>
      <w:spacing w:beforeLines="50"/>
    </w:pPr>
    <w:rPr>
      <w:szCs w:val="22"/>
    </w:rPr>
  </w:style>
  <w:style w:type="character" w:customStyle="1" w:styleId="200">
    <w:name w:val="005正文 Char"/>
    <w:link w:val="199"/>
    <w:qFormat/>
    <w:uiPriority w:val="0"/>
    <w:rPr>
      <w:rFonts w:hint="default" w:ascii="Times New Roman" w:hAnsi="Times New Roman" w:cs="Times New Roman"/>
      <w:sz w:val="21"/>
      <w:szCs w:val="22"/>
    </w:rPr>
  </w:style>
  <w:style w:type="paragraph" w:customStyle="1" w:styleId="201">
    <w:name w:val="日常使用"/>
    <w:basedOn w:val="1"/>
    <w:link w:val="202"/>
    <w:qFormat/>
    <w:uiPriority w:val="0"/>
    <w:pPr>
      <w:spacing w:line="460" w:lineRule="exact"/>
      <w:ind w:firstLine="200"/>
    </w:pPr>
    <w:rPr>
      <w:sz w:val="24"/>
      <w:szCs w:val="19"/>
      <w:shd w:val="clear" w:color="auto" w:fill="FFFFFF"/>
    </w:rPr>
  </w:style>
  <w:style w:type="character" w:customStyle="1" w:styleId="202">
    <w:name w:val="日常使用 字符"/>
    <w:link w:val="201"/>
    <w:qFormat/>
    <w:uiPriority w:val="0"/>
    <w:rPr>
      <w:rFonts w:ascii="Times New Roman" w:hAnsi="Times New Roman" w:cs="Times New Roman"/>
      <w:sz w:val="24"/>
      <w:szCs w:val="19"/>
    </w:rPr>
  </w:style>
  <w:style w:type="paragraph" w:customStyle="1" w:styleId="203">
    <w:name w:val="Table Text"/>
    <w:basedOn w:val="1"/>
    <w:semiHidden/>
    <w:qFormat/>
    <w:uiPriority w:val="0"/>
    <w:rPr>
      <w:rFonts w:ascii="宋体" w:hAnsi="宋体" w:eastAsia="宋体" w:cs="宋体"/>
      <w:sz w:val="24"/>
      <w:szCs w:val="24"/>
      <w:lang w:val="en-US" w:eastAsia="en-US" w:bidi="ar-SA"/>
    </w:rPr>
  </w:style>
  <w:style w:type="table" w:customStyle="1" w:styleId="204">
    <w:name w:val="Table Normal"/>
    <w:semiHidden/>
    <w:unhideWhenUsed/>
    <w:qFormat/>
    <w:uiPriority w:val="0"/>
    <w:tblPr>
      <w:tblCellMar>
        <w:top w:w="0" w:type="dxa"/>
        <w:left w:w="0" w:type="dxa"/>
        <w:bottom w:w="0" w:type="dxa"/>
        <w:right w:w="0"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SO690Nmerical.XSL" StyleName="ISO 690 - 数字引用" Version="1987"/>
</file>

<file path=customXml/item2.xml><?xml version="1.0" encoding="utf-8"?>
<contractReview xmlns="http://schemas.wps.cn/vas-ai-hub/contract-review">
  <reviewItems>
    <reviewItem>
      <errorID>93619614-34fb-4a5c-a15d-f6ed8f19ebfc</errorID>
      <errorWord>15%-20%</errorWord>
      <group>L1_Knowledge</group>
      <groupName>知识性问题</groupName>
      <ability>L2_Knowledge</ability>
      <abilityName>其他知识</abilityName>
      <candidateList>
        <item>15%—20%</item>
      </candidateList>
      <explain>1. “15%-20%”中的单位“%”仅出现在后一个数字上，容易引起歧义；根据《现代汉语标点符号数字用法规范手册》，数字表示范围两边需要使用统一的格式。2. 根据标点国标 4.13 中的规则，数字、时间或地域连接符应使用（视觉上更长的）“—”或“～”。</explain>
      <paraID>51333BD6</paraID>
      <start>22</start>
      <end>29</end>
      <status>modified</status>
      <modifiedWord>15%—20%</modifiedWord>
      <trackRevisions>true</trackRevisions>
    </reviewItem>
  </reviewItems>
  <config/>
</contractReview>
</file>

<file path=customXml/itemProps1.xml><?xml version="1.0" encoding="utf-8"?>
<ds:datastoreItem xmlns:ds="http://schemas.openxmlformats.org/officeDocument/2006/customXml" ds:itemID="5CF8298C-0410-49CB-837A-9C2C6F535C88">
  <ds:schemaRefs/>
</ds:datastoreItem>
</file>

<file path=customXml/itemProps2.xml><?xml version="1.0" encoding="utf-8"?>
<ds:datastoreItem xmlns:ds="http://schemas.openxmlformats.org/officeDocument/2006/customXml" ds:itemID="B17D5E7B-FCBB-4270-8BDC-8EA41DF75B31">
  <ds:schemaRefs/>
</ds:datastoreItem>
</file>

<file path=docProps/app.xml><?xml version="1.0" encoding="utf-8"?>
<Properties xmlns="http://schemas.openxmlformats.org/officeDocument/2006/extended-properties" xmlns:vt="http://schemas.openxmlformats.org/officeDocument/2006/docPropsVTypes">
  <Template>Normal.dotm</Template>
  <Pages>4</Pages>
  <Words>2412</Words>
  <Characters>2598</Characters>
  <TotalTime>3</TotalTime>
  <ScaleCrop>false</ScaleCrop>
  <LinksUpToDate>false</LinksUpToDate>
  <CharactersWithSpaces>2654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2023-06-29T08:51:00Z</dcterms:created>
  <dc:creator>LYH</dc:creator>
  <cp:lastModifiedBy>liu yanna</cp:lastModifiedBy>
  <dcterms:modified xsi:type="dcterms:W3CDTF">2026-11-02T07:58:01Z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D8DC2DB370CF4D5E95B28F8825ADECB4_13</vt:lpwstr>
  </property>
  <property fmtid="{D5CDD505-2E9C-101B-9397-08002B2CF9AE}" pid="4" name="KSOTemplateDocerSaveRecord">
    <vt:lpwstr>eyJoZGlkIjoiNWE1ZDU3MWZlNmM3MjFkODBhZjgwYjcxYTE3OGU2MjAiLCJ1c2VySWQiOiIxOTk2Mjk5NzcifQ==</vt:lpwstr>
  </property>
</Properties>
</file>