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7DBD8">
      <w:pPr>
        <w:spacing w:after="80" w:line="240" w:lineRule="auto"/>
        <w:rPr>
          <w:rFonts w:ascii="宋体" w:hAnsi="宋体"/>
          <w:lang w:eastAsia="zh-CN"/>
        </w:rPr>
      </w:pPr>
      <w:r>
        <w:rPr>
          <w:rFonts w:ascii="宋体" w:hAnsi="宋体"/>
          <w:lang w:eastAsia="zh-CN"/>
        </w:rPr>
        <w:t>证券代码：</w:t>
      </w:r>
      <w:r>
        <w:rPr>
          <w:rFonts w:cs="Times New Roman"/>
          <w:lang w:eastAsia="zh-CN"/>
        </w:rPr>
        <w:t>600246</w:t>
      </w:r>
      <w:r>
        <w:rPr>
          <w:rFonts w:ascii="宋体" w:hAnsi="宋体"/>
          <w:lang w:eastAsia="zh-CN"/>
        </w:rPr>
        <w:t>　　　</w:t>
      </w:r>
      <w:r>
        <w:rPr>
          <w:lang w:eastAsia="zh-CN"/>
        </w:rPr>
        <w:t>　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                                    </w:t>
      </w:r>
      <w:r>
        <w:rPr>
          <w:rFonts w:hint="eastAsia"/>
          <w:lang w:eastAsia="zh-CN"/>
        </w:rPr>
        <w:t xml:space="preserve">    </w:t>
      </w:r>
      <w:r>
        <w:rPr>
          <w:lang w:eastAsia="zh-CN"/>
        </w:rPr>
        <w:t xml:space="preserve">                       </w:t>
      </w:r>
      <w:r>
        <w:rPr>
          <w:rFonts w:ascii="宋体" w:hAnsi="宋体"/>
          <w:lang w:eastAsia="zh-CN"/>
        </w:rPr>
        <w:t>证券简称：万通发展</w:t>
      </w:r>
    </w:p>
    <w:p w14:paraId="3988AE3A">
      <w:pPr>
        <w:spacing w:after="40" w:line="240" w:lineRule="auto"/>
        <w:jc w:val="center"/>
        <w:rPr>
          <w:lang w:eastAsia="zh-CN"/>
        </w:rPr>
      </w:pPr>
      <w:r>
        <w:rPr>
          <w:b/>
          <w:sz w:val="28"/>
          <w:lang w:eastAsia="zh-CN"/>
        </w:rPr>
        <w:t>北京万通新发展集团股份有限公司</w:t>
      </w:r>
    </w:p>
    <w:p w14:paraId="4206EA73">
      <w:pPr>
        <w:spacing w:after="40" w:line="240" w:lineRule="auto"/>
        <w:jc w:val="center"/>
        <w:rPr>
          <w:lang w:eastAsia="zh-CN"/>
        </w:rPr>
      </w:pPr>
      <w:r>
        <w:rPr>
          <w:b/>
          <w:sz w:val="28"/>
          <w:lang w:eastAsia="zh-CN"/>
        </w:rPr>
        <w:t>投资者关系活动记录表</w:t>
      </w:r>
    </w:p>
    <w:p w14:paraId="33BD88FA">
      <w:pPr>
        <w:spacing w:after="80" w:line="240" w:lineRule="auto"/>
        <w:jc w:val="right"/>
        <w:rPr>
          <w:lang w:eastAsia="zh-CN"/>
        </w:rPr>
      </w:pPr>
    </w:p>
    <w:tbl>
      <w:tblPr>
        <w:tblStyle w:val="33"/>
        <w:tblW w:w="9498" w:type="dxa"/>
        <w:jc w:val="center"/>
        <w:tblLayout w:type="fixed"/>
        <w:tblCellMar>
          <w:top w:w="28" w:type="dxa"/>
          <w:left w:w="72" w:type="dxa"/>
          <w:bottom w:w="28" w:type="dxa"/>
          <w:right w:w="72" w:type="dxa"/>
        </w:tblCellMar>
      </w:tblPr>
      <w:tblGrid>
        <w:gridCol w:w="1985"/>
        <w:gridCol w:w="7513"/>
      </w:tblGrid>
      <w:tr w14:paraId="582239F7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trHeight w:val="910" w:hRule="atLeast"/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40D46F">
            <w:pPr>
              <w:spacing w:after="0" w:line="300" w:lineRule="auto"/>
              <w:jc w:val="center"/>
              <w:rPr>
                <w:sz w:val="21"/>
              </w:rPr>
            </w:pPr>
            <w:r>
              <w:rPr>
                <w:sz w:val="21"/>
              </w:rPr>
              <w:t>投资者关系</w:t>
            </w:r>
          </w:p>
          <w:p w14:paraId="5FAC8908">
            <w:pPr>
              <w:spacing w:after="0" w:line="300" w:lineRule="auto"/>
              <w:jc w:val="center"/>
            </w:pPr>
            <w:r>
              <w:rPr>
                <w:sz w:val="21"/>
              </w:rPr>
              <w:t>活动类别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3A16FD">
            <w:pPr>
              <w:spacing w:after="0" w:line="30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 xml:space="preserve">☑特定对象调研   </w:t>
            </w:r>
            <w:r>
              <w:rPr>
                <w:rFonts w:hint="eastAsia" w:ascii="宋体" w:hAnsi="宋体" w:cs="宋体"/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分析师会议   </w:t>
            </w:r>
            <w:r>
              <w:rPr>
                <w:rFonts w:hint="eastAsia"/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媒体采访   </w:t>
            </w:r>
            <w:r>
              <w:rPr>
                <w:rFonts w:hint="eastAsia" w:ascii="宋体" w:hAnsi="宋体" w:cs="宋体"/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业绩说明会</w:t>
            </w:r>
          </w:p>
          <w:p w14:paraId="18F1A5C0">
            <w:pPr>
              <w:spacing w:after="0" w:line="300" w:lineRule="auto"/>
              <w:rPr>
                <w:lang w:eastAsia="zh-CN"/>
              </w:rPr>
            </w:pPr>
            <w:r>
              <w:rPr>
                <w:rFonts w:hint="eastAsia" w:ascii="宋体" w:hAnsi="宋体" w:cs="宋体"/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新闻发布会   </w:t>
            </w:r>
            <w:r>
              <w:rPr>
                <w:rFonts w:hint="eastAsia" w:ascii="宋体" w:hAnsi="宋体" w:cs="宋体"/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路演活动   </w:t>
            </w:r>
            <w:r>
              <w:rPr>
                <w:rFonts w:hint="eastAsia" w:ascii="宋体" w:hAnsi="宋体" w:cs="宋体"/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现场参观   </w:t>
            </w:r>
            <w:r>
              <w:rPr>
                <w:rFonts w:hint="eastAsia"/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其他（请文字说明其他活动内容）</w:t>
            </w:r>
          </w:p>
        </w:tc>
      </w:tr>
      <w:tr w14:paraId="5AFBA18A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trHeight w:val="1020" w:hRule="atLeast"/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C92075">
            <w:pPr>
              <w:spacing w:after="0" w:line="300" w:lineRule="auto"/>
              <w:jc w:val="center"/>
            </w:pPr>
            <w:r>
              <w:rPr>
                <w:sz w:val="21"/>
              </w:rPr>
              <w:t>参与单位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AECAEC">
            <w:pPr>
              <w:spacing w:after="0" w:line="30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中邮基金、国联基金、艾希资本、</w:t>
            </w:r>
            <w:r>
              <w:rPr>
                <w:rFonts w:hint="eastAsia"/>
                <w:sz w:val="21"/>
                <w:lang w:eastAsia="zh-CN"/>
              </w:rPr>
              <w:t>K</w:t>
            </w:r>
            <w:r>
              <w:rPr>
                <w:sz w:val="21"/>
                <w:lang w:eastAsia="zh-CN"/>
              </w:rPr>
              <w:t>CCC睿亿投资、民生加银、南方基金、微积分、开源证券、鹏华基金、传格投资、</w:t>
            </w:r>
            <w:bookmarkStart w:id="0" w:name="OLE_LINK5"/>
            <w:r>
              <w:rPr>
                <w:sz w:val="21"/>
                <w:lang w:eastAsia="zh-CN"/>
              </w:rPr>
              <w:t>泓德基金、磐厚动量、兴合基金、东方基金、财达自营、禅龙资产、长盛基金、新华基金、煜德基金、弘洛基金、天雅资本、暖逸欣基金</w:t>
            </w:r>
            <w:bookmarkEnd w:id="0"/>
            <w:r>
              <w:rPr>
                <w:sz w:val="21"/>
                <w:lang w:eastAsia="zh-CN"/>
              </w:rPr>
              <w:t>等22家投资机构</w:t>
            </w:r>
          </w:p>
        </w:tc>
      </w:tr>
      <w:tr w14:paraId="42162D2E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946E72">
            <w:pPr>
              <w:spacing w:after="0" w:line="300" w:lineRule="auto"/>
              <w:jc w:val="center"/>
            </w:pPr>
            <w:r>
              <w:rPr>
                <w:sz w:val="21"/>
              </w:rPr>
              <w:t>时间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381090">
            <w:pPr>
              <w:spacing w:after="0" w:line="300" w:lineRule="auto"/>
            </w:pPr>
            <w:r>
              <w:rPr>
                <w:sz w:val="21"/>
              </w:rPr>
              <w:t>2026年10月29日 15:00-17:00</w:t>
            </w:r>
          </w:p>
        </w:tc>
      </w:tr>
      <w:tr w14:paraId="6BA401C5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D1360B">
            <w:pPr>
              <w:spacing w:after="0" w:line="300" w:lineRule="auto"/>
              <w:jc w:val="center"/>
            </w:pPr>
            <w:r>
              <w:rPr>
                <w:sz w:val="21"/>
              </w:rPr>
              <w:t>地点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A6BBCC">
            <w:pPr>
              <w:shd w:val="clear" w:color="auto" w:fill="FFFFFF"/>
              <w:spacing w:after="0" w:line="300" w:lineRule="auto"/>
              <w:rPr>
                <w:rFonts w:cs="Tahoma"/>
                <w:color w:val="000000"/>
                <w:lang w:eastAsia="zh-CN"/>
              </w:rPr>
            </w:pPr>
            <w:r>
              <w:rPr>
                <w:rFonts w:hint="eastAsia" w:cs="宋体"/>
                <w:color w:val="000000"/>
                <w:sz w:val="21"/>
                <w:szCs w:val="24"/>
                <w:shd w:val="clear" w:color="auto" w:fill="FFFFFF"/>
                <w:lang w:eastAsia="zh-CN" w:bidi="ar"/>
              </w:rPr>
              <w:t>北京市朝阳区朝阳门外大街甲6号万通中心写字楼D座4层第一会议室</w:t>
            </w:r>
          </w:p>
        </w:tc>
      </w:tr>
      <w:tr w14:paraId="4FDD6C66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trHeight w:val="716" w:hRule="atLeast"/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B90194">
            <w:pPr>
              <w:spacing w:after="0" w:line="300" w:lineRule="auto"/>
              <w:jc w:val="center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上市公司</w:t>
            </w:r>
          </w:p>
          <w:p w14:paraId="7E36F98A">
            <w:pPr>
              <w:spacing w:after="0" w:line="300" w:lineRule="auto"/>
              <w:jc w:val="center"/>
              <w:rPr>
                <w:lang w:eastAsia="zh-CN"/>
              </w:rPr>
            </w:pPr>
            <w:r>
              <w:rPr>
                <w:sz w:val="21"/>
                <w:lang w:eastAsia="zh-CN"/>
              </w:rPr>
              <w:t>接待人员姓名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433D1D">
            <w:pPr>
              <w:spacing w:after="0" w:line="300" w:lineRule="auto"/>
              <w:rPr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投资者关系</w:t>
            </w:r>
            <w:r>
              <w:rPr>
                <w:sz w:val="21"/>
                <w:lang w:eastAsia="zh-CN"/>
              </w:rPr>
              <w:t>总监陈文坚</w:t>
            </w:r>
            <w:r>
              <w:rPr>
                <w:rFonts w:hint="eastAsia"/>
                <w:sz w:val="21"/>
                <w:lang w:eastAsia="zh-CN"/>
              </w:rPr>
              <w:t>及相关人员</w:t>
            </w:r>
          </w:p>
        </w:tc>
      </w:tr>
      <w:tr w14:paraId="27AB514F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A8BAA3">
            <w:pPr>
              <w:spacing w:after="0" w:line="300" w:lineRule="auto"/>
              <w:jc w:val="center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投资者关系活动</w:t>
            </w:r>
          </w:p>
          <w:p w14:paraId="05EBB9FE">
            <w:pPr>
              <w:spacing w:after="0" w:line="300" w:lineRule="auto"/>
              <w:jc w:val="center"/>
              <w:rPr>
                <w:lang w:eastAsia="zh-CN"/>
              </w:rPr>
            </w:pPr>
            <w:r>
              <w:rPr>
                <w:sz w:val="21"/>
                <w:lang w:eastAsia="zh-CN"/>
              </w:rPr>
              <w:t>主要内容介绍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EC444E">
            <w:pPr>
              <w:spacing w:after="0" w:line="300" w:lineRule="auto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投资者问答内容</w:t>
            </w:r>
          </w:p>
          <w:p w14:paraId="29CA9FEA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1、数渡科技核心团队在股权激励中的占比是多少？万通团队占比如何？</w:t>
            </w:r>
          </w:p>
          <w:p w14:paraId="5A572C72">
            <w:pPr>
              <w:spacing w:after="0" w:line="300" w:lineRule="auto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答：公司两次激励计划合计授予的权益数量为11,453.175万股（份），约占公司股本总额的5.86%。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目前已授予的权益中，</w:t>
            </w:r>
            <w:r>
              <w:rPr>
                <w:sz w:val="21"/>
                <w:szCs w:val="21"/>
                <w:lang w:eastAsia="zh-CN"/>
              </w:rPr>
              <w:t>归属于数渡科技</w:t>
            </w:r>
            <w:r>
              <w:rPr>
                <w:rFonts w:hint="eastAsia"/>
                <w:sz w:val="21"/>
                <w:szCs w:val="21"/>
                <w:lang w:eastAsia="zh-CN"/>
              </w:rPr>
              <w:t>业务</w:t>
            </w:r>
            <w:r>
              <w:rPr>
                <w:sz w:val="21"/>
                <w:szCs w:val="21"/>
                <w:lang w:eastAsia="zh-CN"/>
              </w:rPr>
              <w:t>团队</w:t>
            </w:r>
            <w:r>
              <w:rPr>
                <w:rFonts w:hint="eastAsia"/>
                <w:sz w:val="21"/>
                <w:szCs w:val="21"/>
                <w:lang w:eastAsia="zh-CN"/>
              </w:rPr>
              <w:t>的权益约占9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5.90</w:t>
            </w:r>
            <w:r>
              <w:rPr>
                <w:rFonts w:hint="eastAsia"/>
                <w:sz w:val="21"/>
                <w:szCs w:val="21"/>
                <w:lang w:eastAsia="zh-CN"/>
              </w:rPr>
              <w:t>%，万通发展部分高管约占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4.10</w:t>
            </w:r>
            <w:r>
              <w:rPr>
                <w:rFonts w:hint="eastAsia"/>
                <w:sz w:val="21"/>
                <w:szCs w:val="21"/>
                <w:lang w:eastAsia="zh-CN"/>
              </w:rPr>
              <w:t>%。</w:t>
            </w:r>
          </w:p>
          <w:p w14:paraId="5B86FD3F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7212DC83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2、三季度合同负债主要对应什么业务？</w:t>
            </w:r>
          </w:p>
          <w:p w14:paraId="65988CDE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答：合同负债主要对应</w:t>
            </w:r>
            <w:r>
              <w:rPr>
                <w:rFonts w:hint="eastAsia"/>
                <w:sz w:val="21"/>
                <w:szCs w:val="21"/>
                <w:lang w:eastAsia="zh-CN"/>
              </w:rPr>
              <w:t>数渡科技新</w:t>
            </w:r>
            <w:r>
              <w:rPr>
                <w:sz w:val="21"/>
                <w:szCs w:val="21"/>
                <w:lang w:eastAsia="zh-CN"/>
              </w:rPr>
              <w:t>业务。</w:t>
            </w:r>
          </w:p>
          <w:p w14:paraId="4EC24E1C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2C497090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3、如何看待毛利率和净利率的预期变化？</w:t>
            </w:r>
          </w:p>
          <w:p w14:paraId="53F5CB37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</w:t>
            </w:r>
            <w:r>
              <w:rPr>
                <w:rFonts w:hint="eastAsia"/>
                <w:sz w:val="21"/>
                <w:szCs w:val="21"/>
                <w:lang w:eastAsia="zh-CN"/>
              </w:rPr>
              <w:t>目前传统地产业务板块的折旧摊销等费用拖累了整体的利润率水平，随着未来逐步出清自持物业，不仅可以回笼现金以支持交换芯片业务发展，另外也可以减少物业折旧等传统业务费用的拖累。新业务</w:t>
            </w:r>
            <w:r>
              <w:rPr>
                <w:sz w:val="21"/>
                <w:szCs w:val="21"/>
                <w:lang w:eastAsia="zh-CN"/>
              </w:rPr>
              <w:t>毛利率方面，随着低毛利业务占比下降，综合毛利率有望进一步提高。净利率方面，取决于产线和人员扩张节奏，但鉴于固定费用摊薄效应，</w:t>
            </w:r>
            <w:r>
              <w:rPr>
                <w:rFonts w:hint="eastAsia"/>
                <w:sz w:val="21"/>
                <w:szCs w:val="21"/>
                <w:lang w:eastAsia="zh-CN"/>
              </w:rPr>
              <w:t>新业务</w:t>
            </w:r>
            <w:r>
              <w:rPr>
                <w:sz w:val="21"/>
                <w:szCs w:val="21"/>
                <w:lang w:eastAsia="zh-CN"/>
              </w:rPr>
              <w:t>销售收入增加即可带来显著边际利润改善。预计明年年报及一季报将呈现明显的环比正向改善。</w:t>
            </w:r>
          </w:p>
          <w:p w14:paraId="10D98614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40994E8B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4、未来产品的技术演进路线及 PCIe 版本规划？</w:t>
            </w:r>
          </w:p>
          <w:p w14:paraId="4606A2C8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</w:t>
            </w:r>
            <w:r>
              <w:rPr>
                <w:rFonts w:hint="eastAsia"/>
                <w:sz w:val="21"/>
                <w:szCs w:val="21"/>
                <w:lang w:eastAsia="zh-CN"/>
              </w:rPr>
              <w:t>可以参考《2025年限制性股票激励计划（草案）》设置的关于产品开发及生产进度目标的业绩考核指标：2026年12月31日前，144通道PCIe5.0交换芯片达到产品标准和完成量产版本的首次生产；2027年12月31日前，PCIe6.0交换芯片达到产品标准和完成量产版本的首次生产；2028年12月31日前，完成PCIe7.0/CXL4.0交换芯片的研发（通道数不少于144）。目前各项工作均在稳步推进当中。</w:t>
            </w:r>
          </w:p>
          <w:p w14:paraId="21F5E781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7B6C6D05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5、预付款项大幅增加的原因是对应产能锁定？</w:t>
            </w:r>
          </w:p>
          <w:p w14:paraId="5EB028A8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</w:t>
            </w:r>
            <w:r>
              <w:rPr>
                <w:rFonts w:hint="eastAsia"/>
                <w:sz w:val="21"/>
                <w:szCs w:val="21"/>
                <w:lang w:eastAsia="zh-CN"/>
              </w:rPr>
              <w:t>是的，备货所需。</w:t>
            </w:r>
          </w:p>
          <w:p w14:paraId="3F357011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667F975A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6、市占率目标及竞争对手情况？</w:t>
            </w:r>
          </w:p>
          <w:p w14:paraId="5F4C99EF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</w:t>
            </w:r>
            <w:r>
              <w:rPr>
                <w:rFonts w:hint="eastAsia"/>
                <w:sz w:val="21"/>
                <w:szCs w:val="21"/>
                <w:lang w:eastAsia="zh-CN"/>
              </w:rPr>
              <w:t>可以参考我们</w:t>
            </w:r>
            <w:r>
              <w:rPr>
                <w:sz w:val="21"/>
                <w:szCs w:val="21"/>
                <w:lang w:eastAsia="zh-CN"/>
              </w:rPr>
              <w:t>最新一期股权激励计划的考核指标。目前市场上具备竞争力的</w:t>
            </w:r>
            <w:r>
              <w:rPr>
                <w:rFonts w:hint="eastAsia"/>
                <w:sz w:val="21"/>
                <w:szCs w:val="21"/>
                <w:lang w:eastAsia="zh-CN"/>
              </w:rPr>
              <w:t>国内</w:t>
            </w:r>
            <w:r>
              <w:rPr>
                <w:sz w:val="21"/>
                <w:szCs w:val="21"/>
                <w:lang w:eastAsia="zh-CN"/>
              </w:rPr>
              <w:t>友商不多，竞争格局良好，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国产替代市场</w:t>
            </w:r>
            <w:r>
              <w:rPr>
                <w:rFonts w:hint="eastAsia"/>
                <w:sz w:val="21"/>
                <w:szCs w:val="21"/>
                <w:lang w:eastAsia="zh-CN"/>
              </w:rPr>
              <w:t>空间广阔</w:t>
            </w:r>
            <w:r>
              <w:rPr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eastAsia="zh-CN"/>
              </w:rPr>
              <w:t>目标客户对</w:t>
            </w:r>
            <w:r>
              <w:rPr>
                <w:sz w:val="21"/>
                <w:szCs w:val="21"/>
                <w:lang w:eastAsia="zh-CN"/>
              </w:rPr>
              <w:t>公司产品的各项指标</w:t>
            </w:r>
            <w:r>
              <w:rPr>
                <w:rFonts w:hint="eastAsia"/>
                <w:sz w:val="21"/>
                <w:szCs w:val="21"/>
                <w:lang w:eastAsia="zh-CN"/>
              </w:rPr>
              <w:t>反馈良好</w:t>
            </w:r>
            <w:r>
              <w:rPr>
                <w:sz w:val="21"/>
                <w:szCs w:val="21"/>
                <w:lang w:eastAsia="zh-CN"/>
              </w:rPr>
              <w:t>。</w:t>
            </w:r>
          </w:p>
          <w:p w14:paraId="42FC6117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337D36B3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7、公司的研发费用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有增加吗</w:t>
            </w:r>
            <w:r>
              <w:rPr>
                <w:sz w:val="21"/>
                <w:szCs w:val="21"/>
                <w:lang w:eastAsia="zh-CN"/>
              </w:rPr>
              <w:t>？</w:t>
            </w:r>
          </w:p>
          <w:p w14:paraId="1FDF1FB0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答：去年至今年研发费用显著增加</w:t>
            </w:r>
            <w:r>
              <w:rPr>
                <w:rFonts w:hint="eastAsia"/>
                <w:sz w:val="21"/>
                <w:szCs w:val="21"/>
                <w:lang w:eastAsia="zh-CN"/>
              </w:rPr>
              <w:t>，主要是招聘了大量</w:t>
            </w:r>
            <w:r>
              <w:rPr>
                <w:sz w:val="21"/>
                <w:szCs w:val="21"/>
                <w:lang w:eastAsia="zh-CN"/>
              </w:rPr>
              <w:t>研发人员，且仍在招聘中。</w:t>
            </w:r>
          </w:p>
          <w:p w14:paraId="3323075C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5A8D998C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8、144 通道产品是否已通过验证并出货？与竞品的对比？</w:t>
            </w:r>
          </w:p>
          <w:p w14:paraId="70C5F727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</w:t>
            </w:r>
            <w:r>
              <w:rPr>
                <w:rFonts w:hint="eastAsia"/>
                <w:sz w:val="21"/>
                <w:szCs w:val="21"/>
                <w:lang w:eastAsia="zh-CN"/>
              </w:rPr>
              <w:t>144 通道规格产品持续开展重要客户测试验证及送样工作，正在按照计划推进年内销售工作</w:t>
            </w:r>
            <w:r>
              <w:rPr>
                <w:sz w:val="21"/>
                <w:szCs w:val="21"/>
                <w:lang w:eastAsia="zh-CN"/>
              </w:rPr>
              <w:t>。</w:t>
            </w:r>
          </w:p>
          <w:p w14:paraId="77FE574D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</w:p>
          <w:p w14:paraId="0618C98A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9、目前PCIe Switch的市场有将萎缩的迹象吗？</w:t>
            </w:r>
          </w:p>
          <w:p w14:paraId="358DCD33">
            <w:pPr>
              <w:spacing w:after="0" w:line="300" w:lineRule="auto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答：</w:t>
            </w:r>
            <w:r>
              <w:rPr>
                <w:rFonts w:hint="eastAsia"/>
                <w:sz w:val="21"/>
                <w:szCs w:val="21"/>
                <w:lang w:eastAsia="zh-CN"/>
              </w:rPr>
              <w:t>PCIe是全球通用的开放标准互连协议，具有极其强大和完善的产业生态，其未来技术迭代发展的脉络清晰，有极强的产业生命力；目前，从国外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同</w:t>
            </w:r>
            <w:r>
              <w:rPr>
                <w:rFonts w:hint="eastAsia"/>
                <w:sz w:val="21"/>
                <w:szCs w:val="21"/>
                <w:lang w:eastAsia="zh-CN"/>
              </w:rPr>
              <w:t>行业头部企业的技术研发布局来看，PCIe交换芯片的市场需求将保持持续增长态势。</w:t>
            </w:r>
          </w:p>
          <w:p w14:paraId="50D71719">
            <w:pPr>
              <w:spacing w:after="0" w:line="300" w:lineRule="auto"/>
              <w:jc w:val="both"/>
              <w:rPr>
                <w:lang w:eastAsia="zh-CN"/>
              </w:rPr>
            </w:pPr>
          </w:p>
        </w:tc>
      </w:tr>
      <w:tr w14:paraId="333CD235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1CF928">
            <w:pPr>
              <w:spacing w:after="0" w:line="300" w:lineRule="auto"/>
              <w:jc w:val="center"/>
              <w:rPr>
                <w:lang w:eastAsia="zh-CN"/>
              </w:rPr>
            </w:pPr>
            <w:r>
              <w:rPr>
                <w:sz w:val="21"/>
              </w:rPr>
              <w:t>附件清单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661A8E">
            <w:pPr>
              <w:spacing w:after="0" w:line="300" w:lineRule="auto"/>
            </w:pPr>
            <w:r>
              <w:rPr>
                <w:sz w:val="21"/>
              </w:rPr>
              <w:t>无</w:t>
            </w:r>
          </w:p>
        </w:tc>
      </w:tr>
      <w:tr w14:paraId="7D41B297">
        <w:tblPrEx>
          <w:tblCellMar>
            <w:top w:w="28" w:type="dxa"/>
            <w:left w:w="72" w:type="dxa"/>
            <w:bottom w:w="28" w:type="dxa"/>
            <w:right w:w="72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CDDD49">
            <w:pPr>
              <w:spacing w:after="0" w:line="300" w:lineRule="auto"/>
              <w:jc w:val="center"/>
              <w:rPr>
                <w:sz w:val="21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风险提示</w:t>
            </w:r>
          </w:p>
        </w:tc>
        <w:tc>
          <w:tcPr>
            <w:tcW w:w="7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C0ACEF">
            <w:pPr>
              <w:spacing w:after="0" w:line="300" w:lineRule="auto"/>
              <w:jc w:val="both"/>
              <w:rPr>
                <w:rFonts w:hint="default" w:eastAsia="宋体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公司</w:t>
            </w:r>
            <w:r>
              <w:rPr>
                <w:rFonts w:hint="default" w:eastAsia="宋体"/>
                <w:sz w:val="21"/>
                <w:szCs w:val="20"/>
                <w:lang w:val="en-US" w:eastAsia="zh-CN"/>
              </w:rPr>
              <w:t>控股子公司北京数渡信息科技有限公司目前尚处于亏损状态，后续发展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>受市场和技术迭代等因素影响存在不确定性。</w:t>
            </w:r>
            <w:r>
              <w:rPr>
                <w:rFonts w:hint="default" w:eastAsia="宋体"/>
                <w:sz w:val="21"/>
                <w:szCs w:val="20"/>
                <w:lang w:val="en-US" w:eastAsia="zh-CN"/>
              </w:rPr>
              <w:t>敬请广大投资者注意二级市场交易风险，理性决策，审慎投资。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>一切信息请以公司在指定信息披露媒体披露的公告为准。</w:t>
            </w:r>
          </w:p>
        </w:tc>
      </w:tr>
    </w:tbl>
    <w:p w14:paraId="10322F6B">
      <w:bookmarkStart w:id="1" w:name="_GoBack"/>
      <w:bookmarkEnd w:id="1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trackRevisions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141F"/>
    <w:rsid w:val="00532EEB"/>
    <w:rsid w:val="00535017"/>
    <w:rsid w:val="00691CD9"/>
    <w:rsid w:val="006A2E80"/>
    <w:rsid w:val="00853E6A"/>
    <w:rsid w:val="00AA1D8D"/>
    <w:rsid w:val="00B47730"/>
    <w:rsid w:val="00C77A16"/>
    <w:rsid w:val="00CB0664"/>
    <w:rsid w:val="00E2576A"/>
    <w:rsid w:val="00E30B58"/>
    <w:rsid w:val="00ED573C"/>
    <w:rsid w:val="00FC693F"/>
    <w:rsid w:val="049F2A6E"/>
    <w:rsid w:val="173578B0"/>
    <w:rsid w:val="1E7D7C32"/>
    <w:rsid w:val="38953292"/>
    <w:rsid w:val="46A26665"/>
    <w:rsid w:val="4D1924CF"/>
    <w:rsid w:val="59404341"/>
    <w:rsid w:val="5BF93613"/>
    <w:rsid w:val="699646BC"/>
    <w:rsid w:val="6FF8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Char"/>
    <w:basedOn w:val="133"/>
    <w:link w:val="26"/>
    <w:qFormat/>
    <w:uiPriority w:val="99"/>
  </w:style>
  <w:style w:type="character" w:customStyle="1" w:styleId="137">
    <w:name w:val="页脚 Char"/>
    <w:basedOn w:val="133"/>
    <w:link w:val="25"/>
    <w:qFormat/>
    <w:uiPriority w:val="99"/>
  </w:style>
  <w:style w:type="paragraph" w:styleId="138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Char"/>
    <w:basedOn w:val="133"/>
    <w:link w:val="20"/>
    <w:qFormat/>
    <w:uiPriority w:val="99"/>
  </w:style>
  <w:style w:type="character" w:customStyle="1" w:styleId="146">
    <w:name w:val="正文文本 2 Char"/>
    <w:basedOn w:val="133"/>
    <w:link w:val="29"/>
    <w:qFormat/>
    <w:uiPriority w:val="99"/>
  </w:style>
  <w:style w:type="character" w:customStyle="1" w:styleId="147">
    <w:name w:val="正文文本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宏文本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FA889E-1595-4E3C-9AAA-AD2171C9CD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1328</Words>
  <Characters>1442</Characters>
  <Lines>115</Lines>
  <Paragraphs>116</Paragraphs>
  <TotalTime>10</TotalTime>
  <ScaleCrop>false</ScaleCrop>
  <LinksUpToDate>false</LinksUpToDate>
  <CharactersWithSpaces>1536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VT</cp:lastModifiedBy>
  <cp:lastPrinted>2026-11-02T07:24:00Z</cp:lastPrinted>
  <dcterms:modified xsi:type="dcterms:W3CDTF">2026-11-02T08:43:26Z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eyJoZGlkIjoiZThmZjAyYTE2YWNiODVkMmQ2ODM1YjljYWUzMzdjOGYiLCJ1c2VySWQiOiI1MTYxMDc0NzEifQ==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BD5824AB20994ABD8E19790476D06045_13</vt:lpwstr>
  </property>
</Properties>
</file>