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AE31CD">
      <w:pPr>
        <w:pStyle w:val="4"/>
        <w:autoSpaceDE/>
        <w:autoSpaceDN/>
        <w:spacing w:before="1" w:line="410" w:lineRule="exact"/>
        <w:ind w:left="0" w:right="453" w:firstLine="240" w:firstLineChars="100"/>
        <w:rPr>
          <w:rFonts w:hint="eastAsia"/>
          <w:bCs/>
          <w:lang w:val="en-US"/>
        </w:rPr>
      </w:pPr>
      <w:r>
        <w:rPr>
          <w:bCs/>
        </w:rPr>
        <w:t>证券代码：</w:t>
      </w:r>
      <w:r>
        <w:rPr>
          <w:rFonts w:ascii="Times New Roman" w:eastAsia="Times New Roman"/>
          <w:bCs/>
        </w:rPr>
        <w:t>6</w:t>
      </w:r>
      <w:r>
        <w:rPr>
          <w:rFonts w:hint="eastAsia" w:ascii="Times New Roman"/>
          <w:bCs/>
          <w:lang w:val="en-US"/>
        </w:rPr>
        <w:t>03477</w:t>
      </w:r>
      <w:r>
        <w:rPr>
          <w:rFonts w:ascii="Times New Roman" w:eastAsia="等线"/>
          <w:bCs/>
        </w:rPr>
        <w:t xml:space="preserve">                             </w:t>
      </w:r>
      <w:r>
        <w:rPr>
          <w:bCs/>
        </w:rPr>
        <w:t>证券简称：</w:t>
      </w:r>
      <w:r>
        <w:rPr>
          <w:rFonts w:hint="eastAsia"/>
          <w:bCs/>
          <w:lang w:val="en-US"/>
        </w:rPr>
        <w:t>巨星农牧</w:t>
      </w:r>
    </w:p>
    <w:p w14:paraId="68790492">
      <w:pPr>
        <w:pStyle w:val="4"/>
        <w:autoSpaceDE/>
        <w:autoSpaceDN/>
        <w:spacing w:before="1" w:line="410" w:lineRule="exact"/>
        <w:ind w:left="0" w:right="453" w:firstLine="240" w:firstLineChars="100"/>
        <w:rPr>
          <w:rFonts w:hint="eastAsia"/>
          <w:bCs/>
          <w:lang w:val="en-US"/>
        </w:rPr>
      </w:pPr>
      <w:r>
        <w:rPr>
          <w:rFonts w:hint="eastAsia"/>
          <w:bCs/>
          <w:lang w:val="en-US"/>
        </w:rPr>
        <w:t>债券代码：</w:t>
      </w:r>
      <w:r>
        <w:rPr>
          <w:rFonts w:hint="eastAsia" w:ascii="Times New Roman"/>
          <w:bCs/>
          <w:lang w:val="en-US"/>
        </w:rPr>
        <w:t>113648</w:t>
      </w:r>
      <w:r>
        <w:rPr>
          <w:rFonts w:hint="eastAsia"/>
          <w:bCs/>
          <w:lang w:val="en-US"/>
        </w:rPr>
        <w:t xml:space="preserve">                             债券简称：巨星转债</w:t>
      </w:r>
    </w:p>
    <w:p w14:paraId="0FE832AB">
      <w:pPr>
        <w:pStyle w:val="4"/>
        <w:autoSpaceDE/>
        <w:autoSpaceDN/>
        <w:spacing w:before="1" w:line="410" w:lineRule="exact"/>
        <w:ind w:left="0" w:right="453"/>
        <w:rPr>
          <w:rFonts w:hint="eastAsia"/>
          <w:b/>
        </w:rPr>
      </w:pPr>
    </w:p>
    <w:p w14:paraId="6D8D412D">
      <w:pPr>
        <w:pStyle w:val="4"/>
        <w:tabs>
          <w:tab w:val="left" w:pos="8360"/>
        </w:tabs>
        <w:autoSpaceDE/>
        <w:autoSpaceDN/>
        <w:spacing w:before="1" w:line="410" w:lineRule="exact"/>
        <w:ind w:left="0" w:right="-54"/>
        <w:jc w:val="center"/>
        <w:rPr>
          <w:rFonts w:hint="eastAsia"/>
          <w:b/>
          <w:bCs/>
          <w:sz w:val="36"/>
          <w:szCs w:val="36"/>
        </w:rPr>
      </w:pPr>
      <w:r>
        <w:rPr>
          <w:rFonts w:hint="eastAsia"/>
          <w:b/>
          <w:bCs/>
          <w:sz w:val="36"/>
          <w:szCs w:val="36"/>
          <w:lang w:val="en-US"/>
        </w:rPr>
        <w:t>乐山巨星农牧</w:t>
      </w:r>
      <w:r>
        <w:rPr>
          <w:b/>
          <w:bCs/>
          <w:sz w:val="36"/>
          <w:szCs w:val="36"/>
        </w:rPr>
        <w:t>股份有限公司</w:t>
      </w:r>
    </w:p>
    <w:p w14:paraId="22A394DF">
      <w:pPr>
        <w:pStyle w:val="4"/>
        <w:tabs>
          <w:tab w:val="left" w:pos="8360"/>
        </w:tabs>
        <w:autoSpaceDE/>
        <w:autoSpaceDN/>
        <w:spacing w:before="1" w:line="410" w:lineRule="exact"/>
        <w:ind w:left="0" w:right="-54"/>
        <w:jc w:val="center"/>
        <w:rPr>
          <w:rFonts w:hint="eastAsia"/>
          <w:b/>
          <w:bCs/>
          <w:sz w:val="36"/>
          <w:szCs w:val="36"/>
        </w:rPr>
      </w:pPr>
      <w:r>
        <w:rPr>
          <w:b/>
          <w:bCs/>
          <w:sz w:val="36"/>
          <w:szCs w:val="36"/>
        </w:rPr>
        <w:t>投资者关系活动记录表</w:t>
      </w:r>
    </w:p>
    <w:p w14:paraId="682830B8">
      <w:pPr>
        <w:tabs>
          <w:tab w:val="left" w:pos="6306"/>
        </w:tabs>
        <w:autoSpaceDE/>
        <w:autoSpaceDN/>
        <w:spacing w:before="74" w:line="410" w:lineRule="exact"/>
        <w:rPr>
          <w:rFonts w:hint="eastAsia" w:eastAsia="等线"/>
          <w:b/>
          <w:bCs/>
          <w:sz w:val="21"/>
          <w:szCs w:val="21"/>
        </w:rPr>
      </w:pPr>
    </w:p>
    <w:tbl>
      <w:tblPr>
        <w:tblStyle w:val="9"/>
        <w:tblW w:w="6810" w:type="pct"/>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autofit"/>
        <w:tblCellMar>
          <w:top w:w="0" w:type="dxa"/>
          <w:left w:w="0" w:type="dxa"/>
          <w:bottom w:w="0" w:type="dxa"/>
          <w:right w:w="0" w:type="dxa"/>
        </w:tblCellMar>
      </w:tblPr>
      <w:tblGrid>
        <w:gridCol w:w="2467"/>
        <w:gridCol w:w="2523"/>
        <w:gridCol w:w="3599"/>
        <w:gridCol w:w="2683"/>
      </w:tblGrid>
      <w:tr w14:paraId="312E949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161" w:hRule="atLeast"/>
          <w:jc w:val="center"/>
        </w:trPr>
        <w:tc>
          <w:tcPr>
            <w:tcW w:w="1094" w:type="pct"/>
            <w:tcBorders>
              <w:bottom w:val="single" w:color="000000" w:sz="6" w:space="0"/>
              <w:right w:val="single" w:color="000000" w:sz="6" w:space="0"/>
            </w:tcBorders>
            <w:vAlign w:val="center"/>
          </w:tcPr>
          <w:p w14:paraId="0790969D">
            <w:pPr>
              <w:pStyle w:val="17"/>
              <w:autoSpaceDE/>
              <w:autoSpaceDN/>
              <w:spacing w:line="410" w:lineRule="exact"/>
              <w:ind w:firstLine="221" w:firstLineChars="100"/>
              <w:rPr>
                <w:rFonts w:hint="eastAsia"/>
                <w:b/>
                <w:bCs/>
              </w:rPr>
            </w:pPr>
            <w:r>
              <w:rPr>
                <w:rFonts w:hint="eastAsia"/>
                <w:b/>
                <w:bCs/>
              </w:rPr>
              <w:t>投资者关系活动类别</w:t>
            </w:r>
          </w:p>
        </w:tc>
        <w:tc>
          <w:tcPr>
            <w:tcW w:w="1119" w:type="pct"/>
            <w:tcBorders>
              <w:left w:val="single" w:color="000000" w:sz="6" w:space="0"/>
              <w:bottom w:val="single" w:color="000000" w:sz="6" w:space="0"/>
              <w:right w:val="nil"/>
            </w:tcBorders>
          </w:tcPr>
          <w:p w14:paraId="654753DA">
            <w:pPr>
              <w:pStyle w:val="17"/>
              <w:autoSpaceDE/>
              <w:autoSpaceDN/>
              <w:spacing w:line="410" w:lineRule="exact"/>
              <w:rPr>
                <w:rFonts w:hint="eastAsia"/>
              </w:rPr>
            </w:pPr>
            <w:r>
              <w:t xml:space="preserve">□特定对象调研 </w:t>
            </w:r>
          </w:p>
          <w:p w14:paraId="5578A4EA">
            <w:pPr>
              <w:pStyle w:val="17"/>
              <w:autoSpaceDE/>
              <w:autoSpaceDN/>
              <w:spacing w:line="410" w:lineRule="exact"/>
              <w:rPr>
                <w:rFonts w:hint="eastAsia"/>
              </w:rPr>
            </w:pPr>
            <w:r>
              <w:rPr/>
              <w:sym w:font="Wingdings 2" w:char="0052"/>
            </w:r>
            <w:r>
              <w:t xml:space="preserve">业绩说明会 </w:t>
            </w:r>
          </w:p>
          <w:p w14:paraId="1E70725D">
            <w:pPr>
              <w:pStyle w:val="17"/>
              <w:autoSpaceDE/>
              <w:autoSpaceDN/>
              <w:spacing w:line="410" w:lineRule="exact"/>
              <w:rPr>
                <w:rFonts w:hint="eastAsia"/>
              </w:rPr>
            </w:pPr>
            <w:r>
              <w:rPr/>
              <w:sym w:font="Wingdings 2" w:char="00A3"/>
            </w:r>
            <w:r>
              <w:t xml:space="preserve">现场参观 </w:t>
            </w:r>
          </w:p>
        </w:tc>
        <w:tc>
          <w:tcPr>
            <w:tcW w:w="1596" w:type="pct"/>
            <w:tcBorders>
              <w:left w:val="nil"/>
              <w:bottom w:val="single" w:color="000000" w:sz="6" w:space="0"/>
              <w:right w:val="nil"/>
            </w:tcBorders>
          </w:tcPr>
          <w:p w14:paraId="346786E0">
            <w:pPr>
              <w:pStyle w:val="17"/>
              <w:autoSpaceDE/>
              <w:autoSpaceDN/>
              <w:spacing w:line="410" w:lineRule="exact"/>
              <w:rPr>
                <w:rFonts w:hint="eastAsia"/>
              </w:rPr>
            </w:pPr>
            <w:r>
              <w:rPr/>
              <w:sym w:font="Wingdings 2" w:char="0052"/>
            </w:r>
            <w:r>
              <w:t xml:space="preserve">分析师会议 </w:t>
            </w:r>
          </w:p>
          <w:p w14:paraId="68E71A69">
            <w:pPr>
              <w:pStyle w:val="17"/>
              <w:autoSpaceDE/>
              <w:autoSpaceDN/>
              <w:spacing w:line="410" w:lineRule="exact"/>
              <w:rPr>
                <w:rFonts w:hint="eastAsia"/>
              </w:rPr>
            </w:pPr>
            <w:r>
              <w:t xml:space="preserve">□新闻发布会 </w:t>
            </w:r>
          </w:p>
          <w:p w14:paraId="5DAA253D">
            <w:pPr>
              <w:pStyle w:val="17"/>
              <w:autoSpaceDE/>
              <w:autoSpaceDN/>
              <w:spacing w:line="410" w:lineRule="exact"/>
              <w:rPr>
                <w:rFonts w:hint="eastAsia"/>
                <w:lang w:val="en-US"/>
              </w:rPr>
            </w:pPr>
            <w:r>
              <w:rPr/>
              <w:sym w:font="Wingdings 2" w:char="0052"/>
            </w:r>
            <w:r>
              <w:t>其他</w:t>
            </w:r>
            <w:r>
              <w:rPr>
                <w:rFonts w:hint="eastAsia"/>
              </w:rPr>
              <w:t>（</w:t>
            </w:r>
            <w:r>
              <w:rPr>
                <w:rFonts w:hint="eastAsia"/>
                <w:lang w:val="en-US"/>
              </w:rPr>
              <w:t>通讯会议：2026年第三季度报告业绩交流会</w:t>
            </w:r>
            <w:r>
              <w:rPr>
                <w:rFonts w:hint="eastAsia"/>
              </w:rPr>
              <w:t>）</w:t>
            </w:r>
            <w:r>
              <w:rPr>
                <w:rFonts w:hint="eastAsia"/>
                <w:lang w:val="en-US"/>
              </w:rPr>
              <w:t xml:space="preserve">       </w:t>
            </w:r>
          </w:p>
        </w:tc>
        <w:tc>
          <w:tcPr>
            <w:tcW w:w="1189" w:type="pct"/>
            <w:tcBorders>
              <w:left w:val="nil"/>
              <w:bottom w:val="single" w:color="000000" w:sz="6" w:space="0"/>
            </w:tcBorders>
          </w:tcPr>
          <w:p w14:paraId="6459BA76">
            <w:pPr>
              <w:pStyle w:val="17"/>
              <w:autoSpaceDE/>
              <w:autoSpaceDN/>
              <w:spacing w:line="410" w:lineRule="exact"/>
              <w:rPr>
                <w:rFonts w:hint="eastAsia"/>
              </w:rPr>
            </w:pPr>
            <w:r>
              <w:rPr/>
              <w:sym w:font="Wingdings 2" w:char="00A3"/>
            </w:r>
            <w:r>
              <w:t>媒</w:t>
            </w:r>
            <w:r>
              <w:rPr>
                <w:rFonts w:hint="eastAsia"/>
              </w:rPr>
              <w:t>体采访</w:t>
            </w:r>
          </w:p>
          <w:p w14:paraId="07BF97A9">
            <w:pPr>
              <w:pStyle w:val="17"/>
              <w:autoSpaceDE/>
              <w:autoSpaceDN/>
              <w:spacing w:line="410" w:lineRule="exact"/>
              <w:rPr>
                <w:rFonts w:hint="eastAsia"/>
                <w:lang w:val="en-US"/>
              </w:rPr>
            </w:pPr>
            <w:r>
              <w:rPr/>
              <w:sym w:font="Wingdings 2" w:char="00A3"/>
            </w:r>
            <w:r>
              <w:t>路</w:t>
            </w:r>
            <w:r>
              <w:rPr>
                <w:rFonts w:hint="eastAsia"/>
              </w:rPr>
              <w:t>演</w:t>
            </w:r>
            <w:r>
              <w:t xml:space="preserve">活动 </w:t>
            </w:r>
          </w:p>
          <w:p w14:paraId="75474706">
            <w:pPr>
              <w:pStyle w:val="17"/>
              <w:autoSpaceDE/>
              <w:autoSpaceDN/>
              <w:spacing w:line="410" w:lineRule="exact"/>
              <w:rPr>
                <w:rFonts w:hint="eastAsia"/>
              </w:rPr>
            </w:pPr>
          </w:p>
        </w:tc>
      </w:tr>
      <w:tr w14:paraId="1B2D057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48" w:hRule="atLeast"/>
          <w:jc w:val="center"/>
        </w:trPr>
        <w:tc>
          <w:tcPr>
            <w:tcW w:w="1094" w:type="pct"/>
            <w:tcBorders>
              <w:top w:val="single" w:color="000000" w:sz="6" w:space="0"/>
              <w:bottom w:val="single" w:color="000000" w:sz="6" w:space="0"/>
              <w:right w:val="single" w:color="000000" w:sz="6" w:space="0"/>
            </w:tcBorders>
            <w:vAlign w:val="center"/>
          </w:tcPr>
          <w:p w14:paraId="0770B8F8">
            <w:pPr>
              <w:pStyle w:val="17"/>
              <w:autoSpaceDE/>
              <w:autoSpaceDN/>
              <w:spacing w:line="410" w:lineRule="exact"/>
              <w:ind w:firstLine="221" w:firstLineChars="100"/>
              <w:rPr>
                <w:rFonts w:hint="eastAsia"/>
                <w:b/>
                <w:bCs/>
              </w:rPr>
            </w:pPr>
            <w:r>
              <w:rPr>
                <w:rFonts w:hint="eastAsia"/>
                <w:b/>
                <w:bCs/>
              </w:rPr>
              <w:t>参与单位</w:t>
            </w:r>
          </w:p>
        </w:tc>
        <w:tc>
          <w:tcPr>
            <w:tcW w:w="3905" w:type="pct"/>
            <w:gridSpan w:val="3"/>
            <w:tcBorders>
              <w:top w:val="single" w:color="000000" w:sz="6" w:space="0"/>
              <w:left w:val="single" w:color="000000" w:sz="6" w:space="0"/>
              <w:bottom w:val="single" w:color="000000" w:sz="6" w:space="0"/>
            </w:tcBorders>
            <w:vAlign w:val="center"/>
          </w:tcPr>
          <w:p w14:paraId="10B3828E">
            <w:pPr>
              <w:pStyle w:val="17"/>
              <w:autoSpaceDE/>
              <w:autoSpaceDN/>
              <w:spacing w:line="410" w:lineRule="exact"/>
              <w:ind w:right="227"/>
              <w:jc w:val="both"/>
              <w:rPr>
                <w:rFonts w:hint="eastAsia"/>
                <w:lang w:val="en-US"/>
              </w:rPr>
            </w:pPr>
            <w:r>
              <w:rPr>
                <w:rFonts w:hint="eastAsia"/>
                <w:lang w:val="en-US"/>
              </w:rPr>
              <w:t>中信证券、中金公司、长江证券、广发证券、华鑫证券、天风证券、东方证券、兴业证券、华福证券、国泰海通、国信证券、华源证券、申万宏源证券、浙商证券、华西证券、</w:t>
            </w:r>
          </w:p>
          <w:p w14:paraId="4E9F11FA">
            <w:pPr>
              <w:pStyle w:val="17"/>
              <w:autoSpaceDE/>
              <w:autoSpaceDN/>
              <w:spacing w:line="410" w:lineRule="exact"/>
              <w:ind w:right="227"/>
              <w:jc w:val="both"/>
              <w:rPr>
                <w:rFonts w:hint="eastAsia"/>
                <w:lang w:val="en-US"/>
              </w:rPr>
            </w:pPr>
            <w:r>
              <w:rPr>
                <w:rFonts w:hint="eastAsia"/>
                <w:lang w:val="en-US"/>
              </w:rPr>
              <w:t>招商证券、国泰君安证券、国盛证券、开源证券、华创证券、方正证券、国海证券、</w:t>
            </w:r>
          </w:p>
          <w:p w14:paraId="566DD7CB">
            <w:pPr>
              <w:pStyle w:val="17"/>
              <w:autoSpaceDE/>
              <w:autoSpaceDN/>
              <w:spacing w:line="410" w:lineRule="exact"/>
              <w:ind w:right="227"/>
              <w:jc w:val="both"/>
              <w:rPr>
                <w:rFonts w:hint="eastAsia"/>
                <w:lang w:val="en-US"/>
              </w:rPr>
            </w:pPr>
            <w:r>
              <w:rPr>
                <w:rFonts w:hint="eastAsia"/>
                <w:lang w:val="en-US"/>
              </w:rPr>
              <w:t>财通证券、光大证券、东方财富、华安证券、西部证券、尚诚资管、高熵资管、中加基金、宝盈基金、嘉合基金、瑞达基金、深积资管、止于至善投资、艾礼象基金</w:t>
            </w:r>
          </w:p>
          <w:p w14:paraId="0686C3AF">
            <w:pPr>
              <w:pStyle w:val="17"/>
              <w:autoSpaceDE/>
              <w:autoSpaceDN/>
              <w:spacing w:line="410" w:lineRule="exact"/>
              <w:ind w:right="227"/>
              <w:jc w:val="both"/>
              <w:rPr>
                <w:rFonts w:hint="eastAsia"/>
                <w:lang w:val="en-US"/>
              </w:rPr>
            </w:pPr>
            <w:r>
              <w:rPr>
                <w:rFonts w:hint="eastAsia"/>
                <w:lang w:val="en-US"/>
              </w:rPr>
              <w:t>（以上排名不分先后）</w:t>
            </w:r>
          </w:p>
        </w:tc>
      </w:tr>
      <w:tr w14:paraId="7BBCFE1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13" w:hRule="atLeast"/>
          <w:jc w:val="center"/>
        </w:trPr>
        <w:tc>
          <w:tcPr>
            <w:tcW w:w="1094" w:type="pct"/>
            <w:tcBorders>
              <w:top w:val="single" w:color="000000" w:sz="6" w:space="0"/>
              <w:bottom w:val="single" w:color="000000" w:sz="6" w:space="0"/>
              <w:right w:val="single" w:color="000000" w:sz="6" w:space="0"/>
            </w:tcBorders>
            <w:vAlign w:val="center"/>
          </w:tcPr>
          <w:p w14:paraId="1BAD2C5F">
            <w:pPr>
              <w:pStyle w:val="17"/>
              <w:autoSpaceDE/>
              <w:autoSpaceDN/>
              <w:spacing w:line="410" w:lineRule="exact"/>
              <w:ind w:right="227" w:firstLine="221" w:firstLineChars="100"/>
              <w:rPr>
                <w:rFonts w:hint="eastAsia"/>
                <w:b/>
                <w:bCs/>
              </w:rPr>
            </w:pPr>
            <w:r>
              <w:rPr>
                <w:rFonts w:hint="eastAsia"/>
                <w:b/>
                <w:bCs/>
              </w:rPr>
              <w:t>时间</w:t>
            </w:r>
          </w:p>
        </w:tc>
        <w:tc>
          <w:tcPr>
            <w:tcW w:w="3905" w:type="pct"/>
            <w:gridSpan w:val="3"/>
            <w:tcBorders>
              <w:top w:val="single" w:color="000000" w:sz="6" w:space="0"/>
              <w:left w:val="single" w:color="000000" w:sz="6" w:space="0"/>
              <w:bottom w:val="single" w:color="000000" w:sz="6" w:space="0"/>
            </w:tcBorders>
            <w:vAlign w:val="center"/>
          </w:tcPr>
          <w:p w14:paraId="50FFA0B8">
            <w:pPr>
              <w:pStyle w:val="17"/>
              <w:autoSpaceDE/>
              <w:autoSpaceDN/>
              <w:spacing w:line="410" w:lineRule="exact"/>
              <w:ind w:right="227"/>
              <w:rPr>
                <w:rFonts w:hint="eastAsia"/>
                <w:lang w:val="en-US"/>
              </w:rPr>
            </w:pPr>
            <w:r>
              <w:rPr>
                <w:rFonts w:hint="eastAsia"/>
                <w:lang w:val="en-US"/>
              </w:rPr>
              <w:t>2026年10月30日 15:30-16:30</w:t>
            </w:r>
          </w:p>
        </w:tc>
      </w:tr>
      <w:tr w14:paraId="3905EAD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61" w:hRule="atLeast"/>
          <w:jc w:val="center"/>
        </w:trPr>
        <w:tc>
          <w:tcPr>
            <w:tcW w:w="1094" w:type="pct"/>
            <w:tcBorders>
              <w:top w:val="single" w:color="000000" w:sz="6" w:space="0"/>
              <w:bottom w:val="single" w:color="000000" w:sz="6" w:space="0"/>
              <w:right w:val="single" w:color="000000" w:sz="6" w:space="0"/>
            </w:tcBorders>
            <w:vAlign w:val="center"/>
          </w:tcPr>
          <w:p w14:paraId="218C7E7B">
            <w:pPr>
              <w:pStyle w:val="17"/>
              <w:autoSpaceDE/>
              <w:autoSpaceDN/>
              <w:spacing w:line="410" w:lineRule="exact"/>
              <w:ind w:right="227" w:firstLine="221" w:firstLineChars="100"/>
              <w:rPr>
                <w:rFonts w:hint="eastAsia"/>
                <w:b/>
                <w:bCs/>
              </w:rPr>
            </w:pPr>
            <w:r>
              <w:rPr>
                <w:rFonts w:hint="eastAsia"/>
                <w:b/>
                <w:bCs/>
              </w:rPr>
              <w:t>地点</w:t>
            </w:r>
          </w:p>
        </w:tc>
        <w:tc>
          <w:tcPr>
            <w:tcW w:w="3905" w:type="pct"/>
            <w:gridSpan w:val="3"/>
            <w:tcBorders>
              <w:top w:val="single" w:color="000000" w:sz="6" w:space="0"/>
              <w:left w:val="single" w:color="000000" w:sz="6" w:space="0"/>
              <w:bottom w:val="single" w:color="000000" w:sz="6" w:space="0"/>
            </w:tcBorders>
            <w:vAlign w:val="center"/>
          </w:tcPr>
          <w:p w14:paraId="1A0E40D2">
            <w:pPr>
              <w:pStyle w:val="17"/>
              <w:autoSpaceDE/>
              <w:autoSpaceDN/>
              <w:spacing w:line="410" w:lineRule="exact"/>
              <w:ind w:right="227"/>
              <w:rPr>
                <w:rFonts w:hint="eastAsia"/>
                <w:lang w:val="en-US"/>
              </w:rPr>
            </w:pPr>
            <w:r>
              <w:rPr>
                <w:rFonts w:hint="eastAsia"/>
                <w:lang w:val="en-US"/>
              </w:rPr>
              <w:t>成都·公司总部会议室</w:t>
            </w:r>
          </w:p>
        </w:tc>
      </w:tr>
      <w:tr w14:paraId="7C36F43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32" w:hRule="atLeast"/>
          <w:jc w:val="center"/>
        </w:trPr>
        <w:tc>
          <w:tcPr>
            <w:tcW w:w="1094" w:type="pct"/>
            <w:tcBorders>
              <w:top w:val="single" w:color="000000" w:sz="6" w:space="0"/>
              <w:bottom w:val="single" w:color="000000" w:sz="6" w:space="0"/>
              <w:right w:val="single" w:color="000000" w:sz="6" w:space="0"/>
            </w:tcBorders>
            <w:vAlign w:val="center"/>
          </w:tcPr>
          <w:p w14:paraId="4FB40B71">
            <w:pPr>
              <w:pStyle w:val="17"/>
              <w:autoSpaceDE/>
              <w:autoSpaceDN/>
              <w:spacing w:line="410" w:lineRule="exact"/>
              <w:ind w:firstLine="221" w:firstLineChars="100"/>
              <w:rPr>
                <w:rFonts w:hint="eastAsia"/>
                <w:b/>
                <w:bCs/>
              </w:rPr>
            </w:pPr>
            <w:r>
              <w:rPr>
                <w:rFonts w:hint="eastAsia"/>
                <w:b/>
                <w:bCs/>
                <w:lang w:val="en-US"/>
              </w:rPr>
              <w:t>上市</w:t>
            </w:r>
            <w:r>
              <w:rPr>
                <w:rFonts w:hint="eastAsia"/>
                <w:b/>
                <w:bCs/>
              </w:rPr>
              <w:t>公司</w:t>
            </w:r>
          </w:p>
          <w:p w14:paraId="34BD383F">
            <w:pPr>
              <w:pStyle w:val="17"/>
              <w:autoSpaceDE/>
              <w:autoSpaceDN/>
              <w:spacing w:line="410" w:lineRule="exact"/>
              <w:ind w:firstLine="221" w:firstLineChars="100"/>
              <w:rPr>
                <w:rFonts w:hint="eastAsia"/>
                <w:b/>
                <w:bCs/>
              </w:rPr>
            </w:pPr>
            <w:r>
              <w:rPr>
                <w:rFonts w:hint="eastAsia"/>
                <w:b/>
                <w:bCs/>
              </w:rPr>
              <w:t>接待人员姓名</w:t>
            </w:r>
          </w:p>
        </w:tc>
        <w:tc>
          <w:tcPr>
            <w:tcW w:w="3905" w:type="pct"/>
            <w:gridSpan w:val="3"/>
            <w:tcBorders>
              <w:top w:val="single" w:color="000000" w:sz="6" w:space="0"/>
              <w:left w:val="single" w:color="000000" w:sz="6" w:space="0"/>
              <w:bottom w:val="single" w:color="000000" w:sz="6" w:space="0"/>
            </w:tcBorders>
            <w:vAlign w:val="center"/>
          </w:tcPr>
          <w:p w14:paraId="2EF6647F">
            <w:pPr>
              <w:pStyle w:val="17"/>
              <w:autoSpaceDE/>
              <w:autoSpaceDN/>
              <w:spacing w:line="410" w:lineRule="exact"/>
              <w:ind w:right="227"/>
              <w:rPr>
                <w:rFonts w:hint="eastAsia"/>
                <w:lang w:val="en-US"/>
              </w:rPr>
            </w:pPr>
            <w:r>
              <w:rPr>
                <w:rFonts w:hint="eastAsia"/>
              </w:rPr>
              <w:t>董事会秘书：</w:t>
            </w:r>
            <w:r>
              <w:rPr>
                <w:rFonts w:hint="eastAsia"/>
                <w:lang w:val="en-US"/>
              </w:rPr>
              <w:t>张耕</w:t>
            </w:r>
          </w:p>
          <w:p w14:paraId="6C9B3DBC">
            <w:pPr>
              <w:pStyle w:val="17"/>
              <w:autoSpaceDE/>
              <w:autoSpaceDN/>
              <w:spacing w:line="410" w:lineRule="exact"/>
              <w:ind w:right="227"/>
              <w:rPr>
                <w:rFonts w:hint="eastAsia"/>
                <w:lang w:val="en-US"/>
              </w:rPr>
            </w:pPr>
            <w:r>
              <w:rPr>
                <w:rFonts w:hint="eastAsia"/>
                <w:lang w:val="en-US"/>
              </w:rPr>
              <w:t>副总经理：徐成聪</w:t>
            </w:r>
          </w:p>
          <w:p w14:paraId="33F39550">
            <w:pPr>
              <w:pStyle w:val="17"/>
              <w:autoSpaceDE/>
              <w:autoSpaceDN/>
              <w:spacing w:line="410" w:lineRule="exact"/>
              <w:ind w:right="227"/>
              <w:rPr>
                <w:rFonts w:hint="eastAsia"/>
                <w:lang w:val="en-US"/>
              </w:rPr>
            </w:pPr>
            <w:r>
              <w:rPr>
                <w:rFonts w:hint="eastAsia"/>
                <w:lang w:val="en-US"/>
              </w:rPr>
              <w:t>财务总监：陈丽青</w:t>
            </w:r>
          </w:p>
          <w:p w14:paraId="721FEB6A">
            <w:pPr>
              <w:pStyle w:val="17"/>
              <w:autoSpaceDE/>
              <w:autoSpaceDN/>
              <w:spacing w:line="410" w:lineRule="exact"/>
              <w:ind w:right="227"/>
              <w:rPr>
                <w:rFonts w:hint="eastAsia"/>
                <w:lang w:val="en-US"/>
              </w:rPr>
            </w:pPr>
            <w:r>
              <w:rPr>
                <w:rFonts w:hint="eastAsia"/>
                <w:lang w:val="en-US"/>
              </w:rPr>
              <w:t>证券事务代表：张诗琪</w:t>
            </w:r>
          </w:p>
        </w:tc>
      </w:tr>
      <w:tr w14:paraId="0E0E64C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9" w:hRule="atLeast"/>
          <w:jc w:val="center"/>
        </w:trPr>
        <w:tc>
          <w:tcPr>
            <w:tcW w:w="1094" w:type="pct"/>
            <w:tcBorders>
              <w:top w:val="single" w:color="000000" w:sz="6" w:space="0"/>
              <w:bottom w:val="single" w:color="000000" w:sz="6" w:space="0"/>
              <w:right w:val="single" w:color="000000" w:sz="6" w:space="0"/>
            </w:tcBorders>
            <w:vAlign w:val="center"/>
          </w:tcPr>
          <w:p w14:paraId="54B1331F">
            <w:pPr>
              <w:pStyle w:val="17"/>
              <w:autoSpaceDE/>
              <w:autoSpaceDN/>
              <w:spacing w:line="410" w:lineRule="exact"/>
              <w:rPr>
                <w:rFonts w:hint="eastAsia"/>
                <w:b/>
                <w:bCs/>
              </w:rPr>
            </w:pPr>
            <w:r>
              <w:rPr>
                <w:rFonts w:hint="eastAsia"/>
                <w:b/>
                <w:bCs/>
                <w:lang w:val="en-US"/>
              </w:rPr>
              <w:t xml:space="preserve">  </w:t>
            </w:r>
            <w:r>
              <w:rPr>
                <w:rFonts w:hint="eastAsia"/>
                <w:b/>
                <w:bCs/>
              </w:rPr>
              <w:t>投资者关系活动</w:t>
            </w:r>
          </w:p>
          <w:p w14:paraId="47F32A3C">
            <w:pPr>
              <w:pStyle w:val="17"/>
              <w:autoSpaceDE/>
              <w:autoSpaceDN/>
              <w:spacing w:line="410" w:lineRule="exact"/>
              <w:ind w:firstLine="221" w:firstLineChars="100"/>
              <w:rPr>
                <w:rFonts w:hint="eastAsia"/>
                <w:b/>
                <w:bCs/>
              </w:rPr>
            </w:pPr>
            <w:r>
              <w:rPr>
                <w:rFonts w:hint="eastAsia"/>
                <w:b/>
                <w:bCs/>
              </w:rPr>
              <w:t>主要内容介绍</w:t>
            </w:r>
          </w:p>
        </w:tc>
        <w:tc>
          <w:tcPr>
            <w:tcW w:w="3905" w:type="pct"/>
            <w:gridSpan w:val="3"/>
            <w:tcBorders>
              <w:top w:val="single" w:color="000000" w:sz="6" w:space="0"/>
              <w:left w:val="single" w:color="000000" w:sz="6" w:space="0"/>
              <w:bottom w:val="single" w:color="000000" w:sz="6" w:space="0"/>
            </w:tcBorders>
            <w:vAlign w:val="center"/>
          </w:tcPr>
          <w:p w14:paraId="0DA47097">
            <w:pPr>
              <w:pStyle w:val="17"/>
              <w:autoSpaceDE/>
              <w:autoSpaceDN/>
              <w:spacing w:line="400" w:lineRule="exact"/>
              <w:ind w:right="227"/>
              <w:jc w:val="both"/>
              <w:rPr>
                <w:rFonts w:hint="eastAsia"/>
                <w:b/>
                <w:bCs/>
                <w:lang w:val="en-US"/>
              </w:rPr>
            </w:pPr>
            <w:bookmarkStart w:id="0" w:name="7182-1592134663918"/>
            <w:bookmarkEnd w:id="0"/>
            <w:r>
              <w:rPr>
                <w:rFonts w:hint="eastAsia"/>
                <w:b/>
                <w:bCs/>
                <w:lang w:val="en-US"/>
              </w:rPr>
              <w:t>一、公司业绩回顾与经营展望</w:t>
            </w:r>
          </w:p>
          <w:p w14:paraId="2254768C">
            <w:pPr>
              <w:pStyle w:val="17"/>
              <w:autoSpaceDE/>
              <w:autoSpaceDN/>
              <w:spacing w:line="400" w:lineRule="exact"/>
              <w:ind w:right="227" w:firstLine="442" w:firstLineChars="200"/>
              <w:jc w:val="both"/>
              <w:rPr>
                <w:rFonts w:hint="eastAsia"/>
                <w:b/>
                <w:bCs/>
                <w:lang w:val="en-US"/>
              </w:rPr>
            </w:pPr>
            <w:r>
              <w:rPr>
                <w:rFonts w:hint="eastAsia"/>
                <w:b/>
                <w:bCs/>
                <w:lang w:val="en-US"/>
              </w:rPr>
              <w:t>1、业绩回顾</w:t>
            </w:r>
          </w:p>
          <w:p w14:paraId="14D21197">
            <w:pPr>
              <w:pStyle w:val="17"/>
              <w:autoSpaceDE/>
              <w:autoSpaceDN/>
              <w:spacing w:line="400" w:lineRule="exact"/>
              <w:ind w:right="227" w:firstLine="440" w:firstLineChars="200"/>
              <w:jc w:val="both"/>
              <w:rPr>
                <w:rFonts w:hint="eastAsia"/>
                <w:lang w:val="en-US"/>
              </w:rPr>
            </w:pPr>
            <w:r>
              <w:rPr>
                <w:rFonts w:hint="eastAsia"/>
                <w:lang w:val="en-US"/>
              </w:rPr>
              <w:t>2026年1至9月，国内生猪市场价格跌宕起伏，生猪行业正处于周期深度磨底阶段。面对行业“深冬”，公司坚定响应国家政策号召坚持高质量发展，主动优化母猪产能并持续推动生猪养殖增效降本；但因生猪养殖业务受到生猪市场价格低位运行影响，同时公司基于谨慎性原则对消耗性生物资产计提存货跌价减值准备，公司业绩在生猪行业周期性波动影响下出现阶段性亏损。</w:t>
            </w:r>
          </w:p>
          <w:p w14:paraId="2CFE220D">
            <w:pPr>
              <w:pStyle w:val="17"/>
              <w:autoSpaceDE/>
              <w:autoSpaceDN/>
              <w:spacing w:line="400" w:lineRule="exact"/>
              <w:ind w:right="227" w:firstLine="440" w:firstLineChars="200"/>
              <w:jc w:val="both"/>
              <w:rPr>
                <w:rFonts w:hint="eastAsia"/>
                <w:b/>
                <w:bCs/>
                <w:lang w:val="en-US"/>
              </w:rPr>
            </w:pPr>
            <w:r>
              <w:rPr>
                <w:rFonts w:hint="eastAsia"/>
                <w:lang w:val="en-US"/>
              </w:rPr>
              <w:t xml:space="preserve">2026年1至9月，公司销售生猪408.32万头，公司实现营业收入52.26亿元，实现归母净利润-11.51亿元。2026年三季度，公司实现归母净利润-3.12亿元，经营持续优化改善，环比亏损大幅减少。  </w:t>
            </w:r>
          </w:p>
          <w:p w14:paraId="533FAC82">
            <w:pPr>
              <w:pStyle w:val="17"/>
              <w:autoSpaceDE/>
              <w:autoSpaceDN/>
              <w:spacing w:line="410" w:lineRule="exact"/>
              <w:ind w:right="227" w:firstLine="442" w:firstLineChars="200"/>
              <w:jc w:val="both"/>
              <w:rPr>
                <w:rFonts w:hint="eastAsia"/>
                <w:b/>
                <w:bCs/>
                <w:lang w:val="en-US"/>
              </w:rPr>
            </w:pPr>
            <w:r>
              <w:rPr>
                <w:rFonts w:hint="eastAsia"/>
                <w:b/>
                <w:bCs/>
                <w:lang w:val="en-US"/>
              </w:rPr>
              <w:t>2、经营展望</w:t>
            </w:r>
          </w:p>
          <w:p w14:paraId="455D64B4">
            <w:pPr>
              <w:pStyle w:val="17"/>
              <w:autoSpaceDE/>
              <w:autoSpaceDN/>
              <w:spacing w:line="410" w:lineRule="exact"/>
              <w:ind w:right="227" w:firstLine="440" w:firstLineChars="200"/>
              <w:jc w:val="both"/>
              <w:rPr>
                <w:rFonts w:hint="eastAsia"/>
                <w:b/>
                <w:bCs/>
                <w:lang w:val="en-US"/>
              </w:rPr>
            </w:pPr>
            <w:r>
              <w:rPr>
                <w:rFonts w:hint="eastAsia"/>
                <w:lang w:val="en-US"/>
              </w:rPr>
              <w:t>2026年四季度，公司稳健开展生产经营并有序安排出栏销售，在PSY提升基础上提高育种质量，在保障猪群健康度基础上提升育肥效率，基于地方区域消费需求提升销售价值，确保达成商品肥猪完全成本6.0元/斤以内的目标，并为2027年公司实现更具挑战性目标夯实基础。</w:t>
            </w:r>
          </w:p>
          <w:p w14:paraId="60C996CD">
            <w:pPr>
              <w:pStyle w:val="17"/>
              <w:autoSpaceDE/>
              <w:autoSpaceDN/>
              <w:spacing w:line="410" w:lineRule="exact"/>
              <w:ind w:right="227" w:firstLine="442" w:firstLineChars="200"/>
              <w:jc w:val="both"/>
              <w:rPr>
                <w:rFonts w:hint="eastAsia"/>
                <w:b/>
                <w:bCs/>
                <w:lang w:val="en-US"/>
              </w:rPr>
            </w:pPr>
          </w:p>
          <w:p w14:paraId="4131BB15">
            <w:pPr>
              <w:pStyle w:val="17"/>
              <w:autoSpaceDE/>
              <w:autoSpaceDN/>
              <w:spacing w:line="410" w:lineRule="exact"/>
              <w:ind w:right="227"/>
              <w:jc w:val="both"/>
              <w:rPr>
                <w:rFonts w:hint="eastAsia"/>
                <w:b/>
                <w:bCs/>
                <w:lang w:val="en-US"/>
              </w:rPr>
            </w:pPr>
            <w:r>
              <w:rPr>
                <w:rFonts w:hint="eastAsia"/>
                <w:b/>
                <w:bCs/>
                <w:lang w:val="en-US"/>
              </w:rPr>
              <w:t>二、公司生猪养殖生产指标与完全成本情况？</w:t>
            </w:r>
          </w:p>
          <w:p w14:paraId="0FFA78E9">
            <w:pPr>
              <w:pStyle w:val="17"/>
              <w:autoSpaceDE/>
              <w:autoSpaceDN/>
              <w:spacing w:line="410" w:lineRule="exact"/>
              <w:ind w:right="227" w:firstLine="440" w:firstLineChars="200"/>
              <w:jc w:val="both"/>
              <w:rPr>
                <w:rFonts w:hint="eastAsia"/>
                <w:lang w:val="en-US"/>
              </w:rPr>
            </w:pPr>
            <w:r>
              <w:rPr>
                <w:rFonts w:hint="eastAsia"/>
                <w:lang w:val="en-US"/>
              </w:rPr>
              <w:t>2026年9月，种群PSY达到31头以上，标准商品肥猪料肉比降至2.43。</w:t>
            </w:r>
          </w:p>
          <w:p w14:paraId="0831937B">
            <w:pPr>
              <w:pStyle w:val="17"/>
              <w:autoSpaceDE/>
              <w:autoSpaceDN/>
              <w:spacing w:line="410" w:lineRule="exact"/>
              <w:ind w:right="227" w:firstLine="440" w:firstLineChars="200"/>
              <w:jc w:val="both"/>
              <w:rPr>
                <w:rFonts w:hint="eastAsia"/>
                <w:b/>
                <w:bCs/>
                <w:lang w:val="en-US"/>
              </w:rPr>
            </w:pPr>
            <w:r>
              <w:rPr>
                <w:rFonts w:hint="eastAsia"/>
                <w:lang w:val="en-US"/>
              </w:rPr>
              <w:t>2026年9月，商品肥猪完全成本降至5.96元/斤，断奶仔猪成本250元/头以内。</w:t>
            </w:r>
          </w:p>
          <w:p w14:paraId="738D7019">
            <w:pPr>
              <w:pStyle w:val="17"/>
              <w:autoSpaceDE/>
              <w:autoSpaceDN/>
              <w:spacing w:line="410" w:lineRule="exact"/>
              <w:ind w:right="227" w:firstLine="442" w:firstLineChars="200"/>
              <w:jc w:val="both"/>
              <w:rPr>
                <w:rFonts w:hint="eastAsia"/>
                <w:b/>
                <w:bCs/>
                <w:lang w:val="en-US"/>
              </w:rPr>
            </w:pPr>
          </w:p>
          <w:p w14:paraId="0802488F">
            <w:pPr>
              <w:pStyle w:val="17"/>
              <w:autoSpaceDE/>
              <w:autoSpaceDN/>
              <w:spacing w:line="410" w:lineRule="exact"/>
              <w:ind w:right="227"/>
              <w:jc w:val="both"/>
              <w:rPr>
                <w:rFonts w:hint="eastAsia"/>
                <w:b/>
                <w:bCs/>
                <w:lang w:val="en-US"/>
              </w:rPr>
            </w:pPr>
            <w:r>
              <w:rPr>
                <w:rFonts w:hint="eastAsia"/>
                <w:b/>
                <w:bCs/>
                <w:lang w:val="en-US"/>
              </w:rPr>
              <w:t>三、公司安全经营与可持续发展情况？</w:t>
            </w:r>
          </w:p>
          <w:p w14:paraId="30153561">
            <w:pPr>
              <w:pStyle w:val="17"/>
              <w:autoSpaceDE/>
              <w:autoSpaceDN/>
              <w:spacing w:line="410" w:lineRule="exact"/>
              <w:ind w:right="227" w:firstLine="440" w:firstLineChars="200"/>
              <w:jc w:val="both"/>
              <w:rPr>
                <w:rFonts w:hint="eastAsia"/>
                <w:lang w:val="en-US"/>
              </w:rPr>
            </w:pPr>
            <w:r>
              <w:rPr>
                <w:rFonts w:hint="eastAsia"/>
                <w:lang w:val="en-US"/>
              </w:rPr>
              <w:t>2026年三季度，公司经营稳健管理有序财务状况良好，企业资产负债率稳定可控，融资渠道畅通现金流健康。公司包括“现金准备、金融授信”等的资金储备计划总额为20亿元以上，可以保障公司未来的可持续经营与高质量发展。</w:t>
            </w:r>
          </w:p>
          <w:p w14:paraId="0AC25955">
            <w:pPr>
              <w:pStyle w:val="17"/>
              <w:autoSpaceDE/>
              <w:autoSpaceDN/>
              <w:spacing w:line="410" w:lineRule="exact"/>
              <w:ind w:right="227" w:firstLine="440" w:firstLineChars="200"/>
              <w:jc w:val="both"/>
              <w:rPr>
                <w:rFonts w:hint="eastAsia"/>
                <w:lang w:val="en-US"/>
              </w:rPr>
            </w:pPr>
            <w:r>
              <w:rPr>
                <w:rFonts w:hint="eastAsia"/>
                <w:lang w:val="en-US"/>
              </w:rPr>
              <w:t>巨星农牧在2026年入选中国上市公司协会“上市公司内部控制典型案例”，是对公司规范运作水平的充分肯定，也是巨星农牧内控管理数字智能化转型的重要里程碑。公司将持续深化物联网、大数据</w:t>
            </w:r>
            <w:r>
              <w:rPr>
                <w:rFonts w:hint="eastAsia"/>
                <w:lang w:val="en-US" w:eastAsia="zh-CN"/>
              </w:rPr>
              <w:t>等</w:t>
            </w:r>
            <w:bookmarkStart w:id="1" w:name="_GoBack"/>
            <w:bookmarkEnd w:id="1"/>
            <w:r>
              <w:rPr>
                <w:rFonts w:hint="eastAsia"/>
                <w:lang w:val="en-US"/>
              </w:rPr>
              <w:t>在合规管理、财务核查、审计监察等场景的应用，为全行业输出更多能对标、可推广、易应用的“巨星经验”。</w:t>
            </w:r>
          </w:p>
          <w:p w14:paraId="32826F3D">
            <w:pPr>
              <w:pStyle w:val="17"/>
              <w:autoSpaceDE/>
              <w:autoSpaceDN/>
              <w:spacing w:line="410" w:lineRule="exact"/>
              <w:ind w:right="227" w:firstLine="440" w:firstLineChars="200"/>
              <w:jc w:val="both"/>
              <w:rPr>
                <w:rFonts w:hint="eastAsia"/>
                <w:lang w:val="en-US"/>
              </w:rPr>
            </w:pPr>
            <w:r>
              <w:rPr>
                <w:lang w:val="en-US"/>
              </w:rPr>
              <w:t>“农业农村部西南生猪生物育种重点实验室”</w:t>
            </w:r>
            <w:r>
              <w:rPr>
                <w:rFonts w:hint="eastAsia"/>
                <w:lang w:val="en-US"/>
              </w:rPr>
              <w:t>近期</w:t>
            </w:r>
            <w:r>
              <w:rPr>
                <w:lang w:val="en-US"/>
              </w:rPr>
              <w:t>落户</w:t>
            </w:r>
            <w:r>
              <w:rPr>
                <w:rFonts w:hint="eastAsia"/>
                <w:lang w:val="en-US"/>
              </w:rPr>
              <w:t>巨星农牧</w:t>
            </w:r>
            <w:r>
              <w:rPr>
                <w:lang w:val="en-US"/>
              </w:rPr>
              <w:t>，该实验室由</w:t>
            </w:r>
            <w:r>
              <w:rPr>
                <w:rFonts w:hint="eastAsia"/>
                <w:lang w:val="en-US"/>
              </w:rPr>
              <w:t>公司</w:t>
            </w:r>
            <w:r>
              <w:rPr>
                <w:lang w:val="en-US"/>
              </w:rPr>
              <w:t>牵头</w:t>
            </w:r>
            <w:r>
              <w:rPr>
                <w:rFonts w:hint="eastAsia"/>
                <w:lang w:val="en-US"/>
              </w:rPr>
              <w:t>与</w:t>
            </w:r>
            <w:r>
              <w:rPr>
                <w:lang w:val="en-US"/>
              </w:rPr>
              <w:t>四川省畜牧科学研究院联合共建，是国家生猪种业创新体系在西南布局的关键落点，标志着巨星农牧从养殖龙头向种业创新平台的战略跃迁迈出实质一步，</w:t>
            </w:r>
            <w:r>
              <w:rPr>
                <w:rFonts w:hint="eastAsia"/>
                <w:lang w:val="en-US"/>
              </w:rPr>
              <w:t>以</w:t>
            </w:r>
            <w:r>
              <w:rPr>
                <w:lang w:val="en-US"/>
              </w:rPr>
              <w:t>科技</w:t>
            </w:r>
            <w:r>
              <w:rPr>
                <w:rFonts w:hint="eastAsia"/>
                <w:lang w:val="en-US"/>
              </w:rPr>
              <w:t>的创新解决</w:t>
            </w:r>
            <w:r>
              <w:rPr>
                <w:lang w:val="en-US"/>
              </w:rPr>
              <w:t>产业的</w:t>
            </w:r>
            <w:r>
              <w:rPr>
                <w:rFonts w:hint="eastAsia"/>
                <w:lang w:val="en-US"/>
              </w:rPr>
              <w:t>关键难题</w:t>
            </w:r>
            <w:r>
              <w:rPr>
                <w:lang w:val="en-US"/>
              </w:rPr>
              <w:t>，为国家种业振兴贡献</w:t>
            </w:r>
            <w:r>
              <w:rPr>
                <w:rFonts w:hint="eastAsia"/>
                <w:lang w:val="en-US"/>
              </w:rPr>
              <w:t>“</w:t>
            </w:r>
            <w:r>
              <w:rPr>
                <w:lang w:val="en-US"/>
              </w:rPr>
              <w:t>巨星力量</w:t>
            </w:r>
            <w:r>
              <w:rPr>
                <w:rFonts w:hint="eastAsia"/>
                <w:lang w:val="en-US"/>
              </w:rPr>
              <w:t>”</w:t>
            </w:r>
            <w:r>
              <w:rPr>
                <w:lang w:val="en-US"/>
              </w:rPr>
              <w:t>。</w:t>
            </w:r>
          </w:p>
        </w:tc>
      </w:tr>
      <w:tr w14:paraId="607A064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94" w:hRule="atLeast"/>
          <w:jc w:val="center"/>
        </w:trPr>
        <w:tc>
          <w:tcPr>
            <w:tcW w:w="1094" w:type="pct"/>
            <w:tcBorders>
              <w:top w:val="single" w:color="000000" w:sz="6" w:space="0"/>
              <w:bottom w:val="single" w:color="000000" w:sz="6" w:space="0"/>
              <w:right w:val="single" w:color="000000" w:sz="6" w:space="0"/>
            </w:tcBorders>
            <w:vAlign w:val="center"/>
          </w:tcPr>
          <w:p w14:paraId="22603D08">
            <w:pPr>
              <w:pStyle w:val="17"/>
              <w:autoSpaceDE/>
              <w:autoSpaceDN/>
              <w:spacing w:line="410" w:lineRule="exact"/>
              <w:ind w:firstLine="221" w:firstLineChars="100"/>
              <w:rPr>
                <w:rFonts w:hint="eastAsia"/>
                <w:b/>
                <w:bCs/>
              </w:rPr>
            </w:pPr>
            <w:r>
              <w:rPr>
                <w:rFonts w:hint="eastAsia"/>
                <w:b/>
                <w:bCs/>
              </w:rPr>
              <w:t>附件清单（如有）</w:t>
            </w:r>
          </w:p>
        </w:tc>
        <w:tc>
          <w:tcPr>
            <w:tcW w:w="3905" w:type="pct"/>
            <w:gridSpan w:val="3"/>
            <w:tcBorders>
              <w:top w:val="single" w:color="000000" w:sz="6" w:space="0"/>
              <w:left w:val="single" w:color="000000" w:sz="6" w:space="0"/>
              <w:bottom w:val="single" w:color="000000" w:sz="6" w:space="0"/>
            </w:tcBorders>
            <w:vAlign w:val="center"/>
          </w:tcPr>
          <w:p w14:paraId="2D417945">
            <w:pPr>
              <w:pStyle w:val="17"/>
              <w:autoSpaceDE/>
              <w:autoSpaceDN/>
              <w:spacing w:line="410" w:lineRule="exact"/>
              <w:jc w:val="both"/>
              <w:rPr>
                <w:rFonts w:hint="eastAsia"/>
                <w:lang w:val="en-US"/>
              </w:rPr>
            </w:pPr>
            <w:r>
              <w:rPr>
                <w:rFonts w:hint="eastAsia"/>
              </w:rPr>
              <w:t>无</w:t>
            </w:r>
          </w:p>
        </w:tc>
      </w:tr>
      <w:tr w14:paraId="4572C89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34" w:hRule="atLeast"/>
          <w:jc w:val="center"/>
        </w:trPr>
        <w:tc>
          <w:tcPr>
            <w:tcW w:w="1094" w:type="pct"/>
            <w:tcBorders>
              <w:top w:val="single" w:color="000000" w:sz="6" w:space="0"/>
              <w:bottom w:val="single" w:color="000000" w:sz="6" w:space="0"/>
              <w:right w:val="single" w:color="000000" w:sz="6" w:space="0"/>
            </w:tcBorders>
            <w:vAlign w:val="center"/>
          </w:tcPr>
          <w:p w14:paraId="7C202EBB">
            <w:pPr>
              <w:pStyle w:val="17"/>
              <w:autoSpaceDE/>
              <w:autoSpaceDN/>
              <w:spacing w:line="410" w:lineRule="exact"/>
              <w:ind w:firstLine="221" w:firstLineChars="100"/>
              <w:rPr>
                <w:rFonts w:hint="eastAsia"/>
                <w:b/>
                <w:bCs/>
              </w:rPr>
            </w:pPr>
            <w:r>
              <w:rPr>
                <w:rFonts w:hint="eastAsia"/>
                <w:b/>
                <w:bCs/>
                <w:lang w:val="en-US"/>
              </w:rPr>
              <w:t>日期</w:t>
            </w:r>
          </w:p>
        </w:tc>
        <w:tc>
          <w:tcPr>
            <w:tcW w:w="3905" w:type="pct"/>
            <w:gridSpan w:val="3"/>
            <w:tcBorders>
              <w:top w:val="single" w:color="000000" w:sz="6" w:space="0"/>
              <w:left w:val="single" w:color="000000" w:sz="6" w:space="0"/>
              <w:bottom w:val="single" w:color="000000" w:sz="6" w:space="0"/>
            </w:tcBorders>
            <w:vAlign w:val="center"/>
          </w:tcPr>
          <w:p w14:paraId="6C252084">
            <w:pPr>
              <w:pStyle w:val="17"/>
              <w:autoSpaceDE/>
              <w:autoSpaceDN/>
              <w:spacing w:line="410" w:lineRule="exact"/>
              <w:jc w:val="both"/>
              <w:rPr>
                <w:rFonts w:hint="eastAsia"/>
                <w:lang w:val="en-US"/>
              </w:rPr>
            </w:pPr>
            <w:r>
              <w:rPr>
                <w:rFonts w:hint="eastAsia"/>
                <w:lang w:val="en-US"/>
              </w:rPr>
              <w:t>2026年10月30日</w:t>
            </w:r>
          </w:p>
        </w:tc>
      </w:tr>
      <w:tr w14:paraId="5D8B623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875" w:hRule="atLeast"/>
          <w:jc w:val="center"/>
        </w:trPr>
        <w:tc>
          <w:tcPr>
            <w:tcW w:w="1094" w:type="pct"/>
            <w:tcBorders>
              <w:top w:val="single" w:color="000000" w:sz="6" w:space="0"/>
              <w:bottom w:val="single" w:color="000000" w:sz="6" w:space="0"/>
              <w:right w:val="single" w:color="000000" w:sz="6" w:space="0"/>
            </w:tcBorders>
            <w:vAlign w:val="center"/>
          </w:tcPr>
          <w:p w14:paraId="6880AED7">
            <w:pPr>
              <w:pStyle w:val="17"/>
              <w:autoSpaceDE/>
              <w:autoSpaceDN/>
              <w:spacing w:line="410" w:lineRule="exact"/>
              <w:ind w:firstLine="221" w:firstLineChars="100"/>
              <w:rPr>
                <w:rFonts w:hint="eastAsia"/>
                <w:b/>
                <w:bCs/>
                <w:lang w:val="en-US"/>
              </w:rPr>
            </w:pPr>
            <w:r>
              <w:rPr>
                <w:rFonts w:hint="eastAsia"/>
                <w:b/>
                <w:bCs/>
                <w:lang w:val="en-US"/>
              </w:rPr>
              <w:t>重要提示</w:t>
            </w:r>
          </w:p>
        </w:tc>
        <w:tc>
          <w:tcPr>
            <w:tcW w:w="3905" w:type="pct"/>
            <w:gridSpan w:val="3"/>
            <w:tcBorders>
              <w:top w:val="single" w:color="000000" w:sz="6" w:space="0"/>
              <w:left w:val="single" w:color="000000" w:sz="6" w:space="0"/>
              <w:bottom w:val="single" w:color="000000" w:sz="6" w:space="0"/>
            </w:tcBorders>
            <w:vAlign w:val="center"/>
          </w:tcPr>
          <w:p w14:paraId="6BB85D86">
            <w:pPr>
              <w:pStyle w:val="17"/>
              <w:autoSpaceDE/>
              <w:autoSpaceDN/>
              <w:spacing w:line="410" w:lineRule="exact"/>
              <w:ind w:right="227"/>
              <w:jc w:val="both"/>
              <w:rPr>
                <w:rFonts w:hint="eastAsia"/>
                <w:b/>
                <w:bCs/>
                <w:lang w:val="en-US"/>
              </w:rPr>
            </w:pPr>
            <w:r>
              <w:rPr>
                <w:rFonts w:hint="eastAsia"/>
                <w:b/>
                <w:bCs/>
                <w:lang w:val="en-US"/>
              </w:rPr>
              <w:t>公司郑重提醒如下：</w:t>
            </w:r>
          </w:p>
          <w:p w14:paraId="412BE317">
            <w:pPr>
              <w:pStyle w:val="17"/>
              <w:autoSpaceDE/>
              <w:autoSpaceDN/>
              <w:spacing w:line="410" w:lineRule="exact"/>
              <w:ind w:right="227" w:firstLine="442" w:firstLineChars="200"/>
              <w:jc w:val="both"/>
              <w:rPr>
                <w:rFonts w:hint="eastAsia"/>
                <w:b/>
                <w:bCs/>
                <w:lang w:val="en-US"/>
              </w:rPr>
            </w:pPr>
            <w:r>
              <w:rPr>
                <w:rFonts w:hint="eastAsia"/>
                <w:b/>
                <w:bCs/>
                <w:lang w:val="en-US"/>
              </w:rPr>
              <w:t>参与单位和人员由组织机构整理提供，鉴于参与单位和人员的数量较多，公司无法完全保证参与单位和人员的完整性、准确性，敬请投资者特别注意。</w:t>
            </w:r>
          </w:p>
          <w:p w14:paraId="62701288">
            <w:pPr>
              <w:pStyle w:val="17"/>
              <w:autoSpaceDE/>
              <w:autoSpaceDN/>
              <w:spacing w:line="410" w:lineRule="exact"/>
              <w:ind w:right="227" w:firstLine="442" w:firstLineChars="200"/>
              <w:jc w:val="both"/>
              <w:rPr>
                <w:rFonts w:hint="eastAsia"/>
                <w:b/>
                <w:bCs/>
                <w:lang w:val="en-US"/>
              </w:rPr>
            </w:pPr>
            <w:r>
              <w:rPr>
                <w:rFonts w:hint="eastAsia"/>
                <w:b/>
                <w:bCs/>
                <w:lang w:val="en-US"/>
              </w:rPr>
              <w:t>以上内容如涉及行业预测研判、公司发展战略、公司经营计划等相关内容，均不构成公司的实质性承诺和保证，敬请广大投资者审慎决策，理性投资，注意风险。</w:t>
            </w:r>
          </w:p>
        </w:tc>
      </w:tr>
    </w:tbl>
    <w:p w14:paraId="2C3A3B09">
      <w:pPr>
        <w:autoSpaceDE/>
        <w:autoSpaceDN/>
        <w:spacing w:line="410" w:lineRule="exact"/>
        <w:rPr>
          <w:rFonts w:hint="eastAsia"/>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cwMmExZDZmNDI3YTI0ZTA3YTlkODY1MDIyMDY1YmQifQ=="/>
  </w:docVars>
  <w:rsids>
    <w:rsidRoot w:val="00172A27"/>
    <w:rsid w:val="00003A23"/>
    <w:rsid w:val="00012C3C"/>
    <w:rsid w:val="00021A23"/>
    <w:rsid w:val="00043144"/>
    <w:rsid w:val="00051ACB"/>
    <w:rsid w:val="0005797E"/>
    <w:rsid w:val="00066B41"/>
    <w:rsid w:val="000A5FF0"/>
    <w:rsid w:val="000D401A"/>
    <w:rsid w:val="001027CE"/>
    <w:rsid w:val="00172A27"/>
    <w:rsid w:val="00172E78"/>
    <w:rsid w:val="001777D7"/>
    <w:rsid w:val="001D6B58"/>
    <w:rsid w:val="001E1559"/>
    <w:rsid w:val="001E6FA8"/>
    <w:rsid w:val="00212EE9"/>
    <w:rsid w:val="00222182"/>
    <w:rsid w:val="00237FD3"/>
    <w:rsid w:val="00267242"/>
    <w:rsid w:val="002771C1"/>
    <w:rsid w:val="002772C9"/>
    <w:rsid w:val="00281466"/>
    <w:rsid w:val="00297859"/>
    <w:rsid w:val="002A2845"/>
    <w:rsid w:val="002B06D1"/>
    <w:rsid w:val="002C20BC"/>
    <w:rsid w:val="002C5FED"/>
    <w:rsid w:val="002F239D"/>
    <w:rsid w:val="003016D7"/>
    <w:rsid w:val="00325770"/>
    <w:rsid w:val="00382DEE"/>
    <w:rsid w:val="00393382"/>
    <w:rsid w:val="003A0D3D"/>
    <w:rsid w:val="003B0AC4"/>
    <w:rsid w:val="00427279"/>
    <w:rsid w:val="00451F63"/>
    <w:rsid w:val="00454B1E"/>
    <w:rsid w:val="00484D5D"/>
    <w:rsid w:val="004D3A8C"/>
    <w:rsid w:val="004F3CD1"/>
    <w:rsid w:val="00504925"/>
    <w:rsid w:val="00523918"/>
    <w:rsid w:val="00535CFB"/>
    <w:rsid w:val="005539A0"/>
    <w:rsid w:val="00584537"/>
    <w:rsid w:val="005B2C6A"/>
    <w:rsid w:val="005E3F93"/>
    <w:rsid w:val="005E6EE3"/>
    <w:rsid w:val="00621968"/>
    <w:rsid w:val="00623D63"/>
    <w:rsid w:val="00630ED4"/>
    <w:rsid w:val="00632BFE"/>
    <w:rsid w:val="00632DFC"/>
    <w:rsid w:val="00680DF4"/>
    <w:rsid w:val="00690C0F"/>
    <w:rsid w:val="00694EA3"/>
    <w:rsid w:val="006A1001"/>
    <w:rsid w:val="006A325B"/>
    <w:rsid w:val="006D0ECA"/>
    <w:rsid w:val="006E50D8"/>
    <w:rsid w:val="006F0F69"/>
    <w:rsid w:val="006F3C3A"/>
    <w:rsid w:val="00706238"/>
    <w:rsid w:val="00716F9E"/>
    <w:rsid w:val="0071754D"/>
    <w:rsid w:val="0072278D"/>
    <w:rsid w:val="00741EC4"/>
    <w:rsid w:val="007538DE"/>
    <w:rsid w:val="00761751"/>
    <w:rsid w:val="00771863"/>
    <w:rsid w:val="007740DC"/>
    <w:rsid w:val="007A179B"/>
    <w:rsid w:val="007C7866"/>
    <w:rsid w:val="007D5E4C"/>
    <w:rsid w:val="007E773D"/>
    <w:rsid w:val="00805BB0"/>
    <w:rsid w:val="008076C4"/>
    <w:rsid w:val="008173A4"/>
    <w:rsid w:val="0083050D"/>
    <w:rsid w:val="00832179"/>
    <w:rsid w:val="00837083"/>
    <w:rsid w:val="008435C7"/>
    <w:rsid w:val="00865AAD"/>
    <w:rsid w:val="00867ED8"/>
    <w:rsid w:val="00872FDA"/>
    <w:rsid w:val="00887EEF"/>
    <w:rsid w:val="008A5769"/>
    <w:rsid w:val="008A593D"/>
    <w:rsid w:val="008B0EB1"/>
    <w:rsid w:val="008C7824"/>
    <w:rsid w:val="00953938"/>
    <w:rsid w:val="009C1ED4"/>
    <w:rsid w:val="00A42D6C"/>
    <w:rsid w:val="00A662B0"/>
    <w:rsid w:val="00A775A7"/>
    <w:rsid w:val="00AE0D36"/>
    <w:rsid w:val="00B35DFB"/>
    <w:rsid w:val="00B40388"/>
    <w:rsid w:val="00B65A43"/>
    <w:rsid w:val="00B706B1"/>
    <w:rsid w:val="00B71531"/>
    <w:rsid w:val="00B74C38"/>
    <w:rsid w:val="00BC261E"/>
    <w:rsid w:val="00BC7084"/>
    <w:rsid w:val="00BD3F5F"/>
    <w:rsid w:val="00C124B4"/>
    <w:rsid w:val="00C162F0"/>
    <w:rsid w:val="00C21BEF"/>
    <w:rsid w:val="00C22BFF"/>
    <w:rsid w:val="00C24231"/>
    <w:rsid w:val="00C3689D"/>
    <w:rsid w:val="00C55837"/>
    <w:rsid w:val="00C62EF2"/>
    <w:rsid w:val="00C6761D"/>
    <w:rsid w:val="00C75AD5"/>
    <w:rsid w:val="00C92C7A"/>
    <w:rsid w:val="00C93833"/>
    <w:rsid w:val="00CA613C"/>
    <w:rsid w:val="00CB3418"/>
    <w:rsid w:val="00CB66CC"/>
    <w:rsid w:val="00CC29BF"/>
    <w:rsid w:val="00CD7A61"/>
    <w:rsid w:val="00CE6E5D"/>
    <w:rsid w:val="00CF599A"/>
    <w:rsid w:val="00D24451"/>
    <w:rsid w:val="00D51161"/>
    <w:rsid w:val="00D53792"/>
    <w:rsid w:val="00D73DF2"/>
    <w:rsid w:val="00DB4DD3"/>
    <w:rsid w:val="00DC140D"/>
    <w:rsid w:val="00DD6BA7"/>
    <w:rsid w:val="00E26C16"/>
    <w:rsid w:val="00E354B5"/>
    <w:rsid w:val="00E733E4"/>
    <w:rsid w:val="00E86D43"/>
    <w:rsid w:val="00EA2F91"/>
    <w:rsid w:val="00EC0B09"/>
    <w:rsid w:val="00EF5382"/>
    <w:rsid w:val="00F01814"/>
    <w:rsid w:val="00F039D0"/>
    <w:rsid w:val="00F52695"/>
    <w:rsid w:val="00F802A5"/>
    <w:rsid w:val="00F80918"/>
    <w:rsid w:val="00FA1388"/>
    <w:rsid w:val="00FB5A77"/>
    <w:rsid w:val="00FC46A8"/>
    <w:rsid w:val="00FF0827"/>
    <w:rsid w:val="00FF749E"/>
    <w:rsid w:val="01172A03"/>
    <w:rsid w:val="012078EB"/>
    <w:rsid w:val="01396E1E"/>
    <w:rsid w:val="015F5965"/>
    <w:rsid w:val="017B7436"/>
    <w:rsid w:val="01A52705"/>
    <w:rsid w:val="01B464A4"/>
    <w:rsid w:val="01BB5A85"/>
    <w:rsid w:val="01C26E13"/>
    <w:rsid w:val="020E02AA"/>
    <w:rsid w:val="02203B3A"/>
    <w:rsid w:val="022C24DE"/>
    <w:rsid w:val="02346ABB"/>
    <w:rsid w:val="024C18BD"/>
    <w:rsid w:val="02714395"/>
    <w:rsid w:val="02910C29"/>
    <w:rsid w:val="02C75822"/>
    <w:rsid w:val="02CE17E8"/>
    <w:rsid w:val="02D05560"/>
    <w:rsid w:val="02D96DDE"/>
    <w:rsid w:val="02F92D08"/>
    <w:rsid w:val="03023B12"/>
    <w:rsid w:val="033E071B"/>
    <w:rsid w:val="03433F84"/>
    <w:rsid w:val="034A5312"/>
    <w:rsid w:val="034F46D6"/>
    <w:rsid w:val="03667C72"/>
    <w:rsid w:val="03A534BE"/>
    <w:rsid w:val="03B60BF9"/>
    <w:rsid w:val="0405748B"/>
    <w:rsid w:val="04073203"/>
    <w:rsid w:val="04365896"/>
    <w:rsid w:val="04453B3A"/>
    <w:rsid w:val="045035FE"/>
    <w:rsid w:val="045C354F"/>
    <w:rsid w:val="048E6375"/>
    <w:rsid w:val="04A76B24"/>
    <w:rsid w:val="04D8694E"/>
    <w:rsid w:val="04F012CE"/>
    <w:rsid w:val="050E4DFB"/>
    <w:rsid w:val="05151950"/>
    <w:rsid w:val="05387E70"/>
    <w:rsid w:val="054D733B"/>
    <w:rsid w:val="055A53DC"/>
    <w:rsid w:val="055D6392"/>
    <w:rsid w:val="056A3A4A"/>
    <w:rsid w:val="05777F14"/>
    <w:rsid w:val="059005EC"/>
    <w:rsid w:val="05A607FA"/>
    <w:rsid w:val="05B169EF"/>
    <w:rsid w:val="05C80770"/>
    <w:rsid w:val="062F6A41"/>
    <w:rsid w:val="064A7E58"/>
    <w:rsid w:val="06606C84"/>
    <w:rsid w:val="06652463"/>
    <w:rsid w:val="068943A3"/>
    <w:rsid w:val="06930D7E"/>
    <w:rsid w:val="069517C3"/>
    <w:rsid w:val="0696261C"/>
    <w:rsid w:val="06A66D03"/>
    <w:rsid w:val="06C87A51"/>
    <w:rsid w:val="070954E4"/>
    <w:rsid w:val="07230354"/>
    <w:rsid w:val="073D0CEA"/>
    <w:rsid w:val="074B1659"/>
    <w:rsid w:val="07577FFE"/>
    <w:rsid w:val="076444C8"/>
    <w:rsid w:val="0790350F"/>
    <w:rsid w:val="07953C33"/>
    <w:rsid w:val="0797489E"/>
    <w:rsid w:val="07DB082D"/>
    <w:rsid w:val="07FE66CB"/>
    <w:rsid w:val="080A1514"/>
    <w:rsid w:val="081C23EE"/>
    <w:rsid w:val="08314658"/>
    <w:rsid w:val="086A722B"/>
    <w:rsid w:val="0874698D"/>
    <w:rsid w:val="08D13DE0"/>
    <w:rsid w:val="094767FF"/>
    <w:rsid w:val="095523FA"/>
    <w:rsid w:val="09AB4631"/>
    <w:rsid w:val="09CB00D1"/>
    <w:rsid w:val="09D02FE3"/>
    <w:rsid w:val="0A38348D"/>
    <w:rsid w:val="0A3C34DB"/>
    <w:rsid w:val="0A6842D0"/>
    <w:rsid w:val="0A6A68E8"/>
    <w:rsid w:val="0A7E1D45"/>
    <w:rsid w:val="0AB1211B"/>
    <w:rsid w:val="0AD019C3"/>
    <w:rsid w:val="0B143E90"/>
    <w:rsid w:val="0B372620"/>
    <w:rsid w:val="0B3F3282"/>
    <w:rsid w:val="0B7373D0"/>
    <w:rsid w:val="0BC74EA6"/>
    <w:rsid w:val="0BCB2D68"/>
    <w:rsid w:val="0BCB667F"/>
    <w:rsid w:val="0C2C33CB"/>
    <w:rsid w:val="0C3721AC"/>
    <w:rsid w:val="0C48085D"/>
    <w:rsid w:val="0C54227B"/>
    <w:rsid w:val="0C6D1CE1"/>
    <w:rsid w:val="0C7358DA"/>
    <w:rsid w:val="0C767F6B"/>
    <w:rsid w:val="0C7B653C"/>
    <w:rsid w:val="0C8D626F"/>
    <w:rsid w:val="0CC7352F"/>
    <w:rsid w:val="0D044784"/>
    <w:rsid w:val="0D0D37A8"/>
    <w:rsid w:val="0D295F98"/>
    <w:rsid w:val="0D35493D"/>
    <w:rsid w:val="0D436730"/>
    <w:rsid w:val="0D5200C9"/>
    <w:rsid w:val="0D88200D"/>
    <w:rsid w:val="0D9553DC"/>
    <w:rsid w:val="0D9F625A"/>
    <w:rsid w:val="0E107158"/>
    <w:rsid w:val="0E26529F"/>
    <w:rsid w:val="0E4F36CC"/>
    <w:rsid w:val="0EA578A0"/>
    <w:rsid w:val="0EA77ABC"/>
    <w:rsid w:val="0EB16245"/>
    <w:rsid w:val="0EC3241C"/>
    <w:rsid w:val="0EC95C85"/>
    <w:rsid w:val="0EDC703A"/>
    <w:rsid w:val="0EF44384"/>
    <w:rsid w:val="0F0A1DF9"/>
    <w:rsid w:val="0F29227F"/>
    <w:rsid w:val="0F2E7C9C"/>
    <w:rsid w:val="0F3A0791"/>
    <w:rsid w:val="0F451083"/>
    <w:rsid w:val="0F56503F"/>
    <w:rsid w:val="0F6E05DA"/>
    <w:rsid w:val="0F953184"/>
    <w:rsid w:val="0FC621C4"/>
    <w:rsid w:val="0FC65D20"/>
    <w:rsid w:val="0FF01911"/>
    <w:rsid w:val="0FFF1232"/>
    <w:rsid w:val="10003D03"/>
    <w:rsid w:val="100D394F"/>
    <w:rsid w:val="1013348F"/>
    <w:rsid w:val="1027004B"/>
    <w:rsid w:val="10305890"/>
    <w:rsid w:val="105B0B5E"/>
    <w:rsid w:val="105C6685"/>
    <w:rsid w:val="105E064F"/>
    <w:rsid w:val="108005C5"/>
    <w:rsid w:val="10817E99"/>
    <w:rsid w:val="108C7316"/>
    <w:rsid w:val="1090632E"/>
    <w:rsid w:val="109B53FF"/>
    <w:rsid w:val="10B262A5"/>
    <w:rsid w:val="10B4026F"/>
    <w:rsid w:val="10D47958"/>
    <w:rsid w:val="10D73F5D"/>
    <w:rsid w:val="10EC7A09"/>
    <w:rsid w:val="10F863AD"/>
    <w:rsid w:val="11034D52"/>
    <w:rsid w:val="11263022"/>
    <w:rsid w:val="11365128"/>
    <w:rsid w:val="11487842"/>
    <w:rsid w:val="11496C09"/>
    <w:rsid w:val="114A2981"/>
    <w:rsid w:val="1158509E"/>
    <w:rsid w:val="115E01DA"/>
    <w:rsid w:val="118714DF"/>
    <w:rsid w:val="118E0AC0"/>
    <w:rsid w:val="11A42091"/>
    <w:rsid w:val="11BF511D"/>
    <w:rsid w:val="11C354DA"/>
    <w:rsid w:val="125E5E40"/>
    <w:rsid w:val="12745F08"/>
    <w:rsid w:val="12D509AD"/>
    <w:rsid w:val="12EC2D08"/>
    <w:rsid w:val="1300779B"/>
    <w:rsid w:val="134753CA"/>
    <w:rsid w:val="134C0C32"/>
    <w:rsid w:val="13830CE4"/>
    <w:rsid w:val="13B30CB1"/>
    <w:rsid w:val="13D11138"/>
    <w:rsid w:val="13DD5D2E"/>
    <w:rsid w:val="13E0137B"/>
    <w:rsid w:val="13E642B7"/>
    <w:rsid w:val="14074B59"/>
    <w:rsid w:val="140E413A"/>
    <w:rsid w:val="14101C60"/>
    <w:rsid w:val="14223741"/>
    <w:rsid w:val="147E306D"/>
    <w:rsid w:val="148F7029"/>
    <w:rsid w:val="149A59CD"/>
    <w:rsid w:val="14AE3227"/>
    <w:rsid w:val="14C747AB"/>
    <w:rsid w:val="14D25167"/>
    <w:rsid w:val="14F74BCE"/>
    <w:rsid w:val="15001CD4"/>
    <w:rsid w:val="15192D96"/>
    <w:rsid w:val="153E0A4F"/>
    <w:rsid w:val="159277AB"/>
    <w:rsid w:val="159A3ED7"/>
    <w:rsid w:val="159D0CC2"/>
    <w:rsid w:val="15AE34DE"/>
    <w:rsid w:val="161E0045"/>
    <w:rsid w:val="16210154"/>
    <w:rsid w:val="162437A1"/>
    <w:rsid w:val="16810BF3"/>
    <w:rsid w:val="169A1CB5"/>
    <w:rsid w:val="169E79F7"/>
    <w:rsid w:val="169F376F"/>
    <w:rsid w:val="16B03286"/>
    <w:rsid w:val="16D01B7A"/>
    <w:rsid w:val="16F05D79"/>
    <w:rsid w:val="16F16793"/>
    <w:rsid w:val="1700420E"/>
    <w:rsid w:val="171001C9"/>
    <w:rsid w:val="173E0892"/>
    <w:rsid w:val="17442096"/>
    <w:rsid w:val="17710C68"/>
    <w:rsid w:val="1771220A"/>
    <w:rsid w:val="177D51E7"/>
    <w:rsid w:val="178D35C8"/>
    <w:rsid w:val="17B15508"/>
    <w:rsid w:val="17B67BFC"/>
    <w:rsid w:val="17C76AD9"/>
    <w:rsid w:val="17C902F5"/>
    <w:rsid w:val="17CD1C16"/>
    <w:rsid w:val="17DD00AB"/>
    <w:rsid w:val="17E21B65"/>
    <w:rsid w:val="17E51656"/>
    <w:rsid w:val="17F3167D"/>
    <w:rsid w:val="18187335"/>
    <w:rsid w:val="182A7068"/>
    <w:rsid w:val="183879D7"/>
    <w:rsid w:val="183D6D9C"/>
    <w:rsid w:val="183E3F37"/>
    <w:rsid w:val="1866298A"/>
    <w:rsid w:val="1869193F"/>
    <w:rsid w:val="18824AD6"/>
    <w:rsid w:val="188C387F"/>
    <w:rsid w:val="18B62EA4"/>
    <w:rsid w:val="18D15DBA"/>
    <w:rsid w:val="18F03E0E"/>
    <w:rsid w:val="18FF22A3"/>
    <w:rsid w:val="191872B6"/>
    <w:rsid w:val="191A0E8B"/>
    <w:rsid w:val="19273169"/>
    <w:rsid w:val="19466E27"/>
    <w:rsid w:val="196D545F"/>
    <w:rsid w:val="197C1B46"/>
    <w:rsid w:val="199450E1"/>
    <w:rsid w:val="19B65058"/>
    <w:rsid w:val="1A0318E8"/>
    <w:rsid w:val="1A0F29BA"/>
    <w:rsid w:val="1A3146DE"/>
    <w:rsid w:val="1A3B555D"/>
    <w:rsid w:val="1A566023"/>
    <w:rsid w:val="1A807414"/>
    <w:rsid w:val="1AC11F06"/>
    <w:rsid w:val="1ACE4623"/>
    <w:rsid w:val="1B2915DB"/>
    <w:rsid w:val="1B43291B"/>
    <w:rsid w:val="1B46065D"/>
    <w:rsid w:val="1B5667A8"/>
    <w:rsid w:val="1B796AD5"/>
    <w:rsid w:val="1B9B4505"/>
    <w:rsid w:val="1BCA303C"/>
    <w:rsid w:val="1BD23C9F"/>
    <w:rsid w:val="1C041FBD"/>
    <w:rsid w:val="1C080DA8"/>
    <w:rsid w:val="1C0A3439"/>
    <w:rsid w:val="1C2F4C4D"/>
    <w:rsid w:val="1C5823F6"/>
    <w:rsid w:val="1CA1729E"/>
    <w:rsid w:val="1CB82E95"/>
    <w:rsid w:val="1D0D1432"/>
    <w:rsid w:val="1D2422D8"/>
    <w:rsid w:val="1D295B40"/>
    <w:rsid w:val="1D3139D9"/>
    <w:rsid w:val="1D4D7A81"/>
    <w:rsid w:val="1D9751A0"/>
    <w:rsid w:val="1DD737EE"/>
    <w:rsid w:val="1DEF28E6"/>
    <w:rsid w:val="1DF86605"/>
    <w:rsid w:val="1DF919B7"/>
    <w:rsid w:val="1E0D7210"/>
    <w:rsid w:val="1E214681"/>
    <w:rsid w:val="1E2527AC"/>
    <w:rsid w:val="1E2E78B2"/>
    <w:rsid w:val="1E470974"/>
    <w:rsid w:val="1E8F1635"/>
    <w:rsid w:val="1EB15DEE"/>
    <w:rsid w:val="1EFF124F"/>
    <w:rsid w:val="1F091B1C"/>
    <w:rsid w:val="1F4153C3"/>
    <w:rsid w:val="1F417171"/>
    <w:rsid w:val="1F520C33"/>
    <w:rsid w:val="1F7D440A"/>
    <w:rsid w:val="1F8030EA"/>
    <w:rsid w:val="1F89225F"/>
    <w:rsid w:val="1F8E3EEF"/>
    <w:rsid w:val="1FC436EF"/>
    <w:rsid w:val="201C373B"/>
    <w:rsid w:val="20280331"/>
    <w:rsid w:val="20360D2B"/>
    <w:rsid w:val="204A474C"/>
    <w:rsid w:val="20607ACB"/>
    <w:rsid w:val="20692C6F"/>
    <w:rsid w:val="209634ED"/>
    <w:rsid w:val="20B47E17"/>
    <w:rsid w:val="20D12777"/>
    <w:rsid w:val="20DB35F6"/>
    <w:rsid w:val="20E00C0C"/>
    <w:rsid w:val="20FB63A1"/>
    <w:rsid w:val="21076199"/>
    <w:rsid w:val="21260D15"/>
    <w:rsid w:val="214271D1"/>
    <w:rsid w:val="218358F0"/>
    <w:rsid w:val="219C0FD7"/>
    <w:rsid w:val="21AE3541"/>
    <w:rsid w:val="21B570D8"/>
    <w:rsid w:val="222608A0"/>
    <w:rsid w:val="222A213F"/>
    <w:rsid w:val="22433200"/>
    <w:rsid w:val="224A27E1"/>
    <w:rsid w:val="225278E7"/>
    <w:rsid w:val="22850ED9"/>
    <w:rsid w:val="228641B0"/>
    <w:rsid w:val="22941CAE"/>
    <w:rsid w:val="22BD3143"/>
    <w:rsid w:val="22D14C8F"/>
    <w:rsid w:val="22D4654E"/>
    <w:rsid w:val="22EA7B20"/>
    <w:rsid w:val="233314C7"/>
    <w:rsid w:val="23353491"/>
    <w:rsid w:val="2351194D"/>
    <w:rsid w:val="2369313B"/>
    <w:rsid w:val="238241FC"/>
    <w:rsid w:val="23AE6D9F"/>
    <w:rsid w:val="23C325CA"/>
    <w:rsid w:val="23C860B3"/>
    <w:rsid w:val="23DA6CA9"/>
    <w:rsid w:val="240C2350"/>
    <w:rsid w:val="24155071"/>
    <w:rsid w:val="241C01AD"/>
    <w:rsid w:val="24340AE1"/>
    <w:rsid w:val="243F3E9B"/>
    <w:rsid w:val="246649A5"/>
    <w:rsid w:val="246C2EE2"/>
    <w:rsid w:val="247D50F0"/>
    <w:rsid w:val="24945F95"/>
    <w:rsid w:val="249E6E14"/>
    <w:rsid w:val="24A51F50"/>
    <w:rsid w:val="24BC729A"/>
    <w:rsid w:val="24C77D7F"/>
    <w:rsid w:val="24CF3471"/>
    <w:rsid w:val="24D64800"/>
    <w:rsid w:val="24F609FE"/>
    <w:rsid w:val="24FD7FDE"/>
    <w:rsid w:val="25145328"/>
    <w:rsid w:val="25181F7F"/>
    <w:rsid w:val="25445C0D"/>
    <w:rsid w:val="25506360"/>
    <w:rsid w:val="25584F97"/>
    <w:rsid w:val="25826736"/>
    <w:rsid w:val="258C4EBE"/>
    <w:rsid w:val="25CB3C39"/>
    <w:rsid w:val="25CE3729"/>
    <w:rsid w:val="25D36F91"/>
    <w:rsid w:val="25EB42DB"/>
    <w:rsid w:val="25F5515A"/>
    <w:rsid w:val="25F767DC"/>
    <w:rsid w:val="2604539D"/>
    <w:rsid w:val="262670C1"/>
    <w:rsid w:val="26296BB1"/>
    <w:rsid w:val="265256F1"/>
    <w:rsid w:val="267B565F"/>
    <w:rsid w:val="26BE554B"/>
    <w:rsid w:val="26D134D1"/>
    <w:rsid w:val="26EB3E67"/>
    <w:rsid w:val="26ED4885"/>
    <w:rsid w:val="26F45411"/>
    <w:rsid w:val="273121C1"/>
    <w:rsid w:val="27402404"/>
    <w:rsid w:val="27444F6D"/>
    <w:rsid w:val="27473793"/>
    <w:rsid w:val="274E68CF"/>
    <w:rsid w:val="275A389E"/>
    <w:rsid w:val="27677991"/>
    <w:rsid w:val="277545A1"/>
    <w:rsid w:val="278B7B24"/>
    <w:rsid w:val="279F35CF"/>
    <w:rsid w:val="27BE2928"/>
    <w:rsid w:val="280F389E"/>
    <w:rsid w:val="282633A8"/>
    <w:rsid w:val="283E6C8E"/>
    <w:rsid w:val="28724840"/>
    <w:rsid w:val="287E4F92"/>
    <w:rsid w:val="28DF4F39"/>
    <w:rsid w:val="28F45255"/>
    <w:rsid w:val="292024ED"/>
    <w:rsid w:val="292F425E"/>
    <w:rsid w:val="294E0E09"/>
    <w:rsid w:val="298A6873"/>
    <w:rsid w:val="29A46172"/>
    <w:rsid w:val="29F00112"/>
    <w:rsid w:val="2A043BBD"/>
    <w:rsid w:val="2A24600D"/>
    <w:rsid w:val="2A6704CF"/>
    <w:rsid w:val="2A732C8B"/>
    <w:rsid w:val="2AA902C1"/>
    <w:rsid w:val="2ACA0BCA"/>
    <w:rsid w:val="2ADC2444"/>
    <w:rsid w:val="2AE00186"/>
    <w:rsid w:val="2B0100FD"/>
    <w:rsid w:val="2B027480"/>
    <w:rsid w:val="2B2D7144"/>
    <w:rsid w:val="2B3516AE"/>
    <w:rsid w:val="2B3B360F"/>
    <w:rsid w:val="2B517236"/>
    <w:rsid w:val="2B9E76FA"/>
    <w:rsid w:val="2BA2368E"/>
    <w:rsid w:val="2BCE6231"/>
    <w:rsid w:val="2BD001FB"/>
    <w:rsid w:val="2BFB66F7"/>
    <w:rsid w:val="2C581F9E"/>
    <w:rsid w:val="2C7548FE"/>
    <w:rsid w:val="2C8608B9"/>
    <w:rsid w:val="2C8B71C7"/>
    <w:rsid w:val="2C8C39F6"/>
    <w:rsid w:val="2CA945A8"/>
    <w:rsid w:val="2CB27900"/>
    <w:rsid w:val="2CC97E56"/>
    <w:rsid w:val="2CE30BDD"/>
    <w:rsid w:val="2D0F6B01"/>
    <w:rsid w:val="2D2307FE"/>
    <w:rsid w:val="2D3C366E"/>
    <w:rsid w:val="2D574004"/>
    <w:rsid w:val="2D72626E"/>
    <w:rsid w:val="2DB63420"/>
    <w:rsid w:val="2DB75880"/>
    <w:rsid w:val="2DCD42C6"/>
    <w:rsid w:val="2DD438A6"/>
    <w:rsid w:val="2DF13201"/>
    <w:rsid w:val="2DF87595"/>
    <w:rsid w:val="2E093550"/>
    <w:rsid w:val="2E224612"/>
    <w:rsid w:val="2E255EB0"/>
    <w:rsid w:val="2E25631E"/>
    <w:rsid w:val="2E7E623A"/>
    <w:rsid w:val="2E84707B"/>
    <w:rsid w:val="2E89643F"/>
    <w:rsid w:val="2E8C5F2F"/>
    <w:rsid w:val="2E903C71"/>
    <w:rsid w:val="2EA96AE1"/>
    <w:rsid w:val="2EAE2349"/>
    <w:rsid w:val="2EB15996"/>
    <w:rsid w:val="2EDE49DD"/>
    <w:rsid w:val="2EE14754"/>
    <w:rsid w:val="2EE621D6"/>
    <w:rsid w:val="2EE87529"/>
    <w:rsid w:val="2EF22236"/>
    <w:rsid w:val="2F2B1BEC"/>
    <w:rsid w:val="2F542EF1"/>
    <w:rsid w:val="2F601896"/>
    <w:rsid w:val="2F884949"/>
    <w:rsid w:val="2F974B8C"/>
    <w:rsid w:val="2FBE03B0"/>
    <w:rsid w:val="2FC736C3"/>
    <w:rsid w:val="2FDD4C94"/>
    <w:rsid w:val="2FF53BE5"/>
    <w:rsid w:val="30032221"/>
    <w:rsid w:val="30332C85"/>
    <w:rsid w:val="3046098A"/>
    <w:rsid w:val="306233EC"/>
    <w:rsid w:val="3086532C"/>
    <w:rsid w:val="30A77050"/>
    <w:rsid w:val="30AE4883"/>
    <w:rsid w:val="30B023A9"/>
    <w:rsid w:val="30BA6F50"/>
    <w:rsid w:val="30C61BCC"/>
    <w:rsid w:val="30EC0F07"/>
    <w:rsid w:val="30EF74E3"/>
    <w:rsid w:val="31324B8F"/>
    <w:rsid w:val="313528AE"/>
    <w:rsid w:val="313F7C11"/>
    <w:rsid w:val="31593667"/>
    <w:rsid w:val="31A31F0E"/>
    <w:rsid w:val="31CD6F8B"/>
    <w:rsid w:val="31DF0848"/>
    <w:rsid w:val="31E84557"/>
    <w:rsid w:val="31F14A27"/>
    <w:rsid w:val="31F2254D"/>
    <w:rsid w:val="322841C1"/>
    <w:rsid w:val="326F1DF0"/>
    <w:rsid w:val="32832EEF"/>
    <w:rsid w:val="329A50BF"/>
    <w:rsid w:val="329D070B"/>
    <w:rsid w:val="32A51E25"/>
    <w:rsid w:val="32B617CD"/>
    <w:rsid w:val="32D06D32"/>
    <w:rsid w:val="32E4633A"/>
    <w:rsid w:val="32F21E69"/>
    <w:rsid w:val="32FE389F"/>
    <w:rsid w:val="330259E4"/>
    <w:rsid w:val="330861DE"/>
    <w:rsid w:val="33122EA7"/>
    <w:rsid w:val="33264BA4"/>
    <w:rsid w:val="332B3F69"/>
    <w:rsid w:val="333A41AC"/>
    <w:rsid w:val="333E2504"/>
    <w:rsid w:val="3342038E"/>
    <w:rsid w:val="33492641"/>
    <w:rsid w:val="339F3E6E"/>
    <w:rsid w:val="33A352A1"/>
    <w:rsid w:val="33A37FA3"/>
    <w:rsid w:val="33E25064"/>
    <w:rsid w:val="34060532"/>
    <w:rsid w:val="340628FA"/>
    <w:rsid w:val="340C3D9A"/>
    <w:rsid w:val="341669C7"/>
    <w:rsid w:val="34897674"/>
    <w:rsid w:val="349F69BC"/>
    <w:rsid w:val="34A22009"/>
    <w:rsid w:val="34AE4E51"/>
    <w:rsid w:val="34C44675"/>
    <w:rsid w:val="34E24AFB"/>
    <w:rsid w:val="350B22A4"/>
    <w:rsid w:val="3511718E"/>
    <w:rsid w:val="35584DBD"/>
    <w:rsid w:val="356674DA"/>
    <w:rsid w:val="35867B7C"/>
    <w:rsid w:val="35E16362"/>
    <w:rsid w:val="3608233F"/>
    <w:rsid w:val="361E7DB5"/>
    <w:rsid w:val="363C648D"/>
    <w:rsid w:val="36525CB0"/>
    <w:rsid w:val="36B44275"/>
    <w:rsid w:val="36BD6A42"/>
    <w:rsid w:val="36E83F1F"/>
    <w:rsid w:val="36F86858"/>
    <w:rsid w:val="37135440"/>
    <w:rsid w:val="371511B8"/>
    <w:rsid w:val="371C3443"/>
    <w:rsid w:val="371D1E1A"/>
    <w:rsid w:val="374455F9"/>
    <w:rsid w:val="37476E97"/>
    <w:rsid w:val="377A726D"/>
    <w:rsid w:val="37891752"/>
    <w:rsid w:val="37F80253"/>
    <w:rsid w:val="380D00E1"/>
    <w:rsid w:val="380F3E59"/>
    <w:rsid w:val="381B3983"/>
    <w:rsid w:val="381D4CA5"/>
    <w:rsid w:val="3836588A"/>
    <w:rsid w:val="38376F0C"/>
    <w:rsid w:val="38593326"/>
    <w:rsid w:val="38602837"/>
    <w:rsid w:val="389B56ED"/>
    <w:rsid w:val="38AF73EA"/>
    <w:rsid w:val="38D26A82"/>
    <w:rsid w:val="38E726E0"/>
    <w:rsid w:val="38EF5A38"/>
    <w:rsid w:val="390037A2"/>
    <w:rsid w:val="39180AEB"/>
    <w:rsid w:val="39264B2C"/>
    <w:rsid w:val="393D286A"/>
    <w:rsid w:val="394C4C39"/>
    <w:rsid w:val="394F0285"/>
    <w:rsid w:val="3951224F"/>
    <w:rsid w:val="39551D3F"/>
    <w:rsid w:val="399C796E"/>
    <w:rsid w:val="39B527DE"/>
    <w:rsid w:val="39C173D5"/>
    <w:rsid w:val="3A005299"/>
    <w:rsid w:val="3A03182B"/>
    <w:rsid w:val="3A0A4C3A"/>
    <w:rsid w:val="3A371445"/>
    <w:rsid w:val="3A43603C"/>
    <w:rsid w:val="3A60099C"/>
    <w:rsid w:val="3A620996"/>
    <w:rsid w:val="3A8A3C6B"/>
    <w:rsid w:val="3A8B383B"/>
    <w:rsid w:val="3AB26D1E"/>
    <w:rsid w:val="3ABA2F1F"/>
    <w:rsid w:val="3AC46CFD"/>
    <w:rsid w:val="3AE0388B"/>
    <w:rsid w:val="3AF1337E"/>
    <w:rsid w:val="3B141786"/>
    <w:rsid w:val="3B2220F5"/>
    <w:rsid w:val="3B273268"/>
    <w:rsid w:val="3B871F58"/>
    <w:rsid w:val="3B8A37F6"/>
    <w:rsid w:val="3BB32D4D"/>
    <w:rsid w:val="3BC27434"/>
    <w:rsid w:val="3BFDD941"/>
    <w:rsid w:val="3C2505B3"/>
    <w:rsid w:val="3C3245BA"/>
    <w:rsid w:val="3C3A521C"/>
    <w:rsid w:val="3C494D52"/>
    <w:rsid w:val="3C552025"/>
    <w:rsid w:val="3C5A141B"/>
    <w:rsid w:val="3C862210"/>
    <w:rsid w:val="3CB52AF5"/>
    <w:rsid w:val="3CB60D47"/>
    <w:rsid w:val="3CB70371"/>
    <w:rsid w:val="3CC52D38"/>
    <w:rsid w:val="3CD967E3"/>
    <w:rsid w:val="3CF96E86"/>
    <w:rsid w:val="3D15341C"/>
    <w:rsid w:val="3D2C1326"/>
    <w:rsid w:val="3D536596"/>
    <w:rsid w:val="3D5369F8"/>
    <w:rsid w:val="3D5B18EE"/>
    <w:rsid w:val="3D7F382F"/>
    <w:rsid w:val="3D7F55DD"/>
    <w:rsid w:val="3D89645B"/>
    <w:rsid w:val="3D9A41C5"/>
    <w:rsid w:val="3D9D3CB5"/>
    <w:rsid w:val="3DCE0312"/>
    <w:rsid w:val="3E14487B"/>
    <w:rsid w:val="3E151A9D"/>
    <w:rsid w:val="3E304B29"/>
    <w:rsid w:val="3E4D72C5"/>
    <w:rsid w:val="3E5D60F8"/>
    <w:rsid w:val="3E5E1696"/>
    <w:rsid w:val="3E770C94"/>
    <w:rsid w:val="3E7964D0"/>
    <w:rsid w:val="3E8E35FE"/>
    <w:rsid w:val="3EB017C6"/>
    <w:rsid w:val="3EBA2645"/>
    <w:rsid w:val="3F514D57"/>
    <w:rsid w:val="3F6D0AAA"/>
    <w:rsid w:val="3F746C97"/>
    <w:rsid w:val="3F8F762D"/>
    <w:rsid w:val="3FA27361"/>
    <w:rsid w:val="3FC27A03"/>
    <w:rsid w:val="3FE23C01"/>
    <w:rsid w:val="403D352D"/>
    <w:rsid w:val="40550877"/>
    <w:rsid w:val="405D094D"/>
    <w:rsid w:val="407F3B46"/>
    <w:rsid w:val="408F1FDB"/>
    <w:rsid w:val="40DB783A"/>
    <w:rsid w:val="40ED4F53"/>
    <w:rsid w:val="410F31A3"/>
    <w:rsid w:val="4114603C"/>
    <w:rsid w:val="413E7700"/>
    <w:rsid w:val="41456B3D"/>
    <w:rsid w:val="41517290"/>
    <w:rsid w:val="41526BD7"/>
    <w:rsid w:val="418E780E"/>
    <w:rsid w:val="41D028AB"/>
    <w:rsid w:val="41E9571B"/>
    <w:rsid w:val="41E974C9"/>
    <w:rsid w:val="41F540C0"/>
    <w:rsid w:val="41FA0169"/>
    <w:rsid w:val="420460B1"/>
    <w:rsid w:val="42091919"/>
    <w:rsid w:val="420F2749"/>
    <w:rsid w:val="423A5F76"/>
    <w:rsid w:val="425E26AE"/>
    <w:rsid w:val="426D00FA"/>
    <w:rsid w:val="4273540D"/>
    <w:rsid w:val="42BD2703"/>
    <w:rsid w:val="42C615B8"/>
    <w:rsid w:val="42F154A6"/>
    <w:rsid w:val="42FE6FA4"/>
    <w:rsid w:val="430F7403"/>
    <w:rsid w:val="43122A4F"/>
    <w:rsid w:val="431237F5"/>
    <w:rsid w:val="43234C5C"/>
    <w:rsid w:val="433C7ACC"/>
    <w:rsid w:val="435117C9"/>
    <w:rsid w:val="435272F0"/>
    <w:rsid w:val="435B2648"/>
    <w:rsid w:val="43713C1A"/>
    <w:rsid w:val="43827BD5"/>
    <w:rsid w:val="439416B6"/>
    <w:rsid w:val="43972F54"/>
    <w:rsid w:val="43A833B4"/>
    <w:rsid w:val="43E4263E"/>
    <w:rsid w:val="4419328C"/>
    <w:rsid w:val="441B5933"/>
    <w:rsid w:val="442944F4"/>
    <w:rsid w:val="443E41B9"/>
    <w:rsid w:val="445636E9"/>
    <w:rsid w:val="44780FD8"/>
    <w:rsid w:val="447D039C"/>
    <w:rsid w:val="44A2009F"/>
    <w:rsid w:val="44AA4E01"/>
    <w:rsid w:val="44B87280"/>
    <w:rsid w:val="44DA134B"/>
    <w:rsid w:val="44E623E5"/>
    <w:rsid w:val="45012D7B"/>
    <w:rsid w:val="45101210"/>
    <w:rsid w:val="45264590"/>
    <w:rsid w:val="45362EF5"/>
    <w:rsid w:val="455410FD"/>
    <w:rsid w:val="45724BB3"/>
    <w:rsid w:val="45800144"/>
    <w:rsid w:val="45863281"/>
    <w:rsid w:val="4594599D"/>
    <w:rsid w:val="45B222C8"/>
    <w:rsid w:val="45BA7CEA"/>
    <w:rsid w:val="45C142B9"/>
    <w:rsid w:val="45C83899"/>
    <w:rsid w:val="45D43FEC"/>
    <w:rsid w:val="46114F0F"/>
    <w:rsid w:val="462F3918"/>
    <w:rsid w:val="465B64BB"/>
    <w:rsid w:val="465B75A2"/>
    <w:rsid w:val="46960531"/>
    <w:rsid w:val="46D63D94"/>
    <w:rsid w:val="46D83FB0"/>
    <w:rsid w:val="46ED5319"/>
    <w:rsid w:val="46FF32EA"/>
    <w:rsid w:val="470F29F7"/>
    <w:rsid w:val="471E5E67"/>
    <w:rsid w:val="47507FEA"/>
    <w:rsid w:val="47590C4D"/>
    <w:rsid w:val="477414D3"/>
    <w:rsid w:val="47874069"/>
    <w:rsid w:val="47897ABA"/>
    <w:rsid w:val="478A706C"/>
    <w:rsid w:val="479F44F5"/>
    <w:rsid w:val="47A15B48"/>
    <w:rsid w:val="47AD0F98"/>
    <w:rsid w:val="47CE2C39"/>
    <w:rsid w:val="47EF7803"/>
    <w:rsid w:val="48174664"/>
    <w:rsid w:val="48256D81"/>
    <w:rsid w:val="482A083B"/>
    <w:rsid w:val="482F5E51"/>
    <w:rsid w:val="483D231C"/>
    <w:rsid w:val="48600223"/>
    <w:rsid w:val="486615C5"/>
    <w:rsid w:val="48671147"/>
    <w:rsid w:val="486D24D6"/>
    <w:rsid w:val="48763A80"/>
    <w:rsid w:val="48F16866"/>
    <w:rsid w:val="49331971"/>
    <w:rsid w:val="49506441"/>
    <w:rsid w:val="49584F34"/>
    <w:rsid w:val="495950DE"/>
    <w:rsid w:val="496D4E83"/>
    <w:rsid w:val="49A92C07"/>
    <w:rsid w:val="49ED38CE"/>
    <w:rsid w:val="49EF5898"/>
    <w:rsid w:val="49FB248F"/>
    <w:rsid w:val="4A121587"/>
    <w:rsid w:val="4A143551"/>
    <w:rsid w:val="4A3B6586"/>
    <w:rsid w:val="4A4756D4"/>
    <w:rsid w:val="4A4C2CEB"/>
    <w:rsid w:val="4A7B2916"/>
    <w:rsid w:val="4A90104A"/>
    <w:rsid w:val="4AC22FAD"/>
    <w:rsid w:val="4ADD3943"/>
    <w:rsid w:val="4B0E61F2"/>
    <w:rsid w:val="4B1B446B"/>
    <w:rsid w:val="4B3E127F"/>
    <w:rsid w:val="4B460B4B"/>
    <w:rsid w:val="4B475260"/>
    <w:rsid w:val="4B78366B"/>
    <w:rsid w:val="4B7F0E9E"/>
    <w:rsid w:val="4BBD5522"/>
    <w:rsid w:val="4BD10EBA"/>
    <w:rsid w:val="4BE56F53"/>
    <w:rsid w:val="4BE62CCB"/>
    <w:rsid w:val="4C207C04"/>
    <w:rsid w:val="4C2630C7"/>
    <w:rsid w:val="4C343A36"/>
    <w:rsid w:val="4CA46E0E"/>
    <w:rsid w:val="4CA54934"/>
    <w:rsid w:val="4CAD7FC7"/>
    <w:rsid w:val="4CFB27A6"/>
    <w:rsid w:val="4D292E6F"/>
    <w:rsid w:val="4D3B2BA3"/>
    <w:rsid w:val="4D502AF2"/>
    <w:rsid w:val="4D875DE8"/>
    <w:rsid w:val="4DA9212D"/>
    <w:rsid w:val="4DB36BDD"/>
    <w:rsid w:val="4DF96CE5"/>
    <w:rsid w:val="4E10402F"/>
    <w:rsid w:val="4E111574"/>
    <w:rsid w:val="4E263853"/>
    <w:rsid w:val="4E437F61"/>
    <w:rsid w:val="4E516B22"/>
    <w:rsid w:val="4E5B79A0"/>
    <w:rsid w:val="4E5C7274"/>
    <w:rsid w:val="4E6D373C"/>
    <w:rsid w:val="4E775E5C"/>
    <w:rsid w:val="4E796078"/>
    <w:rsid w:val="4ED220E5"/>
    <w:rsid w:val="4EDD2544"/>
    <w:rsid w:val="4F043B94"/>
    <w:rsid w:val="4F133DD7"/>
    <w:rsid w:val="4F42290E"/>
    <w:rsid w:val="4F4421E2"/>
    <w:rsid w:val="4F675ED1"/>
    <w:rsid w:val="4F836DF7"/>
    <w:rsid w:val="4F894099"/>
    <w:rsid w:val="4F912F4E"/>
    <w:rsid w:val="4FCB46B2"/>
    <w:rsid w:val="50137E07"/>
    <w:rsid w:val="50213BAF"/>
    <w:rsid w:val="50327B53"/>
    <w:rsid w:val="5039786D"/>
    <w:rsid w:val="503F0BFC"/>
    <w:rsid w:val="50402A01"/>
    <w:rsid w:val="504A7CCC"/>
    <w:rsid w:val="505B3C87"/>
    <w:rsid w:val="50666188"/>
    <w:rsid w:val="506D5BA1"/>
    <w:rsid w:val="5086682B"/>
    <w:rsid w:val="5099655E"/>
    <w:rsid w:val="509B2D47"/>
    <w:rsid w:val="50B0042A"/>
    <w:rsid w:val="50BC3FFA"/>
    <w:rsid w:val="50F96FFC"/>
    <w:rsid w:val="5124051D"/>
    <w:rsid w:val="513E0CF0"/>
    <w:rsid w:val="514048B2"/>
    <w:rsid w:val="514E559A"/>
    <w:rsid w:val="515B7795"/>
    <w:rsid w:val="51694182"/>
    <w:rsid w:val="516E1798"/>
    <w:rsid w:val="518C60C3"/>
    <w:rsid w:val="51B55619"/>
    <w:rsid w:val="51B80C66"/>
    <w:rsid w:val="51C30BDC"/>
    <w:rsid w:val="51C35D1F"/>
    <w:rsid w:val="51C55131"/>
    <w:rsid w:val="51E56C3E"/>
    <w:rsid w:val="52036385"/>
    <w:rsid w:val="52100AA2"/>
    <w:rsid w:val="52224331"/>
    <w:rsid w:val="52315008"/>
    <w:rsid w:val="525766D1"/>
    <w:rsid w:val="5264494A"/>
    <w:rsid w:val="52750905"/>
    <w:rsid w:val="528374C6"/>
    <w:rsid w:val="529424D7"/>
    <w:rsid w:val="5294522F"/>
    <w:rsid w:val="529C40E3"/>
    <w:rsid w:val="529E6C75"/>
    <w:rsid w:val="52AB1C77"/>
    <w:rsid w:val="52AB5B97"/>
    <w:rsid w:val="52B23907"/>
    <w:rsid w:val="52E57838"/>
    <w:rsid w:val="52EB26AA"/>
    <w:rsid w:val="53000B16"/>
    <w:rsid w:val="530A54F1"/>
    <w:rsid w:val="53166E86"/>
    <w:rsid w:val="5326258A"/>
    <w:rsid w:val="533243C3"/>
    <w:rsid w:val="53346A12"/>
    <w:rsid w:val="533A546C"/>
    <w:rsid w:val="53871B38"/>
    <w:rsid w:val="538F3C48"/>
    <w:rsid w:val="53BF3E5F"/>
    <w:rsid w:val="53DF766E"/>
    <w:rsid w:val="53E53868"/>
    <w:rsid w:val="53EC4BF7"/>
    <w:rsid w:val="54085ED4"/>
    <w:rsid w:val="541E4EFC"/>
    <w:rsid w:val="542720D3"/>
    <w:rsid w:val="54414F42"/>
    <w:rsid w:val="54426960"/>
    <w:rsid w:val="548A4B3B"/>
    <w:rsid w:val="54B55930"/>
    <w:rsid w:val="54BE2A37"/>
    <w:rsid w:val="54C01DC9"/>
    <w:rsid w:val="54C94F38"/>
    <w:rsid w:val="54CE42D8"/>
    <w:rsid w:val="54D538DD"/>
    <w:rsid w:val="54E83610"/>
    <w:rsid w:val="54F226E1"/>
    <w:rsid w:val="55320D2F"/>
    <w:rsid w:val="55563D32"/>
    <w:rsid w:val="557355CF"/>
    <w:rsid w:val="5583158B"/>
    <w:rsid w:val="55A56229"/>
    <w:rsid w:val="55A57753"/>
    <w:rsid w:val="55B61960"/>
    <w:rsid w:val="55B65FCD"/>
    <w:rsid w:val="55F54236"/>
    <w:rsid w:val="55F935FB"/>
    <w:rsid w:val="56187F25"/>
    <w:rsid w:val="563F02AF"/>
    <w:rsid w:val="564451BE"/>
    <w:rsid w:val="566E223B"/>
    <w:rsid w:val="56835CE6"/>
    <w:rsid w:val="569C0F0C"/>
    <w:rsid w:val="56B7773E"/>
    <w:rsid w:val="56D7393C"/>
    <w:rsid w:val="56D94B0E"/>
    <w:rsid w:val="570C7AE2"/>
    <w:rsid w:val="572A6162"/>
    <w:rsid w:val="574D3BFE"/>
    <w:rsid w:val="5765363E"/>
    <w:rsid w:val="57802226"/>
    <w:rsid w:val="57BE68AA"/>
    <w:rsid w:val="57E207EA"/>
    <w:rsid w:val="57E220AF"/>
    <w:rsid w:val="57EE3633"/>
    <w:rsid w:val="58405511"/>
    <w:rsid w:val="586E207E"/>
    <w:rsid w:val="587D5C68"/>
    <w:rsid w:val="58880E3F"/>
    <w:rsid w:val="58B77EC9"/>
    <w:rsid w:val="58C17724"/>
    <w:rsid w:val="58C3686E"/>
    <w:rsid w:val="58D00F8B"/>
    <w:rsid w:val="58D04124"/>
    <w:rsid w:val="58D75E75"/>
    <w:rsid w:val="58D77C23"/>
    <w:rsid w:val="58E660B8"/>
    <w:rsid w:val="59084281"/>
    <w:rsid w:val="592326DD"/>
    <w:rsid w:val="592D018B"/>
    <w:rsid w:val="59305585"/>
    <w:rsid w:val="59374B66"/>
    <w:rsid w:val="5943350B"/>
    <w:rsid w:val="597A4A53"/>
    <w:rsid w:val="598853C1"/>
    <w:rsid w:val="59947635"/>
    <w:rsid w:val="59C208D3"/>
    <w:rsid w:val="59DB3FF6"/>
    <w:rsid w:val="5A0233C6"/>
    <w:rsid w:val="5A0A04CC"/>
    <w:rsid w:val="5A132EDD"/>
    <w:rsid w:val="5A366BCB"/>
    <w:rsid w:val="5A5F1B0B"/>
    <w:rsid w:val="5A655703"/>
    <w:rsid w:val="5A737A83"/>
    <w:rsid w:val="5A955E00"/>
    <w:rsid w:val="5A971D60"/>
    <w:rsid w:val="5AA771A2"/>
    <w:rsid w:val="5ACE32A8"/>
    <w:rsid w:val="5AD20FEA"/>
    <w:rsid w:val="5AD25392"/>
    <w:rsid w:val="5B157290"/>
    <w:rsid w:val="5B1F3B03"/>
    <w:rsid w:val="5B6F45F7"/>
    <w:rsid w:val="5B70435F"/>
    <w:rsid w:val="5B767BC7"/>
    <w:rsid w:val="5B844C9A"/>
    <w:rsid w:val="5B962018"/>
    <w:rsid w:val="5BA74225"/>
    <w:rsid w:val="5BC326E1"/>
    <w:rsid w:val="5BD5FD07"/>
    <w:rsid w:val="5C231D38"/>
    <w:rsid w:val="5C245875"/>
    <w:rsid w:val="5C2C2D5F"/>
    <w:rsid w:val="5C337866"/>
    <w:rsid w:val="5C531CB7"/>
    <w:rsid w:val="5C594DF3"/>
    <w:rsid w:val="5C62014C"/>
    <w:rsid w:val="5C891B7C"/>
    <w:rsid w:val="5CA50038"/>
    <w:rsid w:val="5CC8154D"/>
    <w:rsid w:val="5CCB7615"/>
    <w:rsid w:val="5CD5729F"/>
    <w:rsid w:val="5D170F36"/>
    <w:rsid w:val="5D437F7D"/>
    <w:rsid w:val="5DB1138B"/>
    <w:rsid w:val="5DC53CD5"/>
    <w:rsid w:val="5DDC7654"/>
    <w:rsid w:val="5DF272AD"/>
    <w:rsid w:val="5DF942ED"/>
    <w:rsid w:val="5DFA2580"/>
    <w:rsid w:val="5E0E058B"/>
    <w:rsid w:val="5E116ACE"/>
    <w:rsid w:val="5E194573"/>
    <w:rsid w:val="5E213975"/>
    <w:rsid w:val="5E395D33"/>
    <w:rsid w:val="5E48511F"/>
    <w:rsid w:val="5E5341F0"/>
    <w:rsid w:val="5E534A3A"/>
    <w:rsid w:val="5E563CE0"/>
    <w:rsid w:val="5E5835B4"/>
    <w:rsid w:val="5E6E2DD8"/>
    <w:rsid w:val="5E7E05A8"/>
    <w:rsid w:val="5E8E6FD6"/>
    <w:rsid w:val="5EA63795"/>
    <w:rsid w:val="5EBD5B0D"/>
    <w:rsid w:val="5ED05841"/>
    <w:rsid w:val="5ED74E21"/>
    <w:rsid w:val="5F090D52"/>
    <w:rsid w:val="5F092B01"/>
    <w:rsid w:val="5F0B70B2"/>
    <w:rsid w:val="5F2C67EF"/>
    <w:rsid w:val="5F753000"/>
    <w:rsid w:val="5F7E529D"/>
    <w:rsid w:val="5F8959EF"/>
    <w:rsid w:val="5F9F3D14"/>
    <w:rsid w:val="5FBA204D"/>
    <w:rsid w:val="602A5424"/>
    <w:rsid w:val="603A0079"/>
    <w:rsid w:val="60522285"/>
    <w:rsid w:val="60563B24"/>
    <w:rsid w:val="60620BA5"/>
    <w:rsid w:val="608B4120"/>
    <w:rsid w:val="609B1E7E"/>
    <w:rsid w:val="60A01243"/>
    <w:rsid w:val="60A27171"/>
    <w:rsid w:val="60B60A66"/>
    <w:rsid w:val="61073070"/>
    <w:rsid w:val="6139510F"/>
    <w:rsid w:val="613C71BD"/>
    <w:rsid w:val="614178AC"/>
    <w:rsid w:val="61534507"/>
    <w:rsid w:val="61717818"/>
    <w:rsid w:val="61860438"/>
    <w:rsid w:val="61926DDD"/>
    <w:rsid w:val="61A92379"/>
    <w:rsid w:val="61AB7E9F"/>
    <w:rsid w:val="61BE64EE"/>
    <w:rsid w:val="61C471B3"/>
    <w:rsid w:val="61D07906"/>
    <w:rsid w:val="61DA0784"/>
    <w:rsid w:val="61DE0274"/>
    <w:rsid w:val="61FC4B9F"/>
    <w:rsid w:val="620923F0"/>
    <w:rsid w:val="624B51DE"/>
    <w:rsid w:val="627064A9"/>
    <w:rsid w:val="62791D4B"/>
    <w:rsid w:val="627A34A6"/>
    <w:rsid w:val="628A21AA"/>
    <w:rsid w:val="62A35D2B"/>
    <w:rsid w:val="62C51434"/>
    <w:rsid w:val="631D301E"/>
    <w:rsid w:val="637048BF"/>
    <w:rsid w:val="637462DF"/>
    <w:rsid w:val="63870498"/>
    <w:rsid w:val="639A01CB"/>
    <w:rsid w:val="639A641D"/>
    <w:rsid w:val="63B374DF"/>
    <w:rsid w:val="63D538F9"/>
    <w:rsid w:val="63F21DB5"/>
    <w:rsid w:val="640104D5"/>
    <w:rsid w:val="64061D04"/>
    <w:rsid w:val="64432611"/>
    <w:rsid w:val="64485E79"/>
    <w:rsid w:val="644D7933"/>
    <w:rsid w:val="644F48E3"/>
    <w:rsid w:val="64841E7A"/>
    <w:rsid w:val="6492024A"/>
    <w:rsid w:val="64AF5EF8"/>
    <w:rsid w:val="64BF43E4"/>
    <w:rsid w:val="65164AD9"/>
    <w:rsid w:val="652A37D1"/>
    <w:rsid w:val="65444892"/>
    <w:rsid w:val="65654809"/>
    <w:rsid w:val="65905D2A"/>
    <w:rsid w:val="65AE7F5E"/>
    <w:rsid w:val="65C77271"/>
    <w:rsid w:val="65DC2D1D"/>
    <w:rsid w:val="66326ED8"/>
    <w:rsid w:val="66833198"/>
    <w:rsid w:val="66B6356E"/>
    <w:rsid w:val="66C022F9"/>
    <w:rsid w:val="66D103A8"/>
    <w:rsid w:val="66D6776C"/>
    <w:rsid w:val="66DB2FD4"/>
    <w:rsid w:val="671F5780"/>
    <w:rsid w:val="674072DB"/>
    <w:rsid w:val="6744501E"/>
    <w:rsid w:val="674D37A6"/>
    <w:rsid w:val="676F7BC1"/>
    <w:rsid w:val="6780592A"/>
    <w:rsid w:val="678B49FB"/>
    <w:rsid w:val="67980EC5"/>
    <w:rsid w:val="67DB7004"/>
    <w:rsid w:val="6804655B"/>
    <w:rsid w:val="68262975"/>
    <w:rsid w:val="683E3F52"/>
    <w:rsid w:val="6855196A"/>
    <w:rsid w:val="6863109A"/>
    <w:rsid w:val="687A05CB"/>
    <w:rsid w:val="68A51AEC"/>
    <w:rsid w:val="68AD274F"/>
    <w:rsid w:val="68C77CB4"/>
    <w:rsid w:val="68DB3760"/>
    <w:rsid w:val="68EF0FB9"/>
    <w:rsid w:val="69112CDD"/>
    <w:rsid w:val="69196036"/>
    <w:rsid w:val="692429E9"/>
    <w:rsid w:val="69455B2B"/>
    <w:rsid w:val="696E0B50"/>
    <w:rsid w:val="69794D27"/>
    <w:rsid w:val="69943A2E"/>
    <w:rsid w:val="6A002D52"/>
    <w:rsid w:val="6A4A2640"/>
    <w:rsid w:val="6A511FBB"/>
    <w:rsid w:val="6A745C1A"/>
    <w:rsid w:val="6A7774B8"/>
    <w:rsid w:val="6A8E65B0"/>
    <w:rsid w:val="6B1271E1"/>
    <w:rsid w:val="6B19231D"/>
    <w:rsid w:val="6B2A0DA4"/>
    <w:rsid w:val="6B2A277C"/>
    <w:rsid w:val="6B412B59"/>
    <w:rsid w:val="6B6F1F3D"/>
    <w:rsid w:val="6B822A89"/>
    <w:rsid w:val="6B826114"/>
    <w:rsid w:val="6B851187"/>
    <w:rsid w:val="6BA20565"/>
    <w:rsid w:val="6BB65DBE"/>
    <w:rsid w:val="6BC71D79"/>
    <w:rsid w:val="6BDC4C20"/>
    <w:rsid w:val="6BEC7A32"/>
    <w:rsid w:val="6C046B2A"/>
    <w:rsid w:val="6C2373DC"/>
    <w:rsid w:val="6C450EF0"/>
    <w:rsid w:val="6C506213"/>
    <w:rsid w:val="6C552A2E"/>
    <w:rsid w:val="6C8D4D71"/>
    <w:rsid w:val="6C983716"/>
    <w:rsid w:val="6CE8644B"/>
    <w:rsid w:val="6D1B05CF"/>
    <w:rsid w:val="6D231231"/>
    <w:rsid w:val="6D264D81"/>
    <w:rsid w:val="6D521B17"/>
    <w:rsid w:val="6D8048D6"/>
    <w:rsid w:val="6D9640F9"/>
    <w:rsid w:val="6D9D0E07"/>
    <w:rsid w:val="6D9E2FAE"/>
    <w:rsid w:val="6DBE71AC"/>
    <w:rsid w:val="6DE62094"/>
    <w:rsid w:val="6DEA61F3"/>
    <w:rsid w:val="6E5A6ED5"/>
    <w:rsid w:val="6E5D0773"/>
    <w:rsid w:val="6E6179B3"/>
    <w:rsid w:val="6E7A7577"/>
    <w:rsid w:val="6E9A5523"/>
    <w:rsid w:val="6EA77C40"/>
    <w:rsid w:val="6EAB5982"/>
    <w:rsid w:val="6EAC5256"/>
    <w:rsid w:val="6EAE0FCF"/>
    <w:rsid w:val="6EC3083A"/>
    <w:rsid w:val="6ECF78C3"/>
    <w:rsid w:val="6EF235B1"/>
    <w:rsid w:val="6F0532E4"/>
    <w:rsid w:val="6F215C44"/>
    <w:rsid w:val="6F305E87"/>
    <w:rsid w:val="6F413BF1"/>
    <w:rsid w:val="6F4F630E"/>
    <w:rsid w:val="6F63000B"/>
    <w:rsid w:val="6F66024C"/>
    <w:rsid w:val="6F997ED1"/>
    <w:rsid w:val="6FA0300D"/>
    <w:rsid w:val="6FA128E1"/>
    <w:rsid w:val="6FC00FB9"/>
    <w:rsid w:val="6FC84312"/>
    <w:rsid w:val="6FD20CED"/>
    <w:rsid w:val="6FE56C72"/>
    <w:rsid w:val="700A0487"/>
    <w:rsid w:val="703419A7"/>
    <w:rsid w:val="70357BF9"/>
    <w:rsid w:val="7073427E"/>
    <w:rsid w:val="707D6EAA"/>
    <w:rsid w:val="70856732"/>
    <w:rsid w:val="70BC3E77"/>
    <w:rsid w:val="70C33179"/>
    <w:rsid w:val="70C76378"/>
    <w:rsid w:val="70E4517B"/>
    <w:rsid w:val="70E76A1A"/>
    <w:rsid w:val="711D243B"/>
    <w:rsid w:val="713B6A1E"/>
    <w:rsid w:val="713C4FB8"/>
    <w:rsid w:val="713D7BC8"/>
    <w:rsid w:val="714B6FA9"/>
    <w:rsid w:val="715E1D8D"/>
    <w:rsid w:val="71674675"/>
    <w:rsid w:val="717E037B"/>
    <w:rsid w:val="71970440"/>
    <w:rsid w:val="71C07997"/>
    <w:rsid w:val="71DC0FEA"/>
    <w:rsid w:val="71F80EDE"/>
    <w:rsid w:val="721D0945"/>
    <w:rsid w:val="722F2426"/>
    <w:rsid w:val="724266DE"/>
    <w:rsid w:val="72534367"/>
    <w:rsid w:val="725B321B"/>
    <w:rsid w:val="72671BC0"/>
    <w:rsid w:val="72D134DE"/>
    <w:rsid w:val="7315786E"/>
    <w:rsid w:val="73223D39"/>
    <w:rsid w:val="734F0FD2"/>
    <w:rsid w:val="735008A6"/>
    <w:rsid w:val="736F13E8"/>
    <w:rsid w:val="73905147"/>
    <w:rsid w:val="73B726D3"/>
    <w:rsid w:val="73BA21C4"/>
    <w:rsid w:val="73E55492"/>
    <w:rsid w:val="73E84F83"/>
    <w:rsid w:val="74AB1A1D"/>
    <w:rsid w:val="74C61EAA"/>
    <w:rsid w:val="74C975FB"/>
    <w:rsid w:val="74CC0400"/>
    <w:rsid w:val="74E33F2B"/>
    <w:rsid w:val="750E6C6B"/>
    <w:rsid w:val="752314B8"/>
    <w:rsid w:val="753A0A69"/>
    <w:rsid w:val="753F6E24"/>
    <w:rsid w:val="75581C94"/>
    <w:rsid w:val="75814171"/>
    <w:rsid w:val="75976C60"/>
    <w:rsid w:val="759D26FD"/>
    <w:rsid w:val="75CE7B37"/>
    <w:rsid w:val="75CF63FA"/>
    <w:rsid w:val="75D92DD5"/>
    <w:rsid w:val="75E654F2"/>
    <w:rsid w:val="761D2E3A"/>
    <w:rsid w:val="76424E14"/>
    <w:rsid w:val="76830F93"/>
    <w:rsid w:val="76A74C81"/>
    <w:rsid w:val="76D147CB"/>
    <w:rsid w:val="76D8312E"/>
    <w:rsid w:val="76E63007"/>
    <w:rsid w:val="76EE28B0"/>
    <w:rsid w:val="76F51E90"/>
    <w:rsid w:val="76F8372F"/>
    <w:rsid w:val="76FD3C10"/>
    <w:rsid w:val="770E4D00"/>
    <w:rsid w:val="771A36A5"/>
    <w:rsid w:val="771A48E1"/>
    <w:rsid w:val="772C33D8"/>
    <w:rsid w:val="77427712"/>
    <w:rsid w:val="775F7911"/>
    <w:rsid w:val="77672662"/>
    <w:rsid w:val="777A7CD5"/>
    <w:rsid w:val="778356EE"/>
    <w:rsid w:val="7795690D"/>
    <w:rsid w:val="77A168FF"/>
    <w:rsid w:val="784D1858"/>
    <w:rsid w:val="78572F3F"/>
    <w:rsid w:val="78654DF4"/>
    <w:rsid w:val="7871743B"/>
    <w:rsid w:val="78A51694"/>
    <w:rsid w:val="78AC52A2"/>
    <w:rsid w:val="78B74F24"/>
    <w:rsid w:val="78C22246"/>
    <w:rsid w:val="78D37FAF"/>
    <w:rsid w:val="78EA354B"/>
    <w:rsid w:val="78F0513F"/>
    <w:rsid w:val="79435FC4"/>
    <w:rsid w:val="79505FD9"/>
    <w:rsid w:val="79567BC4"/>
    <w:rsid w:val="795F7A95"/>
    <w:rsid w:val="796A01BC"/>
    <w:rsid w:val="796E5F2A"/>
    <w:rsid w:val="79703A50"/>
    <w:rsid w:val="79826CFE"/>
    <w:rsid w:val="798C03A0"/>
    <w:rsid w:val="798D2B1A"/>
    <w:rsid w:val="79A846F9"/>
    <w:rsid w:val="79AC2001"/>
    <w:rsid w:val="79BB1CDC"/>
    <w:rsid w:val="79BF03DE"/>
    <w:rsid w:val="79C333C8"/>
    <w:rsid w:val="79F20909"/>
    <w:rsid w:val="7A020420"/>
    <w:rsid w:val="7A301431"/>
    <w:rsid w:val="7A546ECE"/>
    <w:rsid w:val="7A57076C"/>
    <w:rsid w:val="7A592C72"/>
    <w:rsid w:val="7A813A3B"/>
    <w:rsid w:val="7A94376E"/>
    <w:rsid w:val="7AA64929"/>
    <w:rsid w:val="7AB21E46"/>
    <w:rsid w:val="7ABE4C8F"/>
    <w:rsid w:val="7AE069B4"/>
    <w:rsid w:val="7AF20495"/>
    <w:rsid w:val="7AFC3A89"/>
    <w:rsid w:val="7B095400"/>
    <w:rsid w:val="7B1844AE"/>
    <w:rsid w:val="7B41549B"/>
    <w:rsid w:val="7B6E2211"/>
    <w:rsid w:val="7B75534E"/>
    <w:rsid w:val="7B767318"/>
    <w:rsid w:val="7B8657AD"/>
    <w:rsid w:val="7BBA5457"/>
    <w:rsid w:val="7BDC0A6A"/>
    <w:rsid w:val="7BE95D3C"/>
    <w:rsid w:val="7BFA3AA5"/>
    <w:rsid w:val="7C136915"/>
    <w:rsid w:val="7C15268D"/>
    <w:rsid w:val="7C1A5EF5"/>
    <w:rsid w:val="7C350F81"/>
    <w:rsid w:val="7C6A0C2B"/>
    <w:rsid w:val="7C833A9B"/>
    <w:rsid w:val="7C86358B"/>
    <w:rsid w:val="7C8B294F"/>
    <w:rsid w:val="7C8E41ED"/>
    <w:rsid w:val="7CAD20F4"/>
    <w:rsid w:val="7CB5158A"/>
    <w:rsid w:val="7CCF4F32"/>
    <w:rsid w:val="7CE56503"/>
    <w:rsid w:val="7D126BCC"/>
    <w:rsid w:val="7D197F5B"/>
    <w:rsid w:val="7D782ED3"/>
    <w:rsid w:val="7D80447E"/>
    <w:rsid w:val="7D9925BD"/>
    <w:rsid w:val="7E250F14"/>
    <w:rsid w:val="7E266DD3"/>
    <w:rsid w:val="7E2766A8"/>
    <w:rsid w:val="7E355268"/>
    <w:rsid w:val="7E3E411D"/>
    <w:rsid w:val="7E4F632A"/>
    <w:rsid w:val="7E5413FF"/>
    <w:rsid w:val="7E61605D"/>
    <w:rsid w:val="7E6D67B0"/>
    <w:rsid w:val="7E7C2E97"/>
    <w:rsid w:val="7E9A331D"/>
    <w:rsid w:val="7E9C7095"/>
    <w:rsid w:val="7EBF2DF7"/>
    <w:rsid w:val="7ECD724F"/>
    <w:rsid w:val="7EDC7492"/>
    <w:rsid w:val="7EDE6D6F"/>
    <w:rsid w:val="7EE06F82"/>
    <w:rsid w:val="7F086582"/>
    <w:rsid w:val="7F4D213E"/>
    <w:rsid w:val="7F637BB3"/>
    <w:rsid w:val="7F842003"/>
    <w:rsid w:val="7FD0349B"/>
    <w:rsid w:val="7FDFBA6D"/>
    <w:rsid w:val="7FFF5B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iPriority="99" w:semiHidden="0" w:name="header"/>
    <w:lsdException w:qFormat="1"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宋体" w:hAnsi="宋体" w:eastAsia="宋体" w:cs="宋体"/>
      <w:sz w:val="22"/>
      <w:szCs w:val="22"/>
      <w:lang w:val="zh-CN" w:eastAsia="zh-CN" w:bidi="zh-CN"/>
    </w:rPr>
  </w:style>
  <w:style w:type="paragraph" w:styleId="2">
    <w:name w:val="heading 2"/>
    <w:basedOn w:val="1"/>
    <w:next w:val="1"/>
    <w:qFormat/>
    <w:uiPriority w:val="9"/>
    <w:pPr>
      <w:spacing w:before="160"/>
      <w:ind w:left="540"/>
      <w:outlineLvl w:val="1"/>
    </w:pPr>
    <w:rPr>
      <w:b/>
      <w:bCs/>
      <w:sz w:val="24"/>
      <w:szCs w:val="2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0"/>
  </w:style>
  <w:style w:type="paragraph" w:styleId="4">
    <w:name w:val="Body Text"/>
    <w:basedOn w:val="1"/>
    <w:qFormat/>
    <w:uiPriority w:val="1"/>
    <w:pPr>
      <w:ind w:left="319"/>
    </w:pPr>
    <w:rPr>
      <w:sz w:val="24"/>
      <w:szCs w:val="24"/>
    </w:rPr>
  </w:style>
  <w:style w:type="paragraph" w:styleId="5">
    <w:name w:val="footer"/>
    <w:basedOn w:val="1"/>
    <w:unhideWhenUsed/>
    <w:qFormat/>
    <w:uiPriority w:val="99"/>
    <w:pPr>
      <w:tabs>
        <w:tab w:val="center" w:pos="4153"/>
        <w:tab w:val="right" w:pos="8306"/>
      </w:tabs>
      <w:snapToGrid w:val="0"/>
    </w:pPr>
    <w:rPr>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link w:val="19"/>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cs="Times New Roman"/>
      <w:sz w:val="24"/>
      <w:szCs w:val="24"/>
      <w:lang w:val="en-US" w:bidi="ar-SA"/>
    </w:rPr>
  </w:style>
  <w:style w:type="paragraph" w:styleId="8">
    <w:name w:val="Normal (Web)"/>
    <w:basedOn w:val="1"/>
    <w:semiHidden/>
    <w:unhideWhenUsed/>
    <w:qFormat/>
    <w:uiPriority w:val="0"/>
    <w:pPr>
      <w:spacing w:beforeAutospacing="1" w:afterAutospacing="1"/>
    </w:pPr>
    <w:rPr>
      <w:rFonts w:cs="Times New Roman"/>
      <w:sz w:val="24"/>
      <w:lang w:val="en-US" w:bidi="ar-SA"/>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12">
    <w:name w:val="Strong"/>
    <w:basedOn w:val="11"/>
    <w:qFormat/>
    <w:uiPriority w:val="0"/>
    <w:rPr>
      <w:b/>
    </w:rPr>
  </w:style>
  <w:style w:type="character" w:styleId="13">
    <w:name w:val="Emphasis"/>
    <w:basedOn w:val="11"/>
    <w:qFormat/>
    <w:uiPriority w:val="0"/>
    <w:rPr>
      <w:i/>
    </w:rPr>
  </w:style>
  <w:style w:type="character" w:styleId="14">
    <w:name w:val="annotation reference"/>
    <w:basedOn w:val="11"/>
    <w:semiHidden/>
    <w:unhideWhenUsed/>
    <w:qFormat/>
    <w:uiPriority w:val="0"/>
    <w:rPr>
      <w:sz w:val="21"/>
      <w:szCs w:val="21"/>
    </w:rPr>
  </w:style>
  <w:style w:type="paragraph" w:customStyle="1" w:styleId="15">
    <w:name w:val="正文 首行缩进:  2 字符"/>
    <w:basedOn w:val="16"/>
    <w:next w:val="1"/>
    <w:qFormat/>
    <w:uiPriority w:val="0"/>
    <w:pPr>
      <w:autoSpaceDE w:val="0"/>
      <w:autoSpaceDN w:val="0"/>
      <w:adjustRightInd w:val="0"/>
      <w:ind w:firstLine="200" w:firstLineChars="200"/>
      <w:jc w:val="left"/>
    </w:pPr>
    <w:rPr>
      <w:rFonts w:cs="宋体"/>
      <w:kern w:val="0"/>
      <w:sz w:val="24"/>
    </w:rPr>
  </w:style>
  <w:style w:type="paragraph" w:customStyle="1" w:styleId="16">
    <w:name w:val="正文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7">
    <w:name w:val="Table Paragraph"/>
    <w:basedOn w:val="1"/>
    <w:qFormat/>
    <w:uiPriority w:val="1"/>
    <w:pPr>
      <w:spacing w:line="520" w:lineRule="exact"/>
      <w:ind w:right="226"/>
    </w:pPr>
  </w:style>
  <w:style w:type="table" w:customStyle="1" w:styleId="18">
    <w:name w:val="Table Normal"/>
    <w:unhideWhenUsed/>
    <w:qFormat/>
    <w:uiPriority w:val="2"/>
    <w:tblPr>
      <w:tblCellMar>
        <w:top w:w="0" w:type="dxa"/>
        <w:left w:w="0" w:type="dxa"/>
        <w:bottom w:w="0" w:type="dxa"/>
        <w:right w:w="0" w:type="dxa"/>
      </w:tblCellMar>
    </w:tblPr>
  </w:style>
  <w:style w:type="character" w:customStyle="1" w:styleId="19">
    <w:name w:val="HTML 预设格式 字符"/>
    <w:link w:val="7"/>
    <w:qFormat/>
    <w:uiPriority w:val="99"/>
    <w:rPr>
      <w:rFonts w:ascii="宋体" w:hAnsi="宋体"/>
      <w:sz w:val="24"/>
      <w:szCs w:val="24"/>
    </w:rPr>
  </w:style>
  <w:style w:type="paragraph" w:customStyle="1" w:styleId="20">
    <w:name w:val="Default"/>
    <w:unhideWhenUsed/>
    <w:qFormat/>
    <w:uiPriority w:val="99"/>
    <w:pPr>
      <w:widowControl w:val="0"/>
      <w:autoSpaceDE w:val="0"/>
      <w:autoSpaceDN w:val="0"/>
      <w:adjustRightInd w:val="0"/>
    </w:pPr>
    <w:rPr>
      <w:rFonts w:hint="eastAsia" w:ascii="宋体" w:hAnsi="宋体" w:eastAsia="宋体" w:cs="Times New Roman"/>
      <w:color w:val="000000"/>
      <w:sz w:val="24"/>
      <w:lang w:val="en-US" w:eastAsia="zh-CN" w:bidi="ar-SA"/>
    </w:rPr>
  </w:style>
  <w:style w:type="paragraph" w:customStyle="1" w:styleId="21">
    <w:name w:val="修订1"/>
    <w:hidden/>
    <w:unhideWhenUsed/>
    <w:qFormat/>
    <w:uiPriority w:val="99"/>
    <w:rPr>
      <w:rFonts w:ascii="宋体" w:hAnsi="宋体" w:eastAsia="宋体" w:cs="宋体"/>
      <w:sz w:val="22"/>
      <w:szCs w:val="22"/>
      <w:lang w:val="zh-CN" w:eastAsia="zh-CN" w:bidi="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HBSC</Company>
  <Pages>2</Pages>
  <Words>1433</Words>
  <Characters>1528</Characters>
  <Lines>45</Lines>
  <Paragraphs>55</Paragraphs>
  <TotalTime>6</TotalTime>
  <ScaleCrop>false</ScaleCrop>
  <LinksUpToDate>false</LinksUpToDate>
  <CharactersWithSpaces>1604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2024-01-05T18:18:00Z</dcterms:created>
  <dc:creator>默沫1414148202</dc:creator>
  <cp:lastModifiedBy>张诗琪</cp:lastModifiedBy>
  <cp:lastPrinted>2025-10-27T01:08:00Z</cp:lastPrinted>
  <dcterms:modified xsi:type="dcterms:W3CDTF">2026-11-02T09:02:38Z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E58B098C87F34B1FB13306C11B04A00C_13</vt:lpwstr>
  </property>
  <property fmtid="{D5CDD505-2E9C-101B-9397-08002B2CF9AE}" pid="4" name="KSOTemplateDocerSaveRecord">
    <vt:lpwstr>eyJoZGlkIjoiMmFmYzg4YzhmOGM5NWY3YTYyYTQ2ZDcyNmEwNmFjZDciLCJ1c2VySWQiOiIxMTgxNzg2NTk3In0=</vt:lpwstr>
  </property>
</Properties>
</file>